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D54BA" w14:textId="1FDC577B" w:rsidR="008279FF" w:rsidRDefault="00AD04C0">
      <w:pPr>
        <w:rPr>
          <w:b/>
          <w:bCs/>
          <w:color w:val="00B0F0"/>
          <w:sz w:val="28"/>
          <w:szCs w:val="28"/>
        </w:rPr>
      </w:pPr>
      <w:bookmarkStart w:id="0" w:name="_Hlk18413903"/>
      <w:r>
        <w:rPr>
          <w:b/>
          <w:bCs/>
          <w:color w:val="00B0F0"/>
          <w:sz w:val="28"/>
          <w:szCs w:val="28"/>
        </w:rPr>
        <w:t xml:space="preserve">Termes de Référence pour un appel d’offre : </w:t>
      </w:r>
      <w:r w:rsidR="00217EFF" w:rsidRPr="00217EFF">
        <w:rPr>
          <w:b/>
          <w:bCs/>
          <w:color w:val="00B0F0"/>
          <w:sz w:val="28"/>
          <w:szCs w:val="28"/>
        </w:rPr>
        <w:t xml:space="preserve">Formateur en communication digitale et création de contenu photo et vidéo </w:t>
      </w:r>
      <w:r>
        <w:rPr>
          <w:b/>
          <w:bCs/>
          <w:color w:val="00B0F0"/>
          <w:sz w:val="28"/>
          <w:szCs w:val="28"/>
        </w:rPr>
        <w:t>(consultant national)</w:t>
      </w:r>
    </w:p>
    <w:p w14:paraId="6314C52D" w14:textId="77777777" w:rsidR="00AD04C0" w:rsidRPr="00217EFF" w:rsidRDefault="00AD04C0">
      <w:pPr>
        <w:rPr>
          <w:color w:val="00B0F0"/>
          <w:sz w:val="28"/>
          <w:szCs w:val="28"/>
        </w:rPr>
      </w:pPr>
    </w:p>
    <w:p w14:paraId="7FFD905A" w14:textId="01D3F970" w:rsidR="008279FF" w:rsidRPr="0049654D" w:rsidRDefault="00707908" w:rsidP="00AD04C0">
      <w:pPr>
        <w:spacing w:after="60"/>
      </w:pPr>
      <w:r w:rsidRPr="0049654D">
        <w:t>L</w:t>
      </w:r>
      <w:r w:rsidR="0050323C">
        <w:t>e</w:t>
      </w:r>
      <w:r w:rsidRPr="0049654D">
        <w:t xml:space="preserve"> Fonds des Nations Unies pour l’Enfance</w:t>
      </w:r>
      <w:r w:rsidR="0050323C">
        <w:t xml:space="preserve"> (UNICEF)</w:t>
      </w:r>
      <w:r w:rsidRPr="0049654D">
        <w:t xml:space="preserve"> est une agence des Nations Unies qui a commencé sa mission en 1946 pour venir en aide aux enfants d’Europe et d’Asie affectés par la seconde guerre mondiale. Son mandat fut rapidement élargi et il a commencé à aider les enfants dont les vies étaient menacées dans les pays en développement. Près de 70 années plus tard, l’UNICEF emploie plus de 13,000 personnes dans 190 pays et territoires du monde entier. Neuf membres du personnel sur 10 travaillent avec les gouvernements locaux et nationaux et d’autres partenaires, partout dans le monde. </w:t>
      </w:r>
    </w:p>
    <w:p w14:paraId="4F9C6DA2" w14:textId="08EC0D8D" w:rsidR="000225A5" w:rsidRPr="0049654D" w:rsidRDefault="00707908" w:rsidP="00AD04C0">
      <w:pPr>
        <w:spacing w:after="60"/>
      </w:pPr>
      <w:r w:rsidRPr="0049654D">
        <w:t>Tout au long de son histoire, l’UNICEF a donné la priorité à la réalisation des droits intrinsèques de l’enfant</w:t>
      </w:r>
      <w:r w:rsidR="0050323C">
        <w:t>,</w:t>
      </w:r>
      <w:r w:rsidRPr="0049654D">
        <w:t xml:space="preserve"> à une qualité de vie de base, des droits que les dirigeants de la communauté internationale ont précisés dans la </w:t>
      </w:r>
      <w:hyperlink r:id="rId7" w:history="1">
        <w:r w:rsidRPr="0049654D">
          <w:rPr>
            <w:rStyle w:val="Hyperlink"/>
          </w:rPr>
          <w:t xml:space="preserve">Convention relative aux </w:t>
        </w:r>
        <w:r w:rsidR="0050323C">
          <w:rPr>
            <w:rStyle w:val="Hyperlink"/>
          </w:rPr>
          <w:t>D</w:t>
        </w:r>
        <w:r w:rsidRPr="0049654D">
          <w:rPr>
            <w:rStyle w:val="Hyperlink"/>
          </w:rPr>
          <w:t>roits de l’</w:t>
        </w:r>
        <w:r w:rsidR="0050323C">
          <w:rPr>
            <w:rStyle w:val="Hyperlink"/>
          </w:rPr>
          <w:t>E</w:t>
        </w:r>
        <w:r w:rsidRPr="0049654D">
          <w:rPr>
            <w:rStyle w:val="Hyperlink"/>
          </w:rPr>
          <w:t>nfant</w:t>
        </w:r>
      </w:hyperlink>
      <w:r w:rsidR="0050323C">
        <w:rPr>
          <w:rStyle w:val="Hyperlink"/>
        </w:rPr>
        <w:t xml:space="preserve"> (CDE)</w:t>
      </w:r>
      <w:r w:rsidRPr="0049654D">
        <w:t xml:space="preserve">.  L’UNICEF fonde ses activités sur son expérience considérable et de solides recherches, constamment mises à jour, et intervient pour aider les enfants à bénéficier d’un bon départ dans la vie, à survivre et à s’épanouir – en particulier lors des situations d’urgence – et à aller à l’école. </w:t>
      </w:r>
    </w:p>
    <w:p w14:paraId="00830900" w14:textId="308FFB2C" w:rsidR="008279FF" w:rsidRPr="0049654D" w:rsidRDefault="00AD04C0" w:rsidP="00AD04C0">
      <w:pPr>
        <w:pStyle w:val="Heading2"/>
      </w:pPr>
      <w:r>
        <w:t>Contexte</w:t>
      </w:r>
    </w:p>
    <w:p w14:paraId="3DFCF182" w14:textId="01552D8F" w:rsidR="008279FF" w:rsidRPr="0049654D" w:rsidRDefault="00707908" w:rsidP="0049654D">
      <w:r w:rsidRPr="0049654D">
        <w:t>Depuis 1975, des milliers de personnes en provenance du Sahara Occidental se sont réfugiées en Algérie, le pays hôte reconnaissant à ces populations le statut de réfugiés (prima facie) les protégeant contre le refoulement et leur donnant accès à une assistance humanitaire de base. Pendant un peu plus d'une décennie, le gouvernement algérien a assumé seul la charge logistique et financière de la crise des réfugiés avant de solliciter le soutien de l'ONU et de la communauté internationale en 1986. Le Haut-Commissariat des Nations Unies pour les Réfugiés (HCR), le Programme Alimentaire Mondial (PAM) et l'UNICEF sont naturellement intervenus rapidement dans les cinq camps sit</w:t>
      </w:r>
      <w:r w:rsidR="0049654D" w:rsidRPr="0049654D">
        <w:t>ués dans la province de Tindouf</w:t>
      </w:r>
      <w:r w:rsidRPr="0049654D">
        <w:t>. Situés dans une zone désertique aux terres arides</w:t>
      </w:r>
      <w:r w:rsidR="0050323C">
        <w:t xml:space="preserve"> et</w:t>
      </w:r>
      <w:r w:rsidRPr="0049654D">
        <w:t xml:space="preserve"> reliés aujourd’hui par des routes goudronnées, les camps n'offrent que peu d’opportunités de travail, de moyens de subsistance ou d’opportunités de génération de revenus. Ceci laisse la population dans un état de résilience fragile et de quasi dépendance à l'aide humanitaire pour répondre à ses besoins en matière de logement, de nourriture, de santé ou d'éducation.</w:t>
      </w:r>
    </w:p>
    <w:p w14:paraId="2BC9DE06" w14:textId="77777777" w:rsidR="008279FF" w:rsidRPr="0049654D" w:rsidRDefault="00707908" w:rsidP="0049654D">
      <w:r w:rsidRPr="0049654D">
        <w:t>Depuis 1996, du fait de son engagement fondamental pour les enfants en situation d'urgence, et en travaillant étroitement avec le HCR, le PAM et les autres partenaires humanitaires, l’UNICEF apporte son assistance aux enfants réfugiés sahraouis pour répondre à leurs besoins essentiels, supporter la résilience des populations avec une assistance technique ciblée, un renforcement des capacités et l’apport de fournitures essentielles aux enfants, y compris en période d'urgence.</w:t>
      </w:r>
    </w:p>
    <w:p w14:paraId="746EDCEC" w14:textId="0407AB3A" w:rsidR="00F7236E" w:rsidRDefault="00707908" w:rsidP="0049654D">
      <w:r w:rsidRPr="0049654D">
        <w:t xml:space="preserve">L’intervention de l’UNICEF répond à des besoins humanitaires tout en s’inscrivant dans une perspective de développement en poursuivant </w:t>
      </w:r>
      <w:r w:rsidR="0050323C">
        <w:t>six</w:t>
      </w:r>
      <w:r w:rsidR="0050323C" w:rsidRPr="0049654D">
        <w:t xml:space="preserve"> </w:t>
      </w:r>
      <w:r w:rsidRPr="0049654D">
        <w:t xml:space="preserve">objectifs majeurs : </w:t>
      </w:r>
      <w:r w:rsidR="0050323C">
        <w:t>a</w:t>
      </w:r>
      <w:r w:rsidR="0050323C" w:rsidRPr="00F848DF">
        <w:rPr>
          <w:rFonts w:eastAsia="Times New Roman"/>
          <w:color w:val="303030"/>
          <w:lang w:eastAsia="fr-FR"/>
        </w:rPr>
        <w:t>méliorer la survie des nouveau-nés par le renforcement des services de santé maternelle et infantile</w:t>
      </w:r>
      <w:r w:rsidR="0050323C">
        <w:rPr>
          <w:rFonts w:eastAsia="Times New Roman"/>
          <w:color w:val="303030"/>
          <w:lang w:eastAsia="fr-FR"/>
        </w:rPr>
        <w:t> ; p</w:t>
      </w:r>
      <w:r w:rsidR="0050323C" w:rsidRPr="00F848DF">
        <w:rPr>
          <w:rFonts w:eastAsia="Times New Roman"/>
          <w:color w:val="303030"/>
          <w:lang w:eastAsia="fr-FR"/>
        </w:rPr>
        <w:t>romouvoir une couverture vaccinale optimale par un</w:t>
      </w:r>
      <w:r w:rsidR="0050323C">
        <w:rPr>
          <w:rFonts w:eastAsia="Times New Roman"/>
          <w:color w:val="303030"/>
          <w:lang w:eastAsia="fr-FR"/>
        </w:rPr>
        <w:t xml:space="preserve"> soutien au programme élargi de vaccination ; r</w:t>
      </w:r>
      <w:r w:rsidR="0050323C" w:rsidRPr="00F848DF">
        <w:rPr>
          <w:rFonts w:eastAsia="Times New Roman"/>
          <w:color w:val="303030"/>
          <w:lang w:eastAsia="fr-FR"/>
        </w:rPr>
        <w:t>enforcer l’accès durable des enf</w:t>
      </w:r>
      <w:r w:rsidR="0050323C">
        <w:rPr>
          <w:rFonts w:eastAsia="Times New Roman"/>
          <w:color w:val="303030"/>
          <w:lang w:eastAsia="fr-FR"/>
        </w:rPr>
        <w:t>ants à une éducation de qualité ; p</w:t>
      </w:r>
      <w:r w:rsidR="0050323C" w:rsidRPr="00F848DF">
        <w:rPr>
          <w:rFonts w:eastAsia="Times New Roman"/>
          <w:color w:val="303030"/>
          <w:lang w:eastAsia="fr-FR"/>
        </w:rPr>
        <w:t>romouvoir l’intégration sociale et économique des jeunes</w:t>
      </w:r>
      <w:r w:rsidR="0050323C">
        <w:rPr>
          <w:rFonts w:eastAsia="Times New Roman"/>
          <w:color w:val="303030"/>
          <w:lang w:eastAsia="fr-FR"/>
        </w:rPr>
        <w:t>; f</w:t>
      </w:r>
      <w:r w:rsidR="0050323C" w:rsidRPr="00F848DF">
        <w:rPr>
          <w:rFonts w:eastAsia="Times New Roman"/>
          <w:color w:val="303030"/>
          <w:lang w:eastAsia="fr-FR"/>
        </w:rPr>
        <w:t>aciliter l’inclusion des enfants vivant avec un handicap</w:t>
      </w:r>
      <w:r w:rsidR="0050323C">
        <w:rPr>
          <w:rFonts w:eastAsia="Times New Roman"/>
          <w:color w:val="303030"/>
          <w:lang w:eastAsia="fr-FR"/>
        </w:rPr>
        <w:t xml:space="preserve"> et c</w:t>
      </w:r>
      <w:r w:rsidR="0050323C" w:rsidRPr="00F848DF">
        <w:rPr>
          <w:rFonts w:eastAsia="Times New Roman"/>
          <w:color w:val="303030"/>
          <w:lang w:eastAsia="fr-FR"/>
        </w:rPr>
        <w:t>ontribuer à la réalisation des droits des enfants réfugiés</w:t>
      </w:r>
      <w:r w:rsidR="0050323C">
        <w:rPr>
          <w:rFonts w:eastAsia="Times New Roman"/>
          <w:color w:val="303030"/>
          <w:lang w:eastAsia="fr-FR"/>
        </w:rPr>
        <w:t>.</w:t>
      </w:r>
    </w:p>
    <w:p w14:paraId="2B2733A1" w14:textId="784E598B" w:rsidR="007F13B8" w:rsidRPr="0049654D" w:rsidRDefault="007F13B8" w:rsidP="00AD04C0">
      <w:pPr>
        <w:pStyle w:val="Heading2"/>
      </w:pPr>
      <w:r>
        <w:t>Justificati</w:t>
      </w:r>
      <w:r w:rsidR="0050323C">
        <w:t>on</w:t>
      </w:r>
      <w:r>
        <w:t xml:space="preserve"> </w:t>
      </w:r>
    </w:p>
    <w:p w14:paraId="4335B19D" w14:textId="62D08335" w:rsidR="00C41B37" w:rsidRDefault="00C66C1F" w:rsidP="00AD04C0">
      <w:pPr>
        <w:spacing w:after="60"/>
      </w:pPr>
      <w:r w:rsidRPr="0049654D">
        <w:t xml:space="preserve">Aujourd’hui </w:t>
      </w:r>
      <w:r w:rsidR="00D62697">
        <w:t>l</w:t>
      </w:r>
      <w:r w:rsidRPr="0049654D">
        <w:t xml:space="preserve">es progrès technologiques ont généré </w:t>
      </w:r>
      <w:r w:rsidR="0050323C">
        <w:t>d</w:t>
      </w:r>
      <w:r w:rsidRPr="0049654D">
        <w:t xml:space="preserve">es sociétés dans lesquelles les individus </w:t>
      </w:r>
      <w:r w:rsidR="0050323C">
        <w:t>peuvent</w:t>
      </w:r>
      <w:r w:rsidRPr="0049654D">
        <w:t xml:space="preserve"> rechercher et produire de l'information, construire des réseaux virtuels et échanger des expériences en temps réel.</w:t>
      </w:r>
      <w:r w:rsidR="0050323C">
        <w:t xml:space="preserve"> </w:t>
      </w:r>
      <w:r w:rsidRPr="0049654D">
        <w:t xml:space="preserve">Les médias numériques, en particulier les plateformes sociales, sont en train de changer les façons dont les </w:t>
      </w:r>
      <w:r w:rsidR="00C41B37">
        <w:t>individus interagissent</w:t>
      </w:r>
      <w:r w:rsidR="00C41B37" w:rsidRPr="00C41B37">
        <w:t xml:space="preserve"> </w:t>
      </w:r>
      <w:r w:rsidR="00C41B37" w:rsidRPr="0049654D">
        <w:t xml:space="preserve">les uns </w:t>
      </w:r>
      <w:r w:rsidR="0050323C">
        <w:t>avec les</w:t>
      </w:r>
      <w:r w:rsidR="0050323C" w:rsidRPr="0049654D">
        <w:t xml:space="preserve"> </w:t>
      </w:r>
      <w:r w:rsidR="00C41B37" w:rsidRPr="0049654D">
        <w:t>autres</w:t>
      </w:r>
      <w:r w:rsidR="00C41B37">
        <w:t xml:space="preserve">, leurs </w:t>
      </w:r>
      <w:r w:rsidR="00C41B37">
        <w:lastRenderedPageBreak/>
        <w:t xml:space="preserve">communautés et le monde, </w:t>
      </w:r>
      <w:r w:rsidR="00C41B37" w:rsidRPr="0049654D">
        <w:t>donnant</w:t>
      </w:r>
      <w:r w:rsidRPr="0049654D">
        <w:t xml:space="preserve"> lieu à des publics nouveaux et diversifiés</w:t>
      </w:r>
      <w:r w:rsidR="00C41B37">
        <w:t>.</w:t>
      </w:r>
      <w:r w:rsidR="00CF09D8">
        <w:t xml:space="preserve"> </w:t>
      </w:r>
      <w:r w:rsidR="00C41B37">
        <w:t>L</w:t>
      </w:r>
      <w:r w:rsidR="00C41B37" w:rsidRPr="0049654D">
        <w:t xml:space="preserve">a quasi-omniprésence des personnes </w:t>
      </w:r>
      <w:r w:rsidR="00CF09D8">
        <w:t>sur</w:t>
      </w:r>
      <w:r w:rsidR="00C41B37" w:rsidRPr="0049654D">
        <w:t xml:space="preserve"> Internet, </w:t>
      </w:r>
      <w:r w:rsidR="00CF09D8">
        <w:t xml:space="preserve">via les ordinateurs, </w:t>
      </w:r>
      <w:r w:rsidR="00C41B37" w:rsidRPr="0049654D">
        <w:t>les téléphones mobiles</w:t>
      </w:r>
      <w:r w:rsidR="00CF09D8">
        <w:t xml:space="preserve"> ou</w:t>
      </w:r>
      <w:r w:rsidR="00C41B37" w:rsidRPr="0049654D">
        <w:t xml:space="preserve"> les appareils photos </w:t>
      </w:r>
      <w:r w:rsidR="00C41B37">
        <w:t>connectés</w:t>
      </w:r>
      <w:r w:rsidR="00C41B37" w:rsidRPr="0049654D">
        <w:t xml:space="preserve"> </w:t>
      </w:r>
      <w:r w:rsidR="00C41B37">
        <w:t>impliquent</w:t>
      </w:r>
      <w:r w:rsidR="00C41B37" w:rsidRPr="0049654D">
        <w:t xml:space="preserve"> que des milliards de personnes sont </w:t>
      </w:r>
      <w:r w:rsidR="00CF09D8">
        <w:t xml:space="preserve">aujourd’hui potentiellement </w:t>
      </w:r>
      <w:r w:rsidR="00C41B37" w:rsidRPr="0049654D">
        <w:t xml:space="preserve">des conteurs, journalistes, critiques </w:t>
      </w:r>
      <w:r w:rsidR="00CF09D8">
        <w:t>ou</w:t>
      </w:r>
      <w:r w:rsidR="00CF09D8" w:rsidRPr="0049654D">
        <w:t xml:space="preserve"> </w:t>
      </w:r>
      <w:r w:rsidR="00CF09D8">
        <w:t>défenseurs</w:t>
      </w:r>
      <w:r w:rsidR="00C41B37" w:rsidRPr="0049654D">
        <w:t>.</w:t>
      </w:r>
    </w:p>
    <w:p w14:paraId="67EAD27D" w14:textId="6D881B0B" w:rsidR="00C41B37" w:rsidRDefault="00C41B37" w:rsidP="00AD04C0">
      <w:pPr>
        <w:spacing w:after="60"/>
      </w:pPr>
      <w:r w:rsidRPr="0049654D">
        <w:t xml:space="preserve">Pour </w:t>
      </w:r>
      <w:r w:rsidR="00CF09D8">
        <w:t>soutenir</w:t>
      </w:r>
      <w:r w:rsidR="00CF09D8" w:rsidRPr="0049654D">
        <w:t xml:space="preserve"> </w:t>
      </w:r>
      <w:r w:rsidRPr="0049654D">
        <w:t>le changement pour les enfants, l'UNICEF - à tous les niveaux - doit cibler ces personnes comme un public émerge</w:t>
      </w:r>
      <w:r w:rsidR="00CF09D8">
        <w:t>a</w:t>
      </w:r>
      <w:r w:rsidRPr="0049654D">
        <w:t>nt et d</w:t>
      </w:r>
      <w:r>
        <w:t>oit</w:t>
      </w:r>
      <w:r w:rsidRPr="0049654D">
        <w:t xml:space="preserve"> s'engager de façon significative avec eux, sur </w:t>
      </w:r>
      <w:r w:rsidR="00CF09D8">
        <w:t>la façon dont</w:t>
      </w:r>
      <w:r w:rsidR="00CF09D8" w:rsidRPr="0049654D">
        <w:t xml:space="preserve"> </w:t>
      </w:r>
      <w:r w:rsidRPr="0049654D">
        <w:t>la communication et la sensibilisation du public</w:t>
      </w:r>
      <w:r>
        <w:t xml:space="preserve"> sont utilisées pour soutenir son plaidoyer pour que cha</w:t>
      </w:r>
      <w:r w:rsidR="00CF09D8">
        <w:t>cun d</w:t>
      </w:r>
      <w:r>
        <w:t>es droits des enfants soient respectés partout et que chaque enfant</w:t>
      </w:r>
      <w:r w:rsidR="00AD04C0">
        <w:t>,</w:t>
      </w:r>
      <w:r>
        <w:t xml:space="preserve"> </w:t>
      </w:r>
      <w:r w:rsidR="00CF09D8">
        <w:t>où</w:t>
      </w:r>
      <w:r>
        <w:t xml:space="preserve"> qu’il soit</w:t>
      </w:r>
      <w:r w:rsidR="00AD04C0">
        <w:t>,</w:t>
      </w:r>
      <w:r>
        <w:t xml:space="preserve"> attei</w:t>
      </w:r>
      <w:r w:rsidR="00CF09D8">
        <w:t>gne</w:t>
      </w:r>
      <w:r>
        <w:t xml:space="preserve"> son plein potentiel. </w:t>
      </w:r>
    </w:p>
    <w:p w14:paraId="093C6784" w14:textId="539229B0" w:rsidR="00CF09D8" w:rsidRDefault="00C66C1F" w:rsidP="00AD04C0">
      <w:pPr>
        <w:spacing w:after="60"/>
      </w:pPr>
      <w:r w:rsidRPr="0049654D">
        <w:t>A cet effet, et af</w:t>
      </w:r>
      <w:r w:rsidR="00707908" w:rsidRPr="0049654D">
        <w:t xml:space="preserve">in de renforcer </w:t>
      </w:r>
      <w:r w:rsidR="00E17BCD" w:rsidRPr="0049654D">
        <w:t>la diffusion des connaissances et la promotion des droits de l’enfan</w:t>
      </w:r>
      <w:r w:rsidRPr="0049654D">
        <w:t>t</w:t>
      </w:r>
      <w:r w:rsidR="00CF09D8">
        <w:t>,</w:t>
      </w:r>
      <w:r w:rsidRPr="0049654D">
        <w:t xml:space="preserve"> </w:t>
      </w:r>
      <w:r w:rsidR="00707908" w:rsidRPr="0049654D">
        <w:t xml:space="preserve">l’UNICEF Algérie </w:t>
      </w:r>
      <w:r w:rsidR="00AD04C0">
        <w:t>procède</w:t>
      </w:r>
      <w:r w:rsidR="00707908" w:rsidRPr="0049654D">
        <w:t xml:space="preserve"> au recrutement d’un </w:t>
      </w:r>
      <w:r w:rsidRPr="0049654D">
        <w:t>consultant</w:t>
      </w:r>
      <w:r w:rsidR="00707908" w:rsidRPr="0049654D">
        <w:t xml:space="preserve"> national </w:t>
      </w:r>
      <w:r w:rsidRPr="0049654D">
        <w:t xml:space="preserve">pour la formation de la </w:t>
      </w:r>
      <w:r w:rsidR="00CF09D8">
        <w:t>C</w:t>
      </w:r>
      <w:r w:rsidRPr="0049654D">
        <w:t xml:space="preserve">ellule </w:t>
      </w:r>
      <w:r w:rsidR="00CF09D8">
        <w:t xml:space="preserve">de </w:t>
      </w:r>
      <w:r w:rsidRPr="0049654D">
        <w:t>communication du Croissant Rouge Sahraoui</w:t>
      </w:r>
      <w:r w:rsidR="00CF09D8">
        <w:t xml:space="preserve"> (CRS)</w:t>
      </w:r>
      <w:r w:rsidRPr="0049654D">
        <w:t xml:space="preserve">, dans les camps de réfugiés à Tindouf </w:t>
      </w:r>
      <w:r w:rsidR="00CF09D8">
        <w:t>sur les</w:t>
      </w:r>
      <w:r w:rsidR="00CF09D8" w:rsidRPr="0049654D">
        <w:t xml:space="preserve"> </w:t>
      </w:r>
      <w:r w:rsidRPr="0049654D">
        <w:t>techniques de communication, selon</w:t>
      </w:r>
      <w:r w:rsidR="00707908" w:rsidRPr="0049654D">
        <w:t xml:space="preserve"> le profil défini par les présents termes de référence.</w:t>
      </w:r>
    </w:p>
    <w:p w14:paraId="75C8D2E2" w14:textId="2D06597C" w:rsidR="00526CAA" w:rsidRPr="00526CAA" w:rsidRDefault="00526CAA" w:rsidP="00AD04C0">
      <w:pPr>
        <w:pStyle w:val="Heading2"/>
      </w:pPr>
      <w:r w:rsidRPr="00526CAA">
        <w:t>Objectif principal</w:t>
      </w:r>
    </w:p>
    <w:p w14:paraId="5ADB8637" w14:textId="66D0B682" w:rsidR="00526CAA" w:rsidRDefault="00752C19" w:rsidP="00AD04C0">
      <w:pPr>
        <w:spacing w:after="60"/>
      </w:pPr>
      <w:r>
        <w:t>Assurer la facilitation d’un atelier en vue de r</w:t>
      </w:r>
      <w:r w:rsidR="00526CAA" w:rsidRPr="00526CAA">
        <w:t xml:space="preserve">enforcer les capacités des membres de la </w:t>
      </w:r>
      <w:r w:rsidR="00CF09D8">
        <w:t>C</w:t>
      </w:r>
      <w:r w:rsidR="00526CAA" w:rsidRPr="00526CAA">
        <w:t xml:space="preserve">ellule de communication du CRS </w:t>
      </w:r>
      <w:r w:rsidR="00CF09D8">
        <w:t>sur les</w:t>
      </w:r>
      <w:r w:rsidR="00CF09D8" w:rsidRPr="00526CAA">
        <w:t xml:space="preserve"> </w:t>
      </w:r>
      <w:r w:rsidR="00526CAA" w:rsidRPr="00526CAA">
        <w:t>techniques de communication digitale et de création de contenu photo et vidéo dans le but de renforcer</w:t>
      </w:r>
      <w:r w:rsidR="00526CAA">
        <w:t xml:space="preserve"> </w:t>
      </w:r>
      <w:r w:rsidR="00526CAA" w:rsidRPr="00C66C1F">
        <w:t xml:space="preserve">la diffusion des connaissances </w:t>
      </w:r>
      <w:r w:rsidR="00CF09D8">
        <w:t xml:space="preserve">sur / </w:t>
      </w:r>
      <w:r w:rsidR="00526CAA" w:rsidRPr="00C66C1F">
        <w:t>et la promotion des droits de l’enfant</w:t>
      </w:r>
      <w:r w:rsidR="00526CAA">
        <w:t xml:space="preserve"> dans les camps de réfugiés sahraouis et de visibiliser les actions conjointes UNICEF – CRS.</w:t>
      </w:r>
    </w:p>
    <w:p w14:paraId="1F28BB5F" w14:textId="3C0DFCE1" w:rsidR="00526CAA" w:rsidRPr="00526CAA" w:rsidRDefault="00526CAA" w:rsidP="00AD04C0">
      <w:pPr>
        <w:pStyle w:val="Heading2"/>
      </w:pPr>
      <w:r w:rsidRPr="00526CAA">
        <w:t>Objectifs spécifiques</w:t>
      </w:r>
    </w:p>
    <w:p w14:paraId="00538FC7" w14:textId="7FAB096B" w:rsidR="00830548" w:rsidRPr="00697952" w:rsidRDefault="00830548" w:rsidP="00AD04C0">
      <w:pPr>
        <w:pStyle w:val="ListParagraph"/>
        <w:numPr>
          <w:ilvl w:val="0"/>
          <w:numId w:val="7"/>
        </w:numPr>
        <w:suppressAutoHyphens w:val="0"/>
        <w:autoSpaceDN/>
        <w:spacing w:after="120" w:line="276" w:lineRule="auto"/>
        <w:contextualSpacing/>
        <w:textAlignment w:val="auto"/>
      </w:pPr>
      <w:r>
        <w:t xml:space="preserve">Renforcer </w:t>
      </w:r>
      <w:r w:rsidRPr="00526CAA">
        <w:t xml:space="preserve">les capacités des membres de la </w:t>
      </w:r>
      <w:r w:rsidR="00CF09D8">
        <w:t>C</w:t>
      </w:r>
      <w:r w:rsidRPr="00526CAA">
        <w:t>ellule de communication du CRS</w:t>
      </w:r>
      <w:r w:rsidRPr="00697952">
        <w:t xml:space="preserve"> afin de les doter des compétences nécessaires en matière de principes directeurs pour le re</w:t>
      </w:r>
      <w:r>
        <w:t>portage éthique sur les enfants (avec le soutien de l’UNICEF)</w:t>
      </w:r>
      <w:r w:rsidRPr="00697952">
        <w:t xml:space="preserve"> </w:t>
      </w:r>
    </w:p>
    <w:p w14:paraId="736E40D2" w14:textId="5F954B39" w:rsidR="00697952" w:rsidRPr="00697952" w:rsidRDefault="00697952" w:rsidP="00AD04C0">
      <w:pPr>
        <w:pStyle w:val="ListParagraph"/>
        <w:numPr>
          <w:ilvl w:val="0"/>
          <w:numId w:val="7"/>
        </w:numPr>
        <w:suppressAutoHyphens w:val="0"/>
        <w:autoSpaceDN/>
        <w:spacing w:after="120" w:line="276" w:lineRule="auto"/>
        <w:contextualSpacing/>
        <w:textAlignment w:val="auto"/>
      </w:pPr>
      <w:r>
        <w:t xml:space="preserve">Renforcer </w:t>
      </w:r>
      <w:r w:rsidRPr="00526CAA">
        <w:t xml:space="preserve">les capacités des membres de la cellule de communication du CRS </w:t>
      </w:r>
      <w:r w:rsidR="00526CAA" w:rsidRPr="00697952">
        <w:t xml:space="preserve">en matière de </w:t>
      </w:r>
      <w:r w:rsidRPr="00697952">
        <w:t>création de contenu photos et vidéos</w:t>
      </w:r>
    </w:p>
    <w:p w14:paraId="0ECF6AAC" w14:textId="0807D524" w:rsidR="00526CAA" w:rsidRPr="00697952" w:rsidRDefault="00526CAA" w:rsidP="00AD04C0">
      <w:pPr>
        <w:pStyle w:val="ListParagraph"/>
        <w:numPr>
          <w:ilvl w:val="0"/>
          <w:numId w:val="7"/>
        </w:numPr>
        <w:suppressAutoHyphens w:val="0"/>
        <w:autoSpaceDN/>
        <w:spacing w:after="120" w:line="276" w:lineRule="auto"/>
        <w:contextualSpacing/>
        <w:textAlignment w:val="auto"/>
      </w:pPr>
      <w:r w:rsidRPr="00697952">
        <w:t xml:space="preserve">Mobiliser </w:t>
      </w:r>
      <w:r w:rsidR="00CF09D8">
        <w:t xml:space="preserve">les </w:t>
      </w:r>
      <w:r w:rsidR="00697952" w:rsidRPr="00526CAA">
        <w:t xml:space="preserve">membres de la </w:t>
      </w:r>
      <w:r w:rsidR="00CF09D8">
        <w:t>C</w:t>
      </w:r>
      <w:r w:rsidR="00697952" w:rsidRPr="00526CAA">
        <w:t>ellule de communication du CRS</w:t>
      </w:r>
      <w:r w:rsidRPr="00697952">
        <w:t xml:space="preserve"> </w:t>
      </w:r>
      <w:r w:rsidR="00CF09D8">
        <w:t>sur</w:t>
      </w:r>
      <w:r w:rsidRPr="00697952">
        <w:t xml:space="preserve"> leur rôle </w:t>
      </w:r>
      <w:r w:rsidR="00697952">
        <w:t xml:space="preserve">dans </w:t>
      </w:r>
      <w:r w:rsidR="00830548">
        <w:t xml:space="preserve">la </w:t>
      </w:r>
      <w:r w:rsidR="00C661A1">
        <w:t xml:space="preserve">visibilité des actions menées par le CRS en collaboration avec </w:t>
      </w:r>
      <w:r w:rsidR="00CF09D8">
        <w:t xml:space="preserve">les </w:t>
      </w:r>
      <w:r w:rsidR="00C661A1">
        <w:t xml:space="preserve">agences des Nations-Unies </w:t>
      </w:r>
      <w:r w:rsidR="00CF09D8">
        <w:t xml:space="preserve">actives </w:t>
      </w:r>
      <w:r w:rsidR="00C661A1">
        <w:t>dans les camps</w:t>
      </w:r>
    </w:p>
    <w:p w14:paraId="514CB15D" w14:textId="2F88870B" w:rsidR="008279FF" w:rsidRDefault="00C661A1" w:rsidP="00AD04C0">
      <w:pPr>
        <w:pStyle w:val="Heading2"/>
      </w:pPr>
      <w:r>
        <w:t>Description des modules de formation (proposition)</w:t>
      </w:r>
    </w:p>
    <w:p w14:paraId="063D16EE" w14:textId="2DD2F73F" w:rsidR="008279FF" w:rsidRDefault="00707908">
      <w:r>
        <w:t>Sous la supervision directe</w:t>
      </w:r>
      <w:r w:rsidR="00526CAA">
        <w:t xml:space="preserve"> du Chargé de Communication</w:t>
      </w:r>
      <w:r w:rsidR="00AD04C0">
        <w:t xml:space="preserve"> de l’UNICEF</w:t>
      </w:r>
      <w:r w:rsidR="00526CAA">
        <w:t>, le c</w:t>
      </w:r>
      <w:r>
        <w:t xml:space="preserve">onsultant </w:t>
      </w:r>
      <w:r w:rsidR="00526CAA">
        <w:t>former</w:t>
      </w:r>
      <w:r w:rsidR="00CF09D8">
        <w:t>a</w:t>
      </w:r>
      <w:r w:rsidR="00526CAA">
        <w:t xml:space="preserve"> les membres de la </w:t>
      </w:r>
      <w:r w:rsidR="00CF09D8">
        <w:t>C</w:t>
      </w:r>
      <w:r w:rsidR="00526CAA">
        <w:t xml:space="preserve">ellule de communication du CRS à ce qui suit </w:t>
      </w:r>
      <w:r>
        <w:t>:</w:t>
      </w:r>
    </w:p>
    <w:p w14:paraId="5CA88C61" w14:textId="77777777" w:rsidR="00526CAA" w:rsidRDefault="00526CAA"/>
    <w:p w14:paraId="302D64CF" w14:textId="77777777" w:rsidR="00526CAA" w:rsidRPr="00526CAA" w:rsidRDefault="00526CAA" w:rsidP="003E5704">
      <w:pPr>
        <w:pStyle w:val="ListParagraph"/>
        <w:numPr>
          <w:ilvl w:val="0"/>
          <w:numId w:val="5"/>
        </w:numPr>
        <w:spacing w:line="254" w:lineRule="auto"/>
        <w:jc w:val="left"/>
      </w:pPr>
      <w:r w:rsidRPr="00526CAA">
        <w:t>STRATÉGIE SUR LES RÉSEAUX SOCIAUX</w:t>
      </w:r>
    </w:p>
    <w:p w14:paraId="58811ECE" w14:textId="77777777" w:rsidR="00526CAA" w:rsidRPr="00526CAA" w:rsidRDefault="00526CAA" w:rsidP="003E5704">
      <w:pPr>
        <w:numPr>
          <w:ilvl w:val="0"/>
          <w:numId w:val="6"/>
        </w:numPr>
        <w:shd w:val="clear" w:color="auto" w:fill="FFFFFF"/>
        <w:jc w:val="left"/>
      </w:pPr>
      <w:r w:rsidRPr="00526CAA">
        <w:t>Les objectifs et les résultats concrets attendus</w:t>
      </w:r>
    </w:p>
    <w:p w14:paraId="6C87BB38" w14:textId="77777777" w:rsidR="00526CAA" w:rsidRPr="00526CAA" w:rsidRDefault="00526CAA" w:rsidP="003E5704">
      <w:pPr>
        <w:numPr>
          <w:ilvl w:val="0"/>
          <w:numId w:val="6"/>
        </w:numPr>
        <w:shd w:val="clear" w:color="auto" w:fill="FFFFFF"/>
        <w:jc w:val="left"/>
      </w:pPr>
      <w:r w:rsidRPr="00526CAA">
        <w:t>Quel réseau pour quel message, pour quelle cible</w:t>
      </w:r>
    </w:p>
    <w:p w14:paraId="2E26533F" w14:textId="77777777" w:rsidR="00526CAA" w:rsidRPr="00AD04C0" w:rsidRDefault="00526CAA" w:rsidP="003E5704">
      <w:pPr>
        <w:shd w:val="clear" w:color="auto" w:fill="FFFFFF"/>
        <w:rPr>
          <w:sz w:val="14"/>
        </w:rPr>
      </w:pPr>
    </w:p>
    <w:p w14:paraId="0F547420" w14:textId="12603451" w:rsidR="00526CAA" w:rsidRPr="00526CAA" w:rsidRDefault="00526CAA" w:rsidP="003E5704">
      <w:pPr>
        <w:pStyle w:val="ListParagraph"/>
        <w:numPr>
          <w:ilvl w:val="0"/>
          <w:numId w:val="5"/>
        </w:numPr>
        <w:spacing w:line="254" w:lineRule="auto"/>
        <w:jc w:val="left"/>
      </w:pPr>
      <w:r w:rsidRPr="00526CAA">
        <w:t xml:space="preserve">LIGNE EDITORIALE </w:t>
      </w:r>
      <w:r w:rsidR="00CD62A0">
        <w:t xml:space="preserve">ET MISE EN PLACE </w:t>
      </w:r>
      <w:r w:rsidR="00CD62A0" w:rsidRPr="00526CAA">
        <w:t xml:space="preserve">EN PLACE </w:t>
      </w:r>
      <w:r w:rsidR="00CD62A0">
        <w:t>D’</w:t>
      </w:r>
      <w:r w:rsidR="00CD62A0" w:rsidRPr="00526CAA">
        <w:t>UNE MÉTHODE DE PUBLICATION</w:t>
      </w:r>
      <w:r w:rsidR="00CD62A0">
        <w:t xml:space="preserve"> </w:t>
      </w:r>
      <w:r w:rsidRPr="00526CAA">
        <w:t xml:space="preserve">SUR LES RESEAUX SOCIAUX </w:t>
      </w:r>
    </w:p>
    <w:p w14:paraId="35F7BA1B" w14:textId="77777777" w:rsidR="00526CAA" w:rsidRPr="00526CAA" w:rsidRDefault="00526CAA" w:rsidP="003E5704">
      <w:pPr>
        <w:numPr>
          <w:ilvl w:val="0"/>
          <w:numId w:val="6"/>
        </w:numPr>
        <w:shd w:val="clear" w:color="auto" w:fill="FFFFFF"/>
        <w:jc w:val="left"/>
      </w:pPr>
      <w:r w:rsidRPr="00526CAA">
        <w:t>Règles de base de la communication écrite en ligne : Objectif, cible et message</w:t>
      </w:r>
    </w:p>
    <w:p w14:paraId="16B29677" w14:textId="50D1E5E2" w:rsidR="00CD62A0" w:rsidRPr="00526CAA" w:rsidRDefault="0092036C" w:rsidP="003E5878">
      <w:pPr>
        <w:numPr>
          <w:ilvl w:val="0"/>
          <w:numId w:val="6"/>
        </w:numPr>
        <w:shd w:val="clear" w:color="auto" w:fill="FFFFFF"/>
        <w:jc w:val="left"/>
      </w:pPr>
      <w:r>
        <w:t>L</w:t>
      </w:r>
      <w:r w:rsidR="00526CAA" w:rsidRPr="00526CAA">
        <w:t xml:space="preserve">igne éditoriale </w:t>
      </w:r>
      <w:r>
        <w:t xml:space="preserve">et </w:t>
      </w:r>
      <w:r w:rsidR="00CD62A0" w:rsidRPr="00526CAA">
        <w:t xml:space="preserve">calendrier </w:t>
      </w:r>
      <w:r w:rsidR="002D0E56">
        <w:t>de publications</w:t>
      </w:r>
    </w:p>
    <w:p w14:paraId="68DA0EF9" w14:textId="107D677D" w:rsidR="00CD62A0" w:rsidRPr="00AD04C0" w:rsidRDefault="00CD62A0" w:rsidP="00CD62A0">
      <w:pPr>
        <w:shd w:val="clear" w:color="auto" w:fill="FFFFFF"/>
        <w:jc w:val="left"/>
        <w:rPr>
          <w:sz w:val="14"/>
        </w:rPr>
      </w:pPr>
    </w:p>
    <w:p w14:paraId="4A7EAC02" w14:textId="78999680" w:rsidR="00CD62A0" w:rsidRPr="00526CAA" w:rsidRDefault="00CD62A0" w:rsidP="00CD62A0">
      <w:pPr>
        <w:pStyle w:val="ListParagraph"/>
        <w:numPr>
          <w:ilvl w:val="0"/>
          <w:numId w:val="5"/>
        </w:numPr>
        <w:spacing w:line="254" w:lineRule="auto"/>
        <w:jc w:val="left"/>
      </w:pPr>
      <w:r w:rsidRPr="00526CAA">
        <w:t xml:space="preserve">LIGNE GRAPHIQUE SUR LES RESEAUX SOCIAUX </w:t>
      </w:r>
    </w:p>
    <w:p w14:paraId="37AB7A33" w14:textId="1D493B37" w:rsidR="00CD62A0" w:rsidRDefault="00003A62" w:rsidP="00CD62A0">
      <w:pPr>
        <w:numPr>
          <w:ilvl w:val="0"/>
          <w:numId w:val="6"/>
        </w:numPr>
        <w:shd w:val="clear" w:color="auto" w:fill="FFFFFF"/>
        <w:jc w:val="left"/>
      </w:pPr>
      <w:r>
        <w:t>L’importance du g</w:t>
      </w:r>
      <w:r w:rsidR="00CD62A0" w:rsidRPr="00526CAA">
        <w:t xml:space="preserve">raphisme </w:t>
      </w:r>
      <w:r>
        <w:t>pour la</w:t>
      </w:r>
      <w:r w:rsidR="00CD62A0" w:rsidRPr="00526CAA">
        <w:t xml:space="preserve"> création de contenu </w:t>
      </w:r>
    </w:p>
    <w:p w14:paraId="2E13F19D" w14:textId="77777777" w:rsidR="00003A62" w:rsidRDefault="00003A62" w:rsidP="00003A62">
      <w:pPr>
        <w:numPr>
          <w:ilvl w:val="0"/>
          <w:numId w:val="6"/>
        </w:numPr>
        <w:shd w:val="clear" w:color="auto" w:fill="FFFFFF"/>
        <w:jc w:val="left"/>
      </w:pPr>
      <w:r>
        <w:t xml:space="preserve">Les </w:t>
      </w:r>
      <w:r w:rsidRPr="00003A62">
        <w:t xml:space="preserve">outils </w:t>
      </w:r>
      <w:r>
        <w:t xml:space="preserve">gratuits </w:t>
      </w:r>
      <w:r w:rsidRPr="00003A62">
        <w:t xml:space="preserve">pour créer </w:t>
      </w:r>
      <w:r>
        <w:t>des</w:t>
      </w:r>
      <w:r w:rsidRPr="00003A62">
        <w:t xml:space="preserve"> visuels réseaux sociaux</w:t>
      </w:r>
    </w:p>
    <w:p w14:paraId="724F6DBA" w14:textId="767201AA" w:rsidR="00003A62" w:rsidRDefault="00003A62" w:rsidP="00003A62">
      <w:pPr>
        <w:numPr>
          <w:ilvl w:val="0"/>
          <w:numId w:val="6"/>
        </w:numPr>
        <w:shd w:val="clear" w:color="auto" w:fill="FFFFFF"/>
        <w:jc w:val="left"/>
      </w:pPr>
      <w:r>
        <w:t xml:space="preserve">Introduction aux logiciels de création de contenu Adobe </w:t>
      </w:r>
    </w:p>
    <w:p w14:paraId="0EB6D5FD" w14:textId="77777777" w:rsidR="00AD04C0" w:rsidRDefault="00AD04C0" w:rsidP="00AD04C0">
      <w:pPr>
        <w:shd w:val="clear" w:color="auto" w:fill="FFFFFF"/>
        <w:ind w:left="720"/>
        <w:jc w:val="left"/>
      </w:pPr>
    </w:p>
    <w:p w14:paraId="52B74E59" w14:textId="7897131C" w:rsidR="00003A62" w:rsidRPr="00EA722F" w:rsidRDefault="00003A62" w:rsidP="00EA722F">
      <w:pPr>
        <w:numPr>
          <w:ilvl w:val="0"/>
          <w:numId w:val="17"/>
        </w:numPr>
        <w:shd w:val="clear" w:color="auto" w:fill="FFFFFF"/>
        <w:jc w:val="left"/>
      </w:pPr>
      <w:r w:rsidRPr="00EA722F">
        <w:lastRenderedPageBreak/>
        <w:t>Photoshop</w:t>
      </w:r>
      <w:r w:rsidR="00CD62A0" w:rsidRPr="00CD62A0">
        <w:t> : réalisation et modification d’images</w:t>
      </w:r>
    </w:p>
    <w:p w14:paraId="2BFF5396" w14:textId="078CEB42" w:rsidR="00003A62" w:rsidRPr="00EA722F" w:rsidRDefault="00003A62" w:rsidP="00EA722F">
      <w:pPr>
        <w:numPr>
          <w:ilvl w:val="0"/>
          <w:numId w:val="17"/>
        </w:numPr>
        <w:shd w:val="clear" w:color="auto" w:fill="FFFFFF"/>
        <w:jc w:val="left"/>
      </w:pPr>
      <w:r w:rsidRPr="00EA722F">
        <w:t>InDesign</w:t>
      </w:r>
      <w:r w:rsidR="00EA722F">
        <w:t> : mise en page</w:t>
      </w:r>
      <w:r w:rsidR="00F0027A">
        <w:t xml:space="preserve"> pour la réalisation de flyers ou autre</w:t>
      </w:r>
    </w:p>
    <w:p w14:paraId="347E52D4" w14:textId="467A8229" w:rsidR="00003A62" w:rsidRPr="00CD62A0" w:rsidRDefault="00003A62" w:rsidP="00EA722F">
      <w:pPr>
        <w:numPr>
          <w:ilvl w:val="0"/>
          <w:numId w:val="17"/>
        </w:numPr>
        <w:shd w:val="clear" w:color="auto" w:fill="FFFFFF"/>
        <w:jc w:val="left"/>
      </w:pPr>
      <w:proofErr w:type="spellStart"/>
      <w:r w:rsidRPr="00EA722F">
        <w:t>Premiere</w:t>
      </w:r>
      <w:proofErr w:type="spellEnd"/>
      <w:r w:rsidRPr="00EA722F">
        <w:t xml:space="preserve"> Pro : montage et réalisation de vidéo </w:t>
      </w:r>
    </w:p>
    <w:p w14:paraId="051DDB4F" w14:textId="77777777" w:rsidR="00CD62A0" w:rsidRPr="00526CAA" w:rsidRDefault="00CD62A0" w:rsidP="00CD62A0">
      <w:pPr>
        <w:shd w:val="clear" w:color="auto" w:fill="FFFFFF"/>
        <w:jc w:val="left"/>
      </w:pPr>
    </w:p>
    <w:p w14:paraId="5EF4AE2C" w14:textId="2636EB83" w:rsidR="00526CAA" w:rsidRDefault="00526CAA" w:rsidP="003E5704">
      <w:pPr>
        <w:pStyle w:val="ListParagraph"/>
        <w:numPr>
          <w:ilvl w:val="0"/>
          <w:numId w:val="5"/>
        </w:numPr>
        <w:shd w:val="clear" w:color="auto" w:fill="FFFFFF"/>
        <w:jc w:val="left"/>
      </w:pPr>
      <w:r w:rsidRPr="00526CAA">
        <w:t>MESURER LES IMPACTS DE SA COMMUNICATION SUR LES RÉSEAUX</w:t>
      </w:r>
    </w:p>
    <w:p w14:paraId="55B653DD" w14:textId="77777777" w:rsidR="00CD62A0" w:rsidRDefault="00CD62A0" w:rsidP="00752C19">
      <w:pPr>
        <w:shd w:val="clear" w:color="auto" w:fill="FFFFFF"/>
        <w:jc w:val="left"/>
      </w:pPr>
    </w:p>
    <w:p w14:paraId="769AFDBA" w14:textId="497F1C0C" w:rsidR="00C661A1" w:rsidRPr="00C661A1" w:rsidRDefault="00C661A1" w:rsidP="00AD04C0">
      <w:pPr>
        <w:pStyle w:val="Heading2"/>
      </w:pPr>
      <w:r w:rsidRPr="00C661A1">
        <w:t>Méthodologie</w:t>
      </w:r>
    </w:p>
    <w:p w14:paraId="3304C015" w14:textId="5B9A23BC" w:rsidR="00C661A1" w:rsidRPr="00C661A1" w:rsidRDefault="00C661A1" w:rsidP="00C661A1">
      <w:pPr>
        <w:suppressAutoHyphens w:val="0"/>
        <w:autoSpaceDN/>
        <w:spacing w:after="200" w:line="276" w:lineRule="auto"/>
        <w:contextualSpacing/>
        <w:textAlignment w:val="auto"/>
      </w:pPr>
      <w:r w:rsidRPr="00C661A1">
        <w:t>La méthodologie pour cette formation devra être participative, reposant sur l’implication effective de l’ensemble des participants au déroulement de cet atelier à travers notamment :</w:t>
      </w:r>
    </w:p>
    <w:p w14:paraId="5849B4AD" w14:textId="0B6436FC" w:rsidR="00C661A1" w:rsidRPr="00C661A1" w:rsidRDefault="00C661A1" w:rsidP="00C661A1">
      <w:pPr>
        <w:pStyle w:val="ListParagraph"/>
        <w:numPr>
          <w:ilvl w:val="0"/>
          <w:numId w:val="7"/>
        </w:numPr>
        <w:suppressAutoHyphens w:val="0"/>
        <w:autoSpaceDN/>
        <w:spacing w:after="200" w:line="276" w:lineRule="auto"/>
        <w:contextualSpacing/>
        <w:textAlignment w:val="auto"/>
      </w:pPr>
      <w:r w:rsidRPr="00C661A1">
        <w:t xml:space="preserve">Présentations </w:t>
      </w:r>
      <w:r w:rsidR="003E5878">
        <w:t>théoriques</w:t>
      </w:r>
    </w:p>
    <w:p w14:paraId="1EA542E4" w14:textId="01FC4F25" w:rsidR="00C661A1" w:rsidRPr="00C661A1" w:rsidRDefault="002D0E56" w:rsidP="002D0E56">
      <w:pPr>
        <w:pStyle w:val="ListParagraph"/>
        <w:numPr>
          <w:ilvl w:val="0"/>
          <w:numId w:val="7"/>
        </w:numPr>
        <w:suppressAutoHyphens w:val="0"/>
        <w:autoSpaceDN/>
        <w:spacing w:after="200" w:line="276" w:lineRule="auto"/>
        <w:contextualSpacing/>
        <w:textAlignment w:val="auto"/>
      </w:pPr>
      <w:r>
        <w:t xml:space="preserve">Etudes de cas pratiques : sur la base de </w:t>
      </w:r>
      <w:r w:rsidR="003B2795">
        <w:t>cas précis relevant d</w:t>
      </w:r>
      <w:r>
        <w:t xml:space="preserve">es bonnes pratiques </w:t>
      </w:r>
      <w:r w:rsidR="003E5878">
        <w:t>des organisations humanitaires</w:t>
      </w:r>
    </w:p>
    <w:p w14:paraId="66F2DFC7" w14:textId="62FDD4FF" w:rsidR="00C661A1" w:rsidRDefault="00C661A1" w:rsidP="00C661A1">
      <w:pPr>
        <w:pStyle w:val="ListParagraph"/>
        <w:numPr>
          <w:ilvl w:val="0"/>
          <w:numId w:val="7"/>
        </w:numPr>
        <w:suppressAutoHyphens w:val="0"/>
        <w:autoSpaceDN/>
        <w:spacing w:after="200" w:line="276" w:lineRule="auto"/>
        <w:contextualSpacing/>
        <w:textAlignment w:val="auto"/>
      </w:pPr>
      <w:r w:rsidRPr="00C661A1">
        <w:t>Le consultant devra travailler en collaboratio</w:t>
      </w:r>
      <w:r w:rsidR="003E5878">
        <w:t>n avec la Section</w:t>
      </w:r>
      <w:r w:rsidR="003B2795">
        <w:t xml:space="preserve"> Communication </w:t>
      </w:r>
      <w:r w:rsidR="003E5878">
        <w:t xml:space="preserve">du bureau UNICEF Alger, en collaboration et avec le soutien du bureau UNICEF à </w:t>
      </w:r>
      <w:proofErr w:type="spellStart"/>
      <w:r w:rsidR="003E5878">
        <w:t>Rabouni</w:t>
      </w:r>
      <w:proofErr w:type="spellEnd"/>
      <w:r w:rsidR="003E5878">
        <w:t>.</w:t>
      </w:r>
    </w:p>
    <w:p w14:paraId="5DD31C71" w14:textId="71E28AD9" w:rsidR="00C661A1" w:rsidRPr="00752C19" w:rsidRDefault="00C160D1" w:rsidP="00752C19">
      <w:pPr>
        <w:pStyle w:val="ListParagraph"/>
        <w:numPr>
          <w:ilvl w:val="0"/>
          <w:numId w:val="7"/>
        </w:numPr>
        <w:suppressAutoHyphens w:val="0"/>
        <w:autoSpaceDN/>
        <w:spacing w:after="200" w:line="276" w:lineRule="auto"/>
        <w:contextualSpacing/>
        <w:textAlignment w:val="auto"/>
        <w:rPr>
          <w:rFonts w:cstheme="minorHAnsi"/>
          <w:sz w:val="24"/>
        </w:rPr>
      </w:pPr>
      <w:r>
        <w:t>La f</w:t>
      </w:r>
      <w:r w:rsidR="003E5878">
        <w:t>ormation se déroulera en arabe</w:t>
      </w:r>
    </w:p>
    <w:p w14:paraId="2448B493" w14:textId="0C4762EB" w:rsidR="00C661A1" w:rsidRDefault="00911EAA" w:rsidP="00AD04C0">
      <w:pPr>
        <w:pStyle w:val="Heading2"/>
      </w:pPr>
      <w:r>
        <w:t>Logistique de l</w:t>
      </w:r>
      <w:r w:rsidR="00C661A1" w:rsidRPr="00C661A1">
        <w:t>a formation</w:t>
      </w:r>
    </w:p>
    <w:p w14:paraId="57B5ECF2" w14:textId="011FE23F" w:rsidR="001704A2" w:rsidRPr="001704A2" w:rsidRDefault="001704A2" w:rsidP="001704A2">
      <w:r>
        <w:t xml:space="preserve">Le consultant devra proposer un agenda de formation sur la base des spécificités citées en point 5. </w:t>
      </w:r>
    </w:p>
    <w:p w14:paraId="4CEECAE7" w14:textId="39907F8A" w:rsidR="00C661A1" w:rsidRDefault="003E5878" w:rsidP="00C661A1">
      <w:pPr>
        <w:pStyle w:val="ListParagraph"/>
        <w:numPr>
          <w:ilvl w:val="0"/>
          <w:numId w:val="7"/>
        </w:numPr>
        <w:suppressAutoHyphens w:val="0"/>
        <w:autoSpaceDN/>
        <w:spacing w:after="200" w:line="276" w:lineRule="auto"/>
        <w:contextualSpacing/>
        <w:textAlignment w:val="auto"/>
      </w:pPr>
      <w:r>
        <w:t xml:space="preserve">Durée : </w:t>
      </w:r>
      <w:r w:rsidR="00F0027A">
        <w:t>5</w:t>
      </w:r>
      <w:r w:rsidR="00C661A1">
        <w:t xml:space="preserve"> jour</w:t>
      </w:r>
      <w:r w:rsidR="001704A2">
        <w:t>s</w:t>
      </w:r>
      <w:r w:rsidR="00C661A1">
        <w:t xml:space="preserve"> de </w:t>
      </w:r>
      <w:r w:rsidR="001704A2">
        <w:t xml:space="preserve">formation </w:t>
      </w:r>
    </w:p>
    <w:p w14:paraId="399149D6" w14:textId="0B837A02" w:rsidR="00C661A1" w:rsidRDefault="00C661A1" w:rsidP="00C661A1">
      <w:pPr>
        <w:pStyle w:val="ListParagraph"/>
        <w:numPr>
          <w:ilvl w:val="0"/>
          <w:numId w:val="7"/>
        </w:numPr>
        <w:suppressAutoHyphens w:val="0"/>
        <w:autoSpaceDN/>
        <w:spacing w:after="200" w:line="276" w:lineRule="auto"/>
        <w:contextualSpacing/>
        <w:textAlignment w:val="auto"/>
      </w:pPr>
      <w:r w:rsidRPr="00C661A1">
        <w:t>Lieu :</w:t>
      </w:r>
      <w:r w:rsidR="003E5878">
        <w:t xml:space="preserve"> c</w:t>
      </w:r>
      <w:r w:rsidRPr="00C661A1">
        <w:t>amps de réfugiés sahraouis à Tindouf.</w:t>
      </w:r>
    </w:p>
    <w:p w14:paraId="47C46CB1" w14:textId="55BB9C6C" w:rsidR="00C4106F" w:rsidRDefault="003E5878" w:rsidP="00C661A1">
      <w:pPr>
        <w:pStyle w:val="ListParagraph"/>
        <w:numPr>
          <w:ilvl w:val="0"/>
          <w:numId w:val="7"/>
        </w:numPr>
        <w:suppressAutoHyphens w:val="0"/>
        <w:autoSpaceDN/>
        <w:spacing w:after="200" w:line="276" w:lineRule="auto"/>
        <w:contextualSpacing/>
        <w:textAlignment w:val="auto"/>
      </w:pPr>
      <w:r>
        <w:t>Période</w:t>
      </w:r>
      <w:r w:rsidR="00C4106F">
        <w:t> : entre le 1</w:t>
      </w:r>
      <w:r w:rsidR="007428D8">
        <w:t>0</w:t>
      </w:r>
      <w:r w:rsidR="00C4106F">
        <w:t xml:space="preserve"> </w:t>
      </w:r>
      <w:r w:rsidR="007428D8">
        <w:t>NOVEMBRE</w:t>
      </w:r>
      <w:r w:rsidR="00C4106F">
        <w:t xml:space="preserve"> et le </w:t>
      </w:r>
      <w:r w:rsidR="007428D8">
        <w:t>05</w:t>
      </w:r>
      <w:r w:rsidR="00C4106F">
        <w:t xml:space="preserve"> </w:t>
      </w:r>
      <w:r w:rsidR="007428D8">
        <w:t>DECEMBRE</w:t>
      </w:r>
      <w:bookmarkStart w:id="1" w:name="_GoBack"/>
      <w:bookmarkEnd w:id="1"/>
      <w:r w:rsidR="00C4106F">
        <w:t xml:space="preserve"> 2019</w:t>
      </w:r>
    </w:p>
    <w:p w14:paraId="0EF339F2" w14:textId="1ECAE078" w:rsidR="00911EAA" w:rsidRPr="00C661A1" w:rsidRDefault="00911EAA" w:rsidP="00C661A1">
      <w:pPr>
        <w:pStyle w:val="ListParagraph"/>
        <w:numPr>
          <w:ilvl w:val="0"/>
          <w:numId w:val="7"/>
        </w:numPr>
        <w:suppressAutoHyphens w:val="0"/>
        <w:autoSpaceDN/>
        <w:spacing w:after="200" w:line="276" w:lineRule="auto"/>
        <w:contextualSpacing/>
        <w:textAlignment w:val="auto"/>
      </w:pPr>
      <w:r>
        <w:t xml:space="preserve">Nombre de participants : 5 </w:t>
      </w:r>
    </w:p>
    <w:p w14:paraId="6108D581" w14:textId="29AA8E37" w:rsidR="008279FF" w:rsidRDefault="00CC071B" w:rsidP="00AD04C0">
      <w:pPr>
        <w:pStyle w:val="Heading2"/>
      </w:pPr>
      <w:r>
        <w:t>Livrables</w:t>
      </w:r>
    </w:p>
    <w:p w14:paraId="7EC89C73" w14:textId="0F1E9A57" w:rsidR="00C661A1" w:rsidRPr="00C661A1" w:rsidRDefault="00C661A1" w:rsidP="00C661A1">
      <w:pPr>
        <w:suppressAutoHyphens w:val="0"/>
        <w:autoSpaceDN/>
        <w:spacing w:after="200" w:line="276" w:lineRule="auto"/>
        <w:contextualSpacing/>
        <w:textAlignment w:val="auto"/>
      </w:pPr>
      <w:r w:rsidRPr="00C661A1">
        <w:t>Le consultant devra produire les éléments suivants et selon un échéancier prédéfini :</w:t>
      </w:r>
    </w:p>
    <w:p w14:paraId="7126DA91" w14:textId="5AA45D61" w:rsidR="00C661A1" w:rsidRPr="00C661A1" w:rsidRDefault="00C661A1" w:rsidP="00C661A1">
      <w:pPr>
        <w:pStyle w:val="ListParagraph"/>
        <w:numPr>
          <w:ilvl w:val="0"/>
          <w:numId w:val="7"/>
        </w:numPr>
        <w:suppressAutoHyphens w:val="0"/>
        <w:autoSpaceDN/>
        <w:spacing w:after="200" w:line="276" w:lineRule="auto"/>
        <w:contextualSpacing/>
        <w:textAlignment w:val="auto"/>
      </w:pPr>
      <w:r w:rsidRPr="00C661A1">
        <w:t>Projet de programme</w:t>
      </w:r>
      <w:r w:rsidR="001704A2">
        <w:t xml:space="preserve"> et d’agenda</w:t>
      </w:r>
      <w:r w:rsidRPr="00C661A1">
        <w:t xml:space="preserve"> (2 semaines avant la formation)</w:t>
      </w:r>
    </w:p>
    <w:p w14:paraId="7A9BD100" w14:textId="3EF264B7" w:rsidR="00C661A1" w:rsidRPr="00C661A1" w:rsidRDefault="00C661A1" w:rsidP="00C661A1">
      <w:pPr>
        <w:pStyle w:val="ListParagraph"/>
        <w:numPr>
          <w:ilvl w:val="0"/>
          <w:numId w:val="7"/>
        </w:numPr>
        <w:suppressAutoHyphens w:val="0"/>
        <w:autoSpaceDN/>
        <w:spacing w:after="200" w:line="276" w:lineRule="auto"/>
        <w:contextualSpacing/>
        <w:textAlignment w:val="auto"/>
      </w:pPr>
      <w:r w:rsidRPr="00C661A1">
        <w:t>Proposition de présentations, animation (</w:t>
      </w:r>
      <w:r>
        <w:t>2</w:t>
      </w:r>
      <w:r w:rsidRPr="00C661A1">
        <w:t xml:space="preserve"> </w:t>
      </w:r>
      <w:proofErr w:type="gramStart"/>
      <w:r w:rsidRPr="00C661A1">
        <w:t>semaine</w:t>
      </w:r>
      <w:proofErr w:type="gramEnd"/>
      <w:r w:rsidRPr="00C661A1">
        <w:t xml:space="preserve"> avant la formation)</w:t>
      </w:r>
    </w:p>
    <w:p w14:paraId="1AB3A728" w14:textId="70FAF1F3" w:rsidR="00C661A1" w:rsidRDefault="00C661A1" w:rsidP="00C661A1">
      <w:pPr>
        <w:pStyle w:val="ListParagraph"/>
        <w:numPr>
          <w:ilvl w:val="0"/>
          <w:numId w:val="7"/>
        </w:numPr>
        <w:suppressAutoHyphens w:val="0"/>
        <w:autoSpaceDN/>
        <w:spacing w:after="200" w:line="276" w:lineRule="auto"/>
        <w:contextualSpacing/>
        <w:textAlignment w:val="auto"/>
      </w:pPr>
      <w:r w:rsidRPr="00C661A1">
        <w:t>Programme final (1 semaine avant la formation)</w:t>
      </w:r>
    </w:p>
    <w:p w14:paraId="6620FA06" w14:textId="64DF08CE" w:rsidR="00CC071B" w:rsidRDefault="00CC071B" w:rsidP="00C661A1">
      <w:pPr>
        <w:pStyle w:val="ListParagraph"/>
        <w:numPr>
          <w:ilvl w:val="0"/>
          <w:numId w:val="7"/>
        </w:numPr>
        <w:suppressAutoHyphens w:val="0"/>
        <w:autoSpaceDN/>
        <w:spacing w:after="200" w:line="276" w:lineRule="auto"/>
        <w:contextualSpacing/>
        <w:textAlignment w:val="auto"/>
      </w:pPr>
      <w:r>
        <w:t xml:space="preserve">Documentation de formation </w:t>
      </w:r>
      <w:r w:rsidR="000225A5">
        <w:t>(1</w:t>
      </w:r>
      <w:r>
        <w:t xml:space="preserve"> semaine avant la formation)</w:t>
      </w:r>
    </w:p>
    <w:p w14:paraId="31792592" w14:textId="77777777" w:rsidR="003E5704" w:rsidRPr="00C661A1" w:rsidRDefault="003E5704" w:rsidP="003E5704">
      <w:pPr>
        <w:pStyle w:val="ListParagraph"/>
        <w:numPr>
          <w:ilvl w:val="0"/>
          <w:numId w:val="7"/>
        </w:numPr>
        <w:suppressAutoHyphens w:val="0"/>
        <w:autoSpaceDN/>
        <w:spacing w:after="200" w:line="276" w:lineRule="auto"/>
        <w:contextualSpacing/>
        <w:textAlignment w:val="auto"/>
      </w:pPr>
      <w:r w:rsidRPr="00C661A1">
        <w:t>Liste du matériel nécessaire (</w:t>
      </w:r>
      <w:r>
        <w:t xml:space="preserve">2 </w:t>
      </w:r>
      <w:r w:rsidRPr="00C661A1">
        <w:t>semaine</w:t>
      </w:r>
      <w:r>
        <w:t>s</w:t>
      </w:r>
      <w:r w:rsidRPr="00C661A1">
        <w:t xml:space="preserve"> avant la formation)</w:t>
      </w:r>
    </w:p>
    <w:p w14:paraId="79206253" w14:textId="561EC13A" w:rsidR="00C661A1" w:rsidRPr="00C661A1" w:rsidRDefault="00C661A1" w:rsidP="00C661A1">
      <w:pPr>
        <w:pStyle w:val="ListParagraph"/>
        <w:numPr>
          <w:ilvl w:val="0"/>
          <w:numId w:val="7"/>
        </w:numPr>
        <w:suppressAutoHyphens w:val="0"/>
        <w:autoSpaceDN/>
        <w:spacing w:after="200" w:line="276" w:lineRule="auto"/>
        <w:contextualSpacing/>
        <w:textAlignment w:val="auto"/>
      </w:pPr>
      <w:r w:rsidRPr="00C661A1">
        <w:t>Rapport final (</w:t>
      </w:r>
      <w:r>
        <w:t>7</w:t>
      </w:r>
      <w:r w:rsidRPr="00C661A1">
        <w:t xml:space="preserve"> jours après la formation) </w:t>
      </w:r>
    </w:p>
    <w:p w14:paraId="3D95D9C8" w14:textId="01F217BD" w:rsidR="008279FF" w:rsidRDefault="00707908" w:rsidP="00AD04C0">
      <w:pPr>
        <w:pStyle w:val="Heading2"/>
      </w:pPr>
      <w:r>
        <w:t>Qualifications / compétences requises</w:t>
      </w:r>
    </w:p>
    <w:p w14:paraId="38D0B0B6" w14:textId="25698530" w:rsidR="008279FF" w:rsidRDefault="00707908" w:rsidP="00CC071B">
      <w:pPr>
        <w:pStyle w:val="ListParagraph"/>
        <w:numPr>
          <w:ilvl w:val="0"/>
          <w:numId w:val="7"/>
        </w:numPr>
        <w:suppressAutoHyphens w:val="0"/>
        <w:autoSpaceDN/>
        <w:spacing w:after="200" w:line="276" w:lineRule="auto"/>
        <w:contextualSpacing/>
        <w:textAlignment w:val="auto"/>
      </w:pPr>
      <w:proofErr w:type="spellStart"/>
      <w:r>
        <w:t>Etre</w:t>
      </w:r>
      <w:proofErr w:type="spellEnd"/>
      <w:r>
        <w:t xml:space="preserve"> titulaire d’un diplôme univ</w:t>
      </w:r>
      <w:r w:rsidR="00A55257">
        <w:t>ersitaire</w:t>
      </w:r>
      <w:r w:rsidR="00752C19">
        <w:t xml:space="preserve"> en communication</w:t>
      </w:r>
      <w:r w:rsidR="00CC071B">
        <w:t xml:space="preserve"> </w:t>
      </w:r>
      <w:r w:rsidR="003E5704">
        <w:t>ou</w:t>
      </w:r>
      <w:r>
        <w:t xml:space="preserve"> autres domaines pertinents au poste</w:t>
      </w:r>
    </w:p>
    <w:p w14:paraId="391814E7" w14:textId="6B98CADE" w:rsidR="008279FF" w:rsidRDefault="00707908" w:rsidP="00CC071B">
      <w:pPr>
        <w:pStyle w:val="ListParagraph"/>
        <w:numPr>
          <w:ilvl w:val="0"/>
          <w:numId w:val="7"/>
        </w:numPr>
        <w:suppressAutoHyphens w:val="0"/>
        <w:autoSpaceDN/>
        <w:spacing w:after="200" w:line="276" w:lineRule="auto"/>
        <w:contextualSpacing/>
        <w:textAlignment w:val="auto"/>
      </w:pPr>
      <w:r w:rsidRPr="00CC071B">
        <w:t xml:space="preserve">Justifier </w:t>
      </w:r>
      <w:r w:rsidR="003E5704">
        <w:t>de</w:t>
      </w:r>
      <w:r w:rsidRPr="00CC071B">
        <w:t xml:space="preserve"> deux années d’expérience dans son domaine de formation</w:t>
      </w:r>
    </w:p>
    <w:p w14:paraId="75EB2E06" w14:textId="55428B19" w:rsidR="00F57252" w:rsidRPr="00C661A1" w:rsidRDefault="001704A2" w:rsidP="003E5878">
      <w:pPr>
        <w:pStyle w:val="ListParagraph"/>
        <w:numPr>
          <w:ilvl w:val="0"/>
          <w:numId w:val="7"/>
        </w:numPr>
        <w:suppressAutoHyphens w:val="0"/>
        <w:autoSpaceDN/>
        <w:spacing w:after="200" w:line="276" w:lineRule="auto"/>
        <w:contextualSpacing/>
        <w:textAlignment w:val="auto"/>
      </w:pPr>
      <w:r>
        <w:t xml:space="preserve">Justifier d’une expérience de formateur dans le domaine de la </w:t>
      </w:r>
      <w:r w:rsidR="00F57252" w:rsidRPr="00C661A1">
        <w:t>communication digitale et</w:t>
      </w:r>
      <w:r w:rsidR="00752C19">
        <w:t xml:space="preserve"> de la</w:t>
      </w:r>
      <w:r w:rsidR="00F57252" w:rsidRPr="00C661A1">
        <w:t xml:space="preserve"> création de contenu.</w:t>
      </w:r>
    </w:p>
    <w:p w14:paraId="6BE6B323" w14:textId="14F4A8DA" w:rsidR="008279FF" w:rsidRDefault="00707908" w:rsidP="00CC071B">
      <w:pPr>
        <w:pStyle w:val="ListParagraph"/>
        <w:numPr>
          <w:ilvl w:val="0"/>
          <w:numId w:val="7"/>
        </w:numPr>
        <w:suppressAutoHyphens w:val="0"/>
        <w:autoSpaceDN/>
        <w:spacing w:after="200" w:line="276" w:lineRule="auto"/>
        <w:contextualSpacing/>
        <w:textAlignment w:val="auto"/>
      </w:pPr>
      <w:r w:rsidRPr="00CC071B">
        <w:t>Avoir un engagement humanitaire fort et</w:t>
      </w:r>
      <w:r w:rsidR="00752C19">
        <w:t xml:space="preserve"> une</w:t>
      </w:r>
      <w:r w:rsidRPr="00CC071B">
        <w:t xml:space="preserve"> adhésion aux principes de base des Nations Unies</w:t>
      </w:r>
    </w:p>
    <w:p w14:paraId="0C734206" w14:textId="6CE7780F" w:rsidR="008279FF" w:rsidRDefault="00707908" w:rsidP="00CC071B">
      <w:pPr>
        <w:pStyle w:val="ListParagraph"/>
        <w:numPr>
          <w:ilvl w:val="0"/>
          <w:numId w:val="7"/>
        </w:numPr>
        <w:suppressAutoHyphens w:val="0"/>
        <w:autoSpaceDN/>
        <w:spacing w:after="200" w:line="276" w:lineRule="auto"/>
        <w:contextualSpacing/>
        <w:textAlignment w:val="auto"/>
      </w:pPr>
      <w:r w:rsidRPr="00CC071B">
        <w:t>Avoir de bonnes capacités d’analyse, de négociation et de communication</w:t>
      </w:r>
    </w:p>
    <w:p w14:paraId="3CB8A0D8" w14:textId="62C82699" w:rsidR="008279FF" w:rsidRDefault="00707908" w:rsidP="00CC071B">
      <w:pPr>
        <w:pStyle w:val="ListParagraph"/>
        <w:numPr>
          <w:ilvl w:val="0"/>
          <w:numId w:val="7"/>
        </w:numPr>
        <w:suppressAutoHyphens w:val="0"/>
        <w:autoSpaceDN/>
        <w:spacing w:after="200" w:line="276" w:lineRule="auto"/>
        <w:contextualSpacing/>
        <w:textAlignment w:val="auto"/>
      </w:pPr>
      <w:r w:rsidRPr="00CC071B">
        <w:lastRenderedPageBreak/>
        <w:t>Être en mesure de respecter les délais et être capable de travailler dans un environnement international et multiculturel</w:t>
      </w:r>
    </w:p>
    <w:p w14:paraId="6342806D" w14:textId="77777777" w:rsidR="00CC071B" w:rsidRDefault="00707908" w:rsidP="00CC071B">
      <w:pPr>
        <w:pStyle w:val="ListParagraph"/>
        <w:numPr>
          <w:ilvl w:val="0"/>
          <w:numId w:val="7"/>
        </w:numPr>
        <w:suppressAutoHyphens w:val="0"/>
        <w:autoSpaceDN/>
        <w:spacing w:after="200" w:line="276" w:lineRule="auto"/>
        <w:contextualSpacing/>
        <w:textAlignment w:val="auto"/>
      </w:pPr>
      <w:r w:rsidRPr="00CC071B">
        <w:t>Disposer de solides compétences organisationnelles et être attentif aux détails</w:t>
      </w:r>
    </w:p>
    <w:p w14:paraId="11FF4EF2" w14:textId="5FABF77E" w:rsidR="008279FF" w:rsidRDefault="00707908" w:rsidP="00CC071B">
      <w:pPr>
        <w:pStyle w:val="ListParagraph"/>
        <w:numPr>
          <w:ilvl w:val="0"/>
          <w:numId w:val="7"/>
        </w:numPr>
        <w:suppressAutoHyphens w:val="0"/>
        <w:autoSpaceDN/>
        <w:spacing w:after="200" w:line="276" w:lineRule="auto"/>
        <w:contextualSpacing/>
        <w:textAlignment w:val="auto"/>
      </w:pPr>
      <w:r w:rsidRPr="00CC071B">
        <w:t>Savoir planifier et hiérarchiser les tâches</w:t>
      </w:r>
    </w:p>
    <w:p w14:paraId="0A84508A" w14:textId="25BE8537" w:rsidR="008279FF" w:rsidRDefault="00707908" w:rsidP="00CC071B">
      <w:pPr>
        <w:pStyle w:val="ListParagraph"/>
        <w:numPr>
          <w:ilvl w:val="0"/>
          <w:numId w:val="7"/>
        </w:numPr>
        <w:suppressAutoHyphens w:val="0"/>
        <w:autoSpaceDN/>
        <w:spacing w:after="200" w:line="276" w:lineRule="auto"/>
        <w:contextualSpacing/>
        <w:textAlignment w:val="auto"/>
      </w:pPr>
      <w:r w:rsidRPr="00CC071B">
        <w:t>Avoir la capacité de travailler efficacement sous pression et dans des délais serrés</w:t>
      </w:r>
    </w:p>
    <w:p w14:paraId="11128192" w14:textId="647B691C" w:rsidR="008279FF" w:rsidRPr="00CC071B" w:rsidRDefault="00707908" w:rsidP="00CC071B">
      <w:pPr>
        <w:pStyle w:val="ListParagraph"/>
        <w:numPr>
          <w:ilvl w:val="0"/>
          <w:numId w:val="7"/>
        </w:numPr>
        <w:suppressAutoHyphens w:val="0"/>
        <w:autoSpaceDN/>
        <w:spacing w:after="200" w:line="276" w:lineRule="auto"/>
        <w:contextualSpacing/>
        <w:textAlignment w:val="auto"/>
      </w:pPr>
      <w:r w:rsidRPr="00CC071B">
        <w:t xml:space="preserve">Avoir une bonne maitrise des logiciels </w:t>
      </w:r>
      <w:r w:rsidR="00A55257" w:rsidRPr="00CC071B">
        <w:t xml:space="preserve">PAO </w:t>
      </w:r>
      <w:r w:rsidRPr="00CC071B">
        <w:t>et des technologies de l’information et de la communication</w:t>
      </w:r>
    </w:p>
    <w:p w14:paraId="0E0183CD" w14:textId="6834F934" w:rsidR="008279FF" w:rsidRDefault="00707908" w:rsidP="00CC071B">
      <w:pPr>
        <w:pStyle w:val="ListParagraph"/>
        <w:numPr>
          <w:ilvl w:val="0"/>
          <w:numId w:val="7"/>
        </w:numPr>
        <w:suppressAutoHyphens w:val="0"/>
        <w:autoSpaceDN/>
        <w:spacing w:after="200" w:line="276" w:lineRule="auto"/>
        <w:contextualSpacing/>
        <w:textAlignment w:val="auto"/>
      </w:pPr>
      <w:r w:rsidRPr="00CC071B">
        <w:t xml:space="preserve">Avoir de bonnes capacités de communication (écrite et orale) en </w:t>
      </w:r>
      <w:r w:rsidR="00752C19">
        <w:t>a</w:t>
      </w:r>
      <w:r w:rsidR="00A55257" w:rsidRPr="00CC071B">
        <w:t xml:space="preserve">rabe et </w:t>
      </w:r>
      <w:r w:rsidR="00752C19">
        <w:t>f</w:t>
      </w:r>
      <w:r w:rsidR="00A55257" w:rsidRPr="00CC071B">
        <w:t>rançais</w:t>
      </w:r>
      <w:r w:rsidRPr="00CC071B">
        <w:t>. La connaissance de l’espagnol serait un atout</w:t>
      </w:r>
    </w:p>
    <w:p w14:paraId="6B2A0711" w14:textId="59FAB840" w:rsidR="008279FF" w:rsidRPr="00CC071B" w:rsidRDefault="00707908" w:rsidP="002D0E56">
      <w:pPr>
        <w:pStyle w:val="ListParagraph"/>
        <w:numPr>
          <w:ilvl w:val="0"/>
          <w:numId w:val="7"/>
        </w:numPr>
        <w:suppressAutoHyphens w:val="0"/>
        <w:autoSpaceDN/>
        <w:spacing w:after="200" w:line="276" w:lineRule="auto"/>
        <w:contextualSpacing/>
        <w:textAlignment w:val="auto"/>
      </w:pPr>
      <w:r w:rsidRPr="00CC071B">
        <w:t>Toute expérience dans la mise en œuvre de projets associatifs ou à visée sociale serait un atout</w:t>
      </w:r>
    </w:p>
    <w:p w14:paraId="1DF5C250" w14:textId="77777777" w:rsidR="00334EF9" w:rsidRDefault="00334EF9" w:rsidP="00334EF9">
      <w:pPr>
        <w:pStyle w:val="Heading2"/>
        <w:rPr>
          <w:rFonts w:ascii="Arial Bold" w:hAnsi="Arial Bold"/>
          <w:szCs w:val="24"/>
        </w:rPr>
      </w:pPr>
      <w:r>
        <w:t>Documents à fournir lors de la soumission</w:t>
      </w:r>
    </w:p>
    <w:p w14:paraId="782C2870" w14:textId="77777777" w:rsidR="00334EF9" w:rsidRDefault="00334EF9" w:rsidP="00334EF9">
      <w:pPr>
        <w:spacing w:before="120" w:after="120" w:line="276" w:lineRule="auto"/>
      </w:pPr>
      <w:r>
        <w:t>Le(s) soumissionnaire(s) devra fournir les documents suivants :</w:t>
      </w:r>
    </w:p>
    <w:p w14:paraId="5118456D" w14:textId="77777777" w:rsidR="00334EF9" w:rsidRDefault="00334EF9" w:rsidP="00334EF9">
      <w:pPr>
        <w:pStyle w:val="ListParagraph"/>
        <w:numPr>
          <w:ilvl w:val="0"/>
          <w:numId w:val="22"/>
        </w:numPr>
        <w:suppressAutoHyphens w:val="0"/>
        <w:autoSpaceDN/>
        <w:spacing w:before="120" w:after="120" w:line="276" w:lineRule="auto"/>
        <w:ind w:left="360"/>
        <w:contextualSpacing/>
        <w:textAlignment w:val="auto"/>
      </w:pPr>
      <w:r>
        <w:t>Une offre technique explicitant la lecture que le consultant a des termes de références proposés, incluant les ajouts ou prolongements qu’il ou elle suggère d’apporter, la méthodologie qu’il/elle compte suivre pour réaliser cette consultation ainsi que le plan de travail proposé explicitant la chronologie des tâches et activités ainsi que l’estimation du nombre de jours/semaines prestées à distance ou en Algérie</w:t>
      </w:r>
    </w:p>
    <w:p w14:paraId="2B2C4070" w14:textId="77777777" w:rsidR="00334EF9" w:rsidRDefault="00334EF9" w:rsidP="00334EF9">
      <w:pPr>
        <w:pStyle w:val="ListParagraph"/>
        <w:numPr>
          <w:ilvl w:val="0"/>
          <w:numId w:val="23"/>
        </w:numPr>
        <w:suppressAutoHyphens w:val="0"/>
        <w:autoSpaceDN/>
        <w:spacing w:before="60" w:line="276" w:lineRule="auto"/>
        <w:contextualSpacing/>
        <w:textAlignment w:val="auto"/>
      </w:pPr>
      <w:r>
        <w:t>CV détaillé et actualisé</w:t>
      </w:r>
    </w:p>
    <w:p w14:paraId="5BB0DA5C" w14:textId="77777777" w:rsidR="00334EF9" w:rsidRDefault="00334EF9" w:rsidP="00334EF9">
      <w:pPr>
        <w:pStyle w:val="ListParagraph"/>
        <w:numPr>
          <w:ilvl w:val="0"/>
          <w:numId w:val="23"/>
        </w:numPr>
        <w:suppressAutoHyphens w:val="0"/>
        <w:autoSpaceDN/>
        <w:spacing w:before="60" w:line="276" w:lineRule="auto"/>
        <w:contextualSpacing/>
        <w:textAlignment w:val="auto"/>
      </w:pPr>
      <w:r>
        <w:t>Une lettre de motivation mettant en exergue les points forts du consultant en rapport avec la consultation</w:t>
      </w:r>
    </w:p>
    <w:p w14:paraId="2AB5D4D0" w14:textId="77777777" w:rsidR="00334EF9" w:rsidRDefault="00334EF9" w:rsidP="00334EF9">
      <w:pPr>
        <w:pStyle w:val="ListParagraph"/>
        <w:numPr>
          <w:ilvl w:val="0"/>
          <w:numId w:val="23"/>
        </w:numPr>
        <w:suppressAutoHyphens w:val="0"/>
        <w:autoSpaceDN/>
        <w:spacing w:before="60" w:line="276" w:lineRule="auto"/>
        <w:contextualSpacing/>
        <w:textAlignment w:val="auto"/>
      </w:pPr>
      <w:r>
        <w:t>Des références de ses travaux antérieurs en lien avec les présents Termes de Référence ; deux rapports antérieurs similaires à cette consultation seront transmis.</w:t>
      </w:r>
    </w:p>
    <w:p w14:paraId="1CB1FDCA" w14:textId="77777777" w:rsidR="00334EF9" w:rsidRDefault="00334EF9" w:rsidP="00334EF9">
      <w:pPr>
        <w:pStyle w:val="ListParagraph"/>
        <w:numPr>
          <w:ilvl w:val="0"/>
          <w:numId w:val="23"/>
        </w:numPr>
        <w:suppressAutoHyphens w:val="0"/>
        <w:autoSpaceDN/>
        <w:spacing w:before="60" w:line="276" w:lineRule="auto"/>
        <w:contextualSpacing/>
        <w:textAlignment w:val="auto"/>
      </w:pPr>
      <w:r>
        <w:t>Des attestations de clients sur des travaux pertinents</w:t>
      </w:r>
    </w:p>
    <w:p w14:paraId="7361FA22" w14:textId="77777777" w:rsidR="00334EF9" w:rsidRDefault="00334EF9" w:rsidP="00334EF9">
      <w:pPr>
        <w:pStyle w:val="ListParagraph"/>
        <w:numPr>
          <w:ilvl w:val="0"/>
          <w:numId w:val="22"/>
        </w:numPr>
        <w:suppressAutoHyphens w:val="0"/>
        <w:autoSpaceDN/>
        <w:spacing w:before="60" w:line="276" w:lineRule="auto"/>
        <w:ind w:left="360"/>
        <w:contextualSpacing/>
        <w:textAlignment w:val="auto"/>
        <w:rPr>
          <w:color w:val="222222"/>
        </w:rPr>
      </w:pPr>
      <w:r>
        <w:t xml:space="preserve">Une offre financière globale forfaitaire tenant compte de la rémunération souhaitée pour mener à bien l’ensemble de la mission sur la base des présents Termes de Reference. </w:t>
      </w:r>
      <w:r>
        <w:rPr>
          <w:color w:val="222222"/>
        </w:rPr>
        <w:t>Tous les arrangements de voyage, y compris les assurances et les visas, seront gérés et payés par le contractant. Par conséquent, les frais de déplacement prévus doivent être inclus en tant que poste budgétaire dans la proposition financière.</w:t>
      </w:r>
    </w:p>
    <w:p w14:paraId="10C5DCB2" w14:textId="77777777" w:rsidR="00334EF9" w:rsidRDefault="00334EF9" w:rsidP="00334EF9">
      <w:pPr>
        <w:rPr>
          <w:rFonts w:eastAsia="Times New Roman"/>
          <w:bCs/>
        </w:rPr>
      </w:pPr>
    </w:p>
    <w:p w14:paraId="11B05356" w14:textId="77777777" w:rsidR="00334EF9" w:rsidRDefault="00334EF9" w:rsidP="00334EF9">
      <w:pPr>
        <w:rPr>
          <w:rFonts w:eastAsiaTheme="minorHAnsi"/>
        </w:rPr>
      </w:pPr>
      <w:r>
        <w:rPr>
          <w:rFonts w:eastAsia="Times New Roman"/>
          <w:bCs/>
        </w:rPr>
        <w:t xml:space="preserve">Les formulaires de soumission (ici attachés), </w:t>
      </w:r>
      <w:r>
        <w:t>aideront l’élaboration des offres </w:t>
      </w:r>
      <w:r>
        <w:rPr>
          <w:rFonts w:eastAsia="Times New Roman"/>
          <w:bCs/>
        </w:rPr>
        <w:t>:</w:t>
      </w:r>
    </w:p>
    <w:p w14:paraId="3479C656" w14:textId="77777777" w:rsidR="00334EF9" w:rsidRDefault="00334EF9" w:rsidP="00334EF9">
      <w:pPr>
        <w:numPr>
          <w:ilvl w:val="0"/>
          <w:numId w:val="24"/>
        </w:numPr>
        <w:suppressAutoHyphens w:val="0"/>
        <w:autoSpaceDN/>
        <w:spacing w:after="200" w:line="276" w:lineRule="auto"/>
        <w:contextualSpacing/>
        <w:jc w:val="left"/>
        <w:textAlignment w:val="auto"/>
        <w:rPr>
          <w:rFonts w:eastAsia="Times New Roman"/>
        </w:rPr>
      </w:pPr>
      <w:r>
        <w:rPr>
          <w:rFonts w:eastAsia="Times New Roman"/>
        </w:rPr>
        <w:t>Formulaire de présentation de l'offre technique</w:t>
      </w:r>
    </w:p>
    <w:p w14:paraId="3EBA9EA5" w14:textId="77777777" w:rsidR="00334EF9" w:rsidRDefault="00334EF9" w:rsidP="00334EF9">
      <w:pPr>
        <w:numPr>
          <w:ilvl w:val="0"/>
          <w:numId w:val="24"/>
        </w:numPr>
        <w:suppressAutoHyphens w:val="0"/>
        <w:autoSpaceDN/>
        <w:spacing w:after="200" w:line="276" w:lineRule="auto"/>
        <w:contextualSpacing/>
        <w:jc w:val="left"/>
        <w:textAlignment w:val="auto"/>
        <w:rPr>
          <w:rFonts w:eastAsia="Times New Roman"/>
        </w:rPr>
      </w:pPr>
      <w:r>
        <w:rPr>
          <w:rFonts w:eastAsia="Times New Roman"/>
        </w:rPr>
        <w:t>Formulaire de présentation de l'offre financière</w:t>
      </w:r>
    </w:p>
    <w:bookmarkStart w:id="2" w:name="_MON_1629026643"/>
    <w:bookmarkEnd w:id="2"/>
    <w:p w14:paraId="1864EBC6" w14:textId="77777777" w:rsidR="00334EF9" w:rsidRDefault="00334EF9" w:rsidP="00334EF9">
      <w:pPr>
        <w:rPr>
          <w:rFonts w:eastAsiaTheme="minorHAnsi"/>
          <w:lang w:val="en-US"/>
        </w:rPr>
      </w:pPr>
      <w:r>
        <w:rPr>
          <w:rFonts w:eastAsiaTheme="minorHAnsi" w:cs="Arial"/>
          <w:szCs w:val="22"/>
          <w:lang w:val="en-US"/>
        </w:rPr>
        <w:object w:dxaOrig="1536" w:dyaOrig="996" w14:anchorId="53D6A8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Word.OpenDocumentText.12" ShapeID="_x0000_i1025" DrawAspect="Icon" ObjectID="_1633244744" r:id="rId9"/>
        </w:object>
      </w:r>
      <w:bookmarkStart w:id="3" w:name="_MON_1629026620"/>
      <w:bookmarkEnd w:id="3"/>
      <w:r>
        <w:rPr>
          <w:rFonts w:eastAsiaTheme="minorHAnsi" w:cs="Arial"/>
          <w:szCs w:val="22"/>
          <w:lang w:val="en-US"/>
        </w:rPr>
        <w:object w:dxaOrig="1536" w:dyaOrig="996" w14:anchorId="6CFF6C97">
          <v:shape id="_x0000_i1026" type="#_x0000_t75" style="width:76.5pt;height:49.5pt" o:ole="">
            <v:imagedata r:id="rId10" o:title=""/>
          </v:shape>
          <o:OLEObject Type="Embed" ProgID="Word.Document.12" ShapeID="_x0000_i1026" DrawAspect="Icon" ObjectID="_1633244745" r:id="rId11">
            <o:FieldCodes>\s</o:FieldCodes>
          </o:OLEObject>
        </w:object>
      </w:r>
    </w:p>
    <w:p w14:paraId="72B5B782" w14:textId="77777777" w:rsidR="00334EF9" w:rsidRDefault="00334EF9" w:rsidP="00334EF9">
      <w:r>
        <w:t>Il est à noter que les offres financières ne seront examinées que si les offres techniques sont jugées recevables et de qualité acceptable.</w:t>
      </w:r>
    </w:p>
    <w:p w14:paraId="404DF95A" w14:textId="77777777" w:rsidR="00334EF9" w:rsidRDefault="00334EF9" w:rsidP="00334EF9">
      <w:r>
        <w:t>Pour finalisation du contrat, les documents suivants seront fournis pour toutes les personnes contribuant à la mission :</w:t>
      </w:r>
    </w:p>
    <w:p w14:paraId="0A63C6BE" w14:textId="77777777" w:rsidR="00334EF9" w:rsidRDefault="00334EF9" w:rsidP="00334EF9">
      <w:pPr>
        <w:pStyle w:val="ListParagraph"/>
        <w:numPr>
          <w:ilvl w:val="0"/>
          <w:numId w:val="23"/>
        </w:numPr>
        <w:suppressAutoHyphens w:val="0"/>
        <w:autoSpaceDN/>
        <w:spacing w:after="60"/>
        <w:contextualSpacing/>
        <w:textAlignment w:val="auto"/>
      </w:pPr>
      <w:r>
        <w:t>Copies des diplômes universitaires et certificats de formation</w:t>
      </w:r>
    </w:p>
    <w:p w14:paraId="30CC20B8" w14:textId="77777777" w:rsidR="00334EF9" w:rsidRDefault="00334EF9" w:rsidP="00334EF9">
      <w:pPr>
        <w:pStyle w:val="ListParagraph"/>
        <w:numPr>
          <w:ilvl w:val="0"/>
          <w:numId w:val="23"/>
        </w:numPr>
        <w:suppressAutoHyphens w:val="0"/>
        <w:autoSpaceDN/>
        <w:spacing w:after="60"/>
        <w:contextualSpacing/>
        <w:textAlignment w:val="auto"/>
      </w:pPr>
      <w:r>
        <w:t xml:space="preserve">Formulaire P11 disponible sur le site de l'UNICEF : </w:t>
      </w:r>
      <w:hyperlink r:id="rId12" w:history="1">
        <w:r>
          <w:rPr>
            <w:rStyle w:val="Hyperlink"/>
          </w:rPr>
          <w:t>http://www.unicef.org/about/employ/files/P11.doc</w:t>
        </w:r>
      </w:hyperlink>
    </w:p>
    <w:p w14:paraId="22100771" w14:textId="77777777" w:rsidR="00334EF9" w:rsidRDefault="00334EF9" w:rsidP="00334EF9">
      <w:pPr>
        <w:pStyle w:val="Heading2"/>
      </w:pPr>
      <w:r>
        <w:lastRenderedPageBreak/>
        <w:t>Date de soumission des offres</w:t>
      </w:r>
    </w:p>
    <w:p w14:paraId="5BFA304C" w14:textId="64D2F64F" w:rsidR="00334EF9" w:rsidRDefault="00334EF9" w:rsidP="00334EF9">
      <w:pPr>
        <w:rPr>
          <w:bCs/>
          <w:sz w:val="23"/>
          <w:szCs w:val="23"/>
        </w:rPr>
      </w:pPr>
      <w:r>
        <w:t xml:space="preserve">La date limite de soumission est le </w:t>
      </w:r>
      <w:r w:rsidR="003D32E2">
        <w:rPr>
          <w:bCs/>
          <w:sz w:val="23"/>
          <w:szCs w:val="23"/>
        </w:rPr>
        <w:t>1</w:t>
      </w:r>
      <w:r w:rsidR="00F0738C">
        <w:rPr>
          <w:bCs/>
          <w:sz w:val="23"/>
          <w:szCs w:val="23"/>
        </w:rPr>
        <w:t>8</w:t>
      </w:r>
      <w:r>
        <w:rPr>
          <w:bCs/>
          <w:sz w:val="23"/>
          <w:szCs w:val="23"/>
        </w:rPr>
        <w:t xml:space="preserve"> septembre 2019.</w:t>
      </w:r>
    </w:p>
    <w:p w14:paraId="0C401E47" w14:textId="77777777" w:rsidR="00F0738C" w:rsidRDefault="00F0738C" w:rsidP="00334EF9">
      <w:pPr>
        <w:rPr>
          <w:b/>
          <w:bCs/>
          <w:kern w:val="36"/>
          <w:lang w:eastAsia="fr-FR"/>
        </w:rPr>
      </w:pPr>
    </w:p>
    <w:p w14:paraId="281BC0EE" w14:textId="12D63AA6" w:rsidR="00334EF9" w:rsidRDefault="00334EF9" w:rsidP="00334EF9">
      <w:pPr>
        <w:pStyle w:val="Heading2"/>
        <w:rPr>
          <w:bCs w:val="0"/>
        </w:rPr>
      </w:pPr>
      <w:r>
        <w:t xml:space="preserve">Evaluation des offres </w:t>
      </w:r>
      <w:r w:rsidR="00F0738C">
        <w:t>:</w:t>
      </w:r>
    </w:p>
    <w:p w14:paraId="4BC544D3" w14:textId="77777777" w:rsidR="00334EF9" w:rsidRDefault="00334EF9" w:rsidP="00334EF9">
      <w:r>
        <w:t>L’évaluation des offres sera faite sur la base suivante :</w:t>
      </w:r>
    </w:p>
    <w:p w14:paraId="69EE2EBD" w14:textId="77777777" w:rsidR="00334EF9" w:rsidRDefault="00334EF9" w:rsidP="00334EF9">
      <w:pPr>
        <w:suppressAutoHyphens w:val="0"/>
        <w:autoSpaceDN/>
        <w:ind w:left="720"/>
        <w:textAlignment w:val="auto"/>
      </w:pPr>
      <w:r>
        <w:t>Score pour la proposition technique : 70 points</w:t>
      </w:r>
    </w:p>
    <w:p w14:paraId="7183EB90" w14:textId="77777777" w:rsidR="00334EF9" w:rsidRDefault="00334EF9" w:rsidP="00334EF9">
      <w:pPr>
        <w:suppressAutoHyphens w:val="0"/>
        <w:autoSpaceDN/>
        <w:ind w:left="720"/>
        <w:textAlignment w:val="auto"/>
      </w:pPr>
      <w:r>
        <w:t>Score pour la proposition financière : 30 points</w:t>
      </w:r>
    </w:p>
    <w:p w14:paraId="6CF0EA85" w14:textId="77777777" w:rsidR="00334EF9" w:rsidRDefault="00334EF9" w:rsidP="00334EF9">
      <w:pPr>
        <w:suppressAutoHyphens w:val="0"/>
        <w:autoSpaceDN/>
        <w:spacing w:after="60" w:line="256" w:lineRule="auto"/>
        <w:contextualSpacing/>
        <w:jc w:val="left"/>
        <w:textAlignment w:val="auto"/>
      </w:pPr>
      <w:r>
        <w:t>L’évaluation des offres financières sera faite uniquement pour les candidats ayant obtenu au moins un score de 40 points au terme de l`évaluation technique.</w:t>
      </w:r>
    </w:p>
    <w:p w14:paraId="7161F037" w14:textId="77777777" w:rsidR="00334EF9" w:rsidRDefault="00334EF9" w:rsidP="00334EF9"/>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6378"/>
        <w:gridCol w:w="1440"/>
      </w:tblGrid>
      <w:tr w:rsidR="00334EF9" w14:paraId="3B3E8B0C" w14:textId="77777777" w:rsidTr="009D0E34">
        <w:tc>
          <w:tcPr>
            <w:tcW w:w="1537" w:type="dxa"/>
            <w:tcBorders>
              <w:top w:val="single" w:sz="4" w:space="0" w:color="auto"/>
              <w:left w:val="single" w:sz="4" w:space="0" w:color="auto"/>
              <w:bottom w:val="single" w:sz="4" w:space="0" w:color="auto"/>
              <w:right w:val="single" w:sz="4" w:space="0" w:color="auto"/>
            </w:tcBorders>
            <w:hideMark/>
          </w:tcPr>
          <w:p w14:paraId="55497094" w14:textId="77777777" w:rsidR="00334EF9" w:rsidRDefault="00334EF9">
            <w:pPr>
              <w:rPr>
                <w:b/>
              </w:rPr>
            </w:pPr>
            <w:r>
              <w:rPr>
                <w:b/>
              </w:rPr>
              <w:t>Critères techniques</w:t>
            </w:r>
          </w:p>
        </w:tc>
        <w:tc>
          <w:tcPr>
            <w:tcW w:w="6378" w:type="dxa"/>
            <w:tcBorders>
              <w:top w:val="single" w:sz="4" w:space="0" w:color="auto"/>
              <w:left w:val="single" w:sz="4" w:space="0" w:color="auto"/>
              <w:bottom w:val="single" w:sz="4" w:space="0" w:color="auto"/>
              <w:right w:val="single" w:sz="4" w:space="0" w:color="auto"/>
            </w:tcBorders>
            <w:hideMark/>
          </w:tcPr>
          <w:p w14:paraId="7D70CEAE" w14:textId="77777777" w:rsidR="00334EF9" w:rsidRDefault="00334EF9">
            <w:pPr>
              <w:rPr>
                <w:b/>
              </w:rPr>
            </w:pPr>
            <w:r>
              <w:rPr>
                <w:b/>
              </w:rPr>
              <w:t>Sous-critères</w:t>
            </w:r>
          </w:p>
        </w:tc>
        <w:tc>
          <w:tcPr>
            <w:tcW w:w="1440" w:type="dxa"/>
            <w:tcBorders>
              <w:top w:val="single" w:sz="4" w:space="0" w:color="auto"/>
              <w:left w:val="single" w:sz="4" w:space="0" w:color="auto"/>
              <w:bottom w:val="single" w:sz="4" w:space="0" w:color="auto"/>
              <w:right w:val="single" w:sz="4" w:space="0" w:color="auto"/>
            </w:tcBorders>
            <w:hideMark/>
          </w:tcPr>
          <w:p w14:paraId="6BB5DF25" w14:textId="77777777" w:rsidR="00334EF9" w:rsidRDefault="00334EF9">
            <w:pPr>
              <w:rPr>
                <w:b/>
              </w:rPr>
            </w:pPr>
            <w:r>
              <w:rPr>
                <w:b/>
              </w:rPr>
              <w:t>Points max : 70</w:t>
            </w:r>
          </w:p>
        </w:tc>
      </w:tr>
      <w:tr w:rsidR="00334EF9" w14:paraId="0E0F14E7" w14:textId="77777777" w:rsidTr="009D0E34">
        <w:tc>
          <w:tcPr>
            <w:tcW w:w="1537" w:type="dxa"/>
            <w:vMerge w:val="restart"/>
            <w:tcBorders>
              <w:top w:val="single" w:sz="4" w:space="0" w:color="auto"/>
              <w:left w:val="single" w:sz="4" w:space="0" w:color="auto"/>
              <w:bottom w:val="single" w:sz="4" w:space="0" w:color="auto"/>
              <w:right w:val="single" w:sz="4" w:space="0" w:color="auto"/>
            </w:tcBorders>
            <w:hideMark/>
          </w:tcPr>
          <w:p w14:paraId="696927E5" w14:textId="77777777" w:rsidR="00334EF9" w:rsidRDefault="00334EF9">
            <w:r>
              <w:t>Réponse générale</w:t>
            </w:r>
          </w:p>
        </w:tc>
        <w:tc>
          <w:tcPr>
            <w:tcW w:w="6378" w:type="dxa"/>
            <w:tcBorders>
              <w:top w:val="single" w:sz="4" w:space="0" w:color="auto"/>
              <w:left w:val="single" w:sz="4" w:space="0" w:color="auto"/>
              <w:bottom w:val="single" w:sz="4" w:space="0" w:color="auto"/>
              <w:right w:val="single" w:sz="4" w:space="0" w:color="auto"/>
            </w:tcBorders>
            <w:hideMark/>
          </w:tcPr>
          <w:p w14:paraId="022C628C" w14:textId="77777777" w:rsidR="00334EF9" w:rsidRDefault="00334EF9">
            <w:r>
              <w:t>Complétude de la réponse</w:t>
            </w:r>
          </w:p>
        </w:tc>
        <w:tc>
          <w:tcPr>
            <w:tcW w:w="1440" w:type="dxa"/>
            <w:tcBorders>
              <w:top w:val="single" w:sz="4" w:space="0" w:color="auto"/>
              <w:left w:val="single" w:sz="4" w:space="0" w:color="auto"/>
              <w:bottom w:val="single" w:sz="4" w:space="0" w:color="auto"/>
              <w:right w:val="single" w:sz="4" w:space="0" w:color="auto"/>
            </w:tcBorders>
            <w:hideMark/>
          </w:tcPr>
          <w:p w14:paraId="7BCD4CFA" w14:textId="77777777" w:rsidR="00334EF9" w:rsidRDefault="00334EF9">
            <w:pPr>
              <w:ind w:right="383"/>
              <w:jc w:val="right"/>
            </w:pPr>
            <w:r>
              <w:t>5</w:t>
            </w:r>
          </w:p>
        </w:tc>
      </w:tr>
      <w:tr w:rsidR="00334EF9" w14:paraId="3C958704" w14:textId="77777777" w:rsidTr="009D0E34">
        <w:tc>
          <w:tcPr>
            <w:tcW w:w="0" w:type="auto"/>
            <w:vMerge/>
            <w:tcBorders>
              <w:top w:val="single" w:sz="4" w:space="0" w:color="auto"/>
              <w:left w:val="single" w:sz="4" w:space="0" w:color="auto"/>
              <w:bottom w:val="single" w:sz="4" w:space="0" w:color="auto"/>
              <w:right w:val="single" w:sz="4" w:space="0" w:color="auto"/>
            </w:tcBorders>
            <w:vAlign w:val="center"/>
            <w:hideMark/>
          </w:tcPr>
          <w:p w14:paraId="73A192B2" w14:textId="77777777" w:rsidR="00334EF9" w:rsidRDefault="00334EF9">
            <w:pPr>
              <w:rPr>
                <w:rFonts w:cs="Arial"/>
                <w:szCs w:val="22"/>
              </w:rPr>
            </w:pPr>
          </w:p>
        </w:tc>
        <w:tc>
          <w:tcPr>
            <w:tcW w:w="6378" w:type="dxa"/>
            <w:tcBorders>
              <w:top w:val="single" w:sz="4" w:space="0" w:color="auto"/>
              <w:left w:val="single" w:sz="4" w:space="0" w:color="auto"/>
              <w:bottom w:val="single" w:sz="4" w:space="0" w:color="auto"/>
              <w:right w:val="single" w:sz="4" w:space="0" w:color="auto"/>
            </w:tcBorders>
            <w:hideMark/>
          </w:tcPr>
          <w:p w14:paraId="18859A06" w14:textId="77777777" w:rsidR="00334EF9" w:rsidRDefault="00334EF9">
            <w:r>
              <w:t>Concordance entre la proposition et la requête</w:t>
            </w:r>
          </w:p>
        </w:tc>
        <w:tc>
          <w:tcPr>
            <w:tcW w:w="1440" w:type="dxa"/>
            <w:tcBorders>
              <w:top w:val="single" w:sz="4" w:space="0" w:color="auto"/>
              <w:left w:val="single" w:sz="4" w:space="0" w:color="auto"/>
              <w:bottom w:val="single" w:sz="4" w:space="0" w:color="auto"/>
              <w:right w:val="single" w:sz="4" w:space="0" w:color="auto"/>
            </w:tcBorders>
            <w:hideMark/>
          </w:tcPr>
          <w:p w14:paraId="58728642" w14:textId="77777777" w:rsidR="00334EF9" w:rsidRDefault="00334EF9">
            <w:pPr>
              <w:ind w:right="383"/>
              <w:jc w:val="right"/>
            </w:pPr>
            <w:r>
              <w:t>10</w:t>
            </w:r>
          </w:p>
        </w:tc>
      </w:tr>
      <w:tr w:rsidR="00334EF9" w14:paraId="1563CE46" w14:textId="77777777" w:rsidTr="009D0E34">
        <w:tc>
          <w:tcPr>
            <w:tcW w:w="0" w:type="auto"/>
            <w:vMerge/>
            <w:tcBorders>
              <w:top w:val="single" w:sz="4" w:space="0" w:color="auto"/>
              <w:left w:val="single" w:sz="4" w:space="0" w:color="auto"/>
              <w:bottom w:val="single" w:sz="4" w:space="0" w:color="auto"/>
              <w:right w:val="single" w:sz="4" w:space="0" w:color="auto"/>
            </w:tcBorders>
            <w:vAlign w:val="center"/>
            <w:hideMark/>
          </w:tcPr>
          <w:p w14:paraId="4F6973A7" w14:textId="77777777" w:rsidR="00334EF9" w:rsidRDefault="00334EF9">
            <w:pPr>
              <w:rPr>
                <w:rFonts w:cs="Arial"/>
                <w:szCs w:val="22"/>
              </w:rPr>
            </w:pPr>
          </w:p>
        </w:tc>
        <w:tc>
          <w:tcPr>
            <w:tcW w:w="6378" w:type="dxa"/>
            <w:tcBorders>
              <w:top w:val="single" w:sz="4" w:space="0" w:color="auto"/>
              <w:left w:val="single" w:sz="4" w:space="0" w:color="auto"/>
              <w:bottom w:val="single" w:sz="4" w:space="0" w:color="auto"/>
              <w:right w:val="single" w:sz="4" w:space="0" w:color="auto"/>
            </w:tcBorders>
            <w:hideMark/>
          </w:tcPr>
          <w:p w14:paraId="1B86A749" w14:textId="77777777" w:rsidR="00334EF9" w:rsidRDefault="00334EF9">
            <w:r>
              <w:t>Lecture critique (ajouts ou modifications proposés)</w:t>
            </w:r>
          </w:p>
        </w:tc>
        <w:tc>
          <w:tcPr>
            <w:tcW w:w="1440" w:type="dxa"/>
            <w:tcBorders>
              <w:top w:val="single" w:sz="4" w:space="0" w:color="auto"/>
              <w:left w:val="single" w:sz="4" w:space="0" w:color="auto"/>
              <w:bottom w:val="single" w:sz="4" w:space="0" w:color="auto"/>
              <w:right w:val="single" w:sz="4" w:space="0" w:color="auto"/>
            </w:tcBorders>
            <w:hideMark/>
          </w:tcPr>
          <w:p w14:paraId="17CC584A" w14:textId="77777777" w:rsidR="00334EF9" w:rsidRDefault="00334EF9">
            <w:pPr>
              <w:ind w:right="383"/>
              <w:jc w:val="right"/>
            </w:pPr>
            <w:r>
              <w:t>5</w:t>
            </w:r>
          </w:p>
        </w:tc>
      </w:tr>
      <w:tr w:rsidR="00334EF9" w14:paraId="715EC37A" w14:textId="77777777" w:rsidTr="009D0E34">
        <w:tc>
          <w:tcPr>
            <w:tcW w:w="1537" w:type="dxa"/>
            <w:vMerge w:val="restart"/>
            <w:tcBorders>
              <w:top w:val="single" w:sz="4" w:space="0" w:color="auto"/>
              <w:left w:val="single" w:sz="4" w:space="0" w:color="auto"/>
              <w:bottom w:val="single" w:sz="4" w:space="0" w:color="auto"/>
              <w:right w:val="single" w:sz="4" w:space="0" w:color="auto"/>
            </w:tcBorders>
            <w:hideMark/>
          </w:tcPr>
          <w:p w14:paraId="30ED2088" w14:textId="77777777" w:rsidR="00334EF9" w:rsidRDefault="00334EF9">
            <w:r>
              <w:t>Profil de l’expert</w:t>
            </w:r>
          </w:p>
        </w:tc>
        <w:tc>
          <w:tcPr>
            <w:tcW w:w="6378" w:type="dxa"/>
            <w:tcBorders>
              <w:top w:val="single" w:sz="4" w:space="0" w:color="auto"/>
              <w:left w:val="single" w:sz="4" w:space="0" w:color="auto"/>
              <w:bottom w:val="single" w:sz="4" w:space="0" w:color="auto"/>
              <w:right w:val="single" w:sz="4" w:space="0" w:color="auto"/>
            </w:tcBorders>
            <w:hideMark/>
          </w:tcPr>
          <w:p w14:paraId="1405D7BA" w14:textId="77777777" w:rsidR="00334EF9" w:rsidRDefault="00334EF9">
            <w:r>
              <w:t>Variété et intensité de l’expérience avec des projets similaires</w:t>
            </w:r>
          </w:p>
        </w:tc>
        <w:tc>
          <w:tcPr>
            <w:tcW w:w="1440" w:type="dxa"/>
            <w:tcBorders>
              <w:top w:val="single" w:sz="4" w:space="0" w:color="auto"/>
              <w:left w:val="single" w:sz="4" w:space="0" w:color="auto"/>
              <w:bottom w:val="single" w:sz="4" w:space="0" w:color="auto"/>
              <w:right w:val="single" w:sz="4" w:space="0" w:color="auto"/>
            </w:tcBorders>
            <w:hideMark/>
          </w:tcPr>
          <w:p w14:paraId="3F31B7A3" w14:textId="77777777" w:rsidR="00334EF9" w:rsidRDefault="00334EF9">
            <w:pPr>
              <w:ind w:right="383"/>
              <w:jc w:val="right"/>
            </w:pPr>
            <w:r>
              <w:t>15</w:t>
            </w:r>
          </w:p>
        </w:tc>
      </w:tr>
      <w:tr w:rsidR="00334EF9" w14:paraId="53BAC407" w14:textId="77777777" w:rsidTr="009D0E34">
        <w:tc>
          <w:tcPr>
            <w:tcW w:w="0" w:type="auto"/>
            <w:vMerge/>
            <w:tcBorders>
              <w:top w:val="single" w:sz="4" w:space="0" w:color="auto"/>
              <w:left w:val="single" w:sz="4" w:space="0" w:color="auto"/>
              <w:bottom w:val="single" w:sz="4" w:space="0" w:color="auto"/>
              <w:right w:val="single" w:sz="4" w:space="0" w:color="auto"/>
            </w:tcBorders>
            <w:vAlign w:val="center"/>
            <w:hideMark/>
          </w:tcPr>
          <w:p w14:paraId="5B7E024D" w14:textId="77777777" w:rsidR="00334EF9" w:rsidRDefault="00334EF9">
            <w:pPr>
              <w:rPr>
                <w:rFonts w:cs="Arial"/>
                <w:szCs w:val="22"/>
              </w:rPr>
            </w:pPr>
          </w:p>
        </w:tc>
        <w:tc>
          <w:tcPr>
            <w:tcW w:w="6378" w:type="dxa"/>
            <w:tcBorders>
              <w:top w:val="single" w:sz="4" w:space="0" w:color="auto"/>
              <w:left w:val="single" w:sz="4" w:space="0" w:color="auto"/>
              <w:bottom w:val="single" w:sz="4" w:space="0" w:color="auto"/>
              <w:right w:val="single" w:sz="4" w:space="0" w:color="auto"/>
            </w:tcBorders>
            <w:hideMark/>
          </w:tcPr>
          <w:p w14:paraId="0C2B1BDE" w14:textId="77777777" w:rsidR="00334EF9" w:rsidRDefault="00334EF9">
            <w:r>
              <w:t>Référence de l’expert</w:t>
            </w:r>
          </w:p>
        </w:tc>
        <w:tc>
          <w:tcPr>
            <w:tcW w:w="1440" w:type="dxa"/>
            <w:tcBorders>
              <w:top w:val="single" w:sz="4" w:space="0" w:color="auto"/>
              <w:left w:val="single" w:sz="4" w:space="0" w:color="auto"/>
              <w:bottom w:val="single" w:sz="4" w:space="0" w:color="auto"/>
              <w:right w:val="single" w:sz="4" w:space="0" w:color="auto"/>
            </w:tcBorders>
            <w:hideMark/>
          </w:tcPr>
          <w:p w14:paraId="6CD8C998" w14:textId="77777777" w:rsidR="00334EF9" w:rsidRDefault="00334EF9">
            <w:pPr>
              <w:ind w:right="383"/>
              <w:jc w:val="right"/>
            </w:pPr>
            <w:r>
              <w:t>5</w:t>
            </w:r>
          </w:p>
        </w:tc>
      </w:tr>
      <w:tr w:rsidR="00334EF9" w14:paraId="2482BDBF" w14:textId="77777777" w:rsidTr="009D0E34">
        <w:tc>
          <w:tcPr>
            <w:tcW w:w="0" w:type="auto"/>
            <w:vMerge/>
            <w:tcBorders>
              <w:top w:val="single" w:sz="4" w:space="0" w:color="auto"/>
              <w:left w:val="single" w:sz="4" w:space="0" w:color="auto"/>
              <w:bottom w:val="single" w:sz="4" w:space="0" w:color="auto"/>
              <w:right w:val="single" w:sz="4" w:space="0" w:color="auto"/>
            </w:tcBorders>
            <w:vAlign w:val="center"/>
            <w:hideMark/>
          </w:tcPr>
          <w:p w14:paraId="3EFF2B77" w14:textId="77777777" w:rsidR="00334EF9" w:rsidRDefault="00334EF9">
            <w:pPr>
              <w:rPr>
                <w:rFonts w:cs="Arial"/>
                <w:szCs w:val="22"/>
              </w:rPr>
            </w:pPr>
          </w:p>
        </w:tc>
        <w:tc>
          <w:tcPr>
            <w:tcW w:w="6378" w:type="dxa"/>
            <w:tcBorders>
              <w:top w:val="single" w:sz="4" w:space="0" w:color="auto"/>
              <w:left w:val="single" w:sz="4" w:space="0" w:color="auto"/>
              <w:bottom w:val="single" w:sz="4" w:space="0" w:color="auto"/>
              <w:right w:val="single" w:sz="4" w:space="0" w:color="auto"/>
            </w:tcBorders>
            <w:hideMark/>
          </w:tcPr>
          <w:p w14:paraId="5E3355C9" w14:textId="77777777" w:rsidR="00334EF9" w:rsidRDefault="00334EF9">
            <w:r>
              <w:t>Attestations fournies par des clients</w:t>
            </w:r>
          </w:p>
        </w:tc>
        <w:tc>
          <w:tcPr>
            <w:tcW w:w="1440" w:type="dxa"/>
            <w:tcBorders>
              <w:top w:val="single" w:sz="4" w:space="0" w:color="auto"/>
              <w:left w:val="single" w:sz="4" w:space="0" w:color="auto"/>
              <w:bottom w:val="single" w:sz="4" w:space="0" w:color="auto"/>
              <w:right w:val="single" w:sz="4" w:space="0" w:color="auto"/>
            </w:tcBorders>
            <w:hideMark/>
          </w:tcPr>
          <w:p w14:paraId="726EECE3" w14:textId="77777777" w:rsidR="00334EF9" w:rsidRDefault="00334EF9">
            <w:pPr>
              <w:ind w:right="383"/>
              <w:jc w:val="right"/>
            </w:pPr>
            <w:r>
              <w:t>5</w:t>
            </w:r>
          </w:p>
        </w:tc>
      </w:tr>
      <w:tr w:rsidR="00334EF9" w14:paraId="7AF797E9" w14:textId="77777777" w:rsidTr="009D0E34">
        <w:tc>
          <w:tcPr>
            <w:tcW w:w="1537" w:type="dxa"/>
            <w:tcBorders>
              <w:top w:val="single" w:sz="4" w:space="0" w:color="auto"/>
              <w:left w:val="single" w:sz="4" w:space="0" w:color="auto"/>
              <w:bottom w:val="single" w:sz="4" w:space="0" w:color="auto"/>
              <w:right w:val="single" w:sz="4" w:space="0" w:color="auto"/>
            </w:tcBorders>
            <w:hideMark/>
          </w:tcPr>
          <w:p w14:paraId="46B616D6" w14:textId="77777777" w:rsidR="00334EF9" w:rsidRDefault="00334EF9">
            <w:r>
              <w:t>Méthodologie et approche</w:t>
            </w:r>
          </w:p>
        </w:tc>
        <w:tc>
          <w:tcPr>
            <w:tcW w:w="6378" w:type="dxa"/>
            <w:tcBorders>
              <w:top w:val="single" w:sz="4" w:space="0" w:color="auto"/>
              <w:left w:val="single" w:sz="4" w:space="0" w:color="auto"/>
              <w:bottom w:val="single" w:sz="4" w:space="0" w:color="auto"/>
              <w:right w:val="single" w:sz="4" w:space="0" w:color="auto"/>
            </w:tcBorders>
            <w:hideMark/>
          </w:tcPr>
          <w:p w14:paraId="5296F066" w14:textId="77777777" w:rsidR="00334EF9" w:rsidRDefault="00334EF9">
            <w:r>
              <w:t xml:space="preserve">Explication détaillée de la méthodologie retenue et des outils éventuels à utiliser </w:t>
            </w:r>
          </w:p>
        </w:tc>
        <w:tc>
          <w:tcPr>
            <w:tcW w:w="1440" w:type="dxa"/>
            <w:tcBorders>
              <w:top w:val="single" w:sz="4" w:space="0" w:color="auto"/>
              <w:left w:val="single" w:sz="4" w:space="0" w:color="auto"/>
              <w:bottom w:val="single" w:sz="4" w:space="0" w:color="auto"/>
              <w:right w:val="single" w:sz="4" w:space="0" w:color="auto"/>
            </w:tcBorders>
            <w:hideMark/>
          </w:tcPr>
          <w:p w14:paraId="03915F09" w14:textId="77777777" w:rsidR="00334EF9" w:rsidRDefault="00334EF9">
            <w:pPr>
              <w:ind w:right="383"/>
              <w:jc w:val="right"/>
            </w:pPr>
            <w:r>
              <w:t>25</w:t>
            </w:r>
          </w:p>
        </w:tc>
      </w:tr>
      <w:tr w:rsidR="00334EF9" w14:paraId="1F689FBF" w14:textId="77777777" w:rsidTr="009D0E34">
        <w:tc>
          <w:tcPr>
            <w:tcW w:w="1537" w:type="dxa"/>
            <w:tcBorders>
              <w:top w:val="single" w:sz="4" w:space="0" w:color="auto"/>
              <w:left w:val="single" w:sz="4" w:space="0" w:color="auto"/>
              <w:bottom w:val="single" w:sz="4" w:space="0" w:color="auto"/>
              <w:right w:val="single" w:sz="4" w:space="0" w:color="auto"/>
            </w:tcBorders>
            <w:hideMark/>
          </w:tcPr>
          <w:p w14:paraId="078BB5F7" w14:textId="77777777" w:rsidR="00334EF9" w:rsidRDefault="00334EF9">
            <w:pPr>
              <w:rPr>
                <w:b/>
              </w:rPr>
            </w:pPr>
            <w:r>
              <w:rPr>
                <w:b/>
              </w:rPr>
              <w:t>Critères financiers</w:t>
            </w:r>
          </w:p>
        </w:tc>
        <w:tc>
          <w:tcPr>
            <w:tcW w:w="6378" w:type="dxa"/>
            <w:tcBorders>
              <w:top w:val="single" w:sz="4" w:space="0" w:color="auto"/>
              <w:left w:val="single" w:sz="4" w:space="0" w:color="auto"/>
              <w:bottom w:val="single" w:sz="4" w:space="0" w:color="auto"/>
              <w:right w:val="single" w:sz="4" w:space="0" w:color="auto"/>
            </w:tcBorders>
            <w:hideMark/>
          </w:tcPr>
          <w:p w14:paraId="15D08300" w14:textId="77777777" w:rsidR="00334EF9" w:rsidRDefault="00334EF9">
            <w:pPr>
              <w:rPr>
                <w:b/>
              </w:rPr>
            </w:pPr>
            <w:r>
              <w:rPr>
                <w:b/>
              </w:rPr>
              <w:t>Pertinence</w:t>
            </w:r>
          </w:p>
        </w:tc>
        <w:tc>
          <w:tcPr>
            <w:tcW w:w="1440" w:type="dxa"/>
            <w:tcBorders>
              <w:top w:val="single" w:sz="4" w:space="0" w:color="auto"/>
              <w:left w:val="single" w:sz="4" w:space="0" w:color="auto"/>
              <w:bottom w:val="single" w:sz="4" w:space="0" w:color="auto"/>
              <w:right w:val="single" w:sz="4" w:space="0" w:color="auto"/>
            </w:tcBorders>
            <w:hideMark/>
          </w:tcPr>
          <w:p w14:paraId="7B3E484D" w14:textId="77777777" w:rsidR="00334EF9" w:rsidRDefault="00334EF9" w:rsidP="009D0E34">
            <w:pPr>
              <w:ind w:right="72"/>
              <w:jc w:val="left"/>
              <w:rPr>
                <w:b/>
              </w:rPr>
            </w:pPr>
            <w:r>
              <w:rPr>
                <w:b/>
              </w:rPr>
              <w:t>Points max : 30</w:t>
            </w:r>
          </w:p>
        </w:tc>
      </w:tr>
    </w:tbl>
    <w:p w14:paraId="0BC519E9" w14:textId="77777777" w:rsidR="00334EF9" w:rsidRDefault="00334EF9" w:rsidP="00334EF9">
      <w:pPr>
        <w:rPr>
          <w:rFonts w:cs="Arial"/>
          <w:b/>
          <w:szCs w:val="22"/>
        </w:rPr>
      </w:pPr>
    </w:p>
    <w:p w14:paraId="237FC9FA" w14:textId="77777777" w:rsidR="00334EF9" w:rsidRDefault="00334EF9" w:rsidP="00334EF9">
      <w:pPr>
        <w:rPr>
          <w:color w:val="222222"/>
        </w:rPr>
      </w:pPr>
      <w:r>
        <w:rPr>
          <w:color w:val="222222"/>
        </w:rPr>
        <w:t>La proposition financière doit être décomposée pour chaque partie du travail proposé. Le nombre total de points alloués pour la composante financière est de 30. Le nombre maximal de points est attribué à la proposition de prix la plus basse qui est ouverte et comparée entre les entreprises / institutions invitées qui obtiennent les points seuils lors de l'évaluation de la composante technique. Toutes les autres propositions de prix recevront des points inversement proportionnels au prix le plus bas ; par exemple :</w:t>
      </w:r>
    </w:p>
    <w:p w14:paraId="7874367C" w14:textId="77777777" w:rsidR="00334EF9" w:rsidRDefault="00334EF9" w:rsidP="00334EF9">
      <w:pPr>
        <w:ind w:left="2880" w:firstLine="720"/>
        <w:jc w:val="center"/>
        <w:rPr>
          <w:color w:val="222222"/>
        </w:rPr>
      </w:pPr>
      <w:r>
        <w:rPr>
          <w:color w:val="222222"/>
        </w:rPr>
        <w:t>Max. Note pour la proposition de prix * Prix de la proposition la moins chère</w:t>
      </w:r>
    </w:p>
    <w:p w14:paraId="1D5B3BDE" w14:textId="77777777" w:rsidR="00334EF9" w:rsidRDefault="00334EF9" w:rsidP="00334EF9">
      <w:pPr>
        <w:rPr>
          <w:color w:val="222222"/>
        </w:rPr>
      </w:pPr>
      <w:r>
        <w:rPr>
          <w:color w:val="222222"/>
        </w:rPr>
        <w:t>Score pour la proposition de prix X =   __________________________________________</w:t>
      </w:r>
    </w:p>
    <w:p w14:paraId="50148133" w14:textId="77777777" w:rsidR="00334EF9" w:rsidRDefault="00334EF9" w:rsidP="00334EF9">
      <w:pPr>
        <w:ind w:left="4320" w:firstLine="720"/>
        <w:rPr>
          <w:color w:val="222222"/>
        </w:rPr>
      </w:pPr>
      <w:r>
        <w:rPr>
          <w:color w:val="222222"/>
        </w:rPr>
        <w:t>Prix ​​de la proposition X</w:t>
      </w:r>
    </w:p>
    <w:p w14:paraId="175A3C3F" w14:textId="77777777" w:rsidR="00F0738C" w:rsidRDefault="00F0738C" w:rsidP="00334EF9"/>
    <w:p w14:paraId="3E9416F3" w14:textId="5983261E" w:rsidR="00334EF9" w:rsidRDefault="00334EF9" w:rsidP="00334EF9">
      <w:r>
        <w:t>Tout dossier incomplet sera considéré comme irrecevable.</w:t>
      </w:r>
    </w:p>
    <w:p w14:paraId="732A36E3" w14:textId="77777777" w:rsidR="00F0738C" w:rsidRDefault="00F0738C" w:rsidP="00334EF9"/>
    <w:p w14:paraId="524145C9" w14:textId="7BC5ED36" w:rsidR="00334EF9" w:rsidRDefault="00334EF9" w:rsidP="00334EF9">
      <w:r>
        <w:t>Le/les experts sera/ont recruté(s) sur la base d’un contrat individuel ou institutionnel.</w:t>
      </w:r>
    </w:p>
    <w:p w14:paraId="52F56CF9" w14:textId="77777777" w:rsidR="00F0738C" w:rsidRDefault="00F0738C" w:rsidP="00334EF9"/>
    <w:p w14:paraId="2D1F243C" w14:textId="35888F7D" w:rsidR="00334EF9" w:rsidRDefault="00334EF9" w:rsidP="00334EF9">
      <w:r>
        <w:t>Le dossier de candidature comprenant l’ensemble des documents requis devra être posté en ligne.</w:t>
      </w:r>
    </w:p>
    <w:p w14:paraId="59D536EC" w14:textId="77777777" w:rsidR="00F0738C" w:rsidRDefault="00F0738C" w:rsidP="00334EF9"/>
    <w:p w14:paraId="1EBDE113" w14:textId="2C627FFF" w:rsidR="00334EF9" w:rsidRDefault="00334EF9" w:rsidP="00334EF9">
      <w:pPr>
        <w:rPr>
          <w:rFonts w:ascii="Calibri" w:hAnsi="Calibri" w:cs="Calibri"/>
        </w:rPr>
      </w:pPr>
      <w:r>
        <w:t>Le Système des Nations Unies (SNU) est attaché à la diversité et à l’intégration ; il ne tolère aucune forme d'exploitation, d'abus et de harcèlement.</w:t>
      </w:r>
    </w:p>
    <w:p w14:paraId="69A7E1FD" w14:textId="021A1A1D" w:rsidR="008279FF" w:rsidRDefault="00707908" w:rsidP="00C661A1">
      <w:pPr>
        <w:pStyle w:val="Titre2"/>
      </w:pPr>
      <w:r>
        <w:t xml:space="preserve">Date : </w:t>
      </w:r>
      <w:r w:rsidR="00334EF9">
        <w:t>27</w:t>
      </w:r>
      <w:r w:rsidR="00752C19">
        <w:t xml:space="preserve"> août</w:t>
      </w:r>
      <w:r w:rsidR="00C661A1">
        <w:t xml:space="preserve"> 2019</w:t>
      </w:r>
      <w:r>
        <w:t xml:space="preserve"> </w:t>
      </w:r>
    </w:p>
    <w:p w14:paraId="4B2C8FD3" w14:textId="77777777" w:rsidR="009D0E34" w:rsidRDefault="009D0E34" w:rsidP="00752C19"/>
    <w:p w14:paraId="67F70CAB" w14:textId="584CCD46" w:rsidR="00F0738C" w:rsidRDefault="00F0738C" w:rsidP="00F0738C"/>
    <w:p w14:paraId="7FC572E8" w14:textId="67EAB632" w:rsidR="00752C19" w:rsidRDefault="00752C19" w:rsidP="009D0E34">
      <w:pPr>
        <w:ind w:left="720" w:firstLine="720"/>
      </w:pPr>
    </w:p>
    <w:p w14:paraId="672212BD" w14:textId="2135BB26" w:rsidR="00752C19" w:rsidRDefault="00752C19" w:rsidP="00752C19"/>
    <w:p w14:paraId="30BAB18B" w14:textId="77777777" w:rsidR="009D0E34" w:rsidRDefault="009D0E34" w:rsidP="00752C19"/>
    <w:bookmarkEnd w:id="0"/>
    <w:p w14:paraId="6E6262CB" w14:textId="77777777" w:rsidR="00F0738C" w:rsidRPr="00752C19" w:rsidRDefault="00F0738C"/>
    <w:sectPr w:rsidR="00F0738C" w:rsidRPr="00752C19" w:rsidSect="0077299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1BDA9" w14:textId="77777777" w:rsidR="00A80E61" w:rsidRDefault="00A80E61">
      <w:r>
        <w:separator/>
      </w:r>
    </w:p>
  </w:endnote>
  <w:endnote w:type="continuationSeparator" w:id="0">
    <w:p w14:paraId="7B5BC45B" w14:textId="77777777" w:rsidR="00A80E61" w:rsidRDefault="00A8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4205A" w14:textId="77777777" w:rsidR="00A80E61" w:rsidRDefault="00A80E61">
      <w:r>
        <w:rPr>
          <w:color w:val="000000"/>
        </w:rPr>
        <w:separator/>
      </w:r>
    </w:p>
  </w:footnote>
  <w:footnote w:type="continuationSeparator" w:id="0">
    <w:p w14:paraId="280132D8" w14:textId="77777777" w:rsidR="00A80E61" w:rsidRDefault="00A80E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248F0E6"/>
    <w:lvl w:ilvl="0">
      <w:numFmt w:val="bullet"/>
      <w:lvlText w:val="*"/>
      <w:lvlJc w:val="left"/>
      <w:pPr>
        <w:ind w:left="0" w:firstLine="0"/>
      </w:pPr>
    </w:lvl>
  </w:abstractNum>
  <w:abstractNum w:abstractNumId="1" w15:restartNumberingAfterBreak="0">
    <w:nsid w:val="01E551D4"/>
    <w:multiLevelType w:val="hybridMultilevel"/>
    <w:tmpl w:val="5616F812"/>
    <w:lvl w:ilvl="0" w:tplc="873EE3E4">
      <w:start w:val="29"/>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A04DC5"/>
    <w:multiLevelType w:val="multilevel"/>
    <w:tmpl w:val="859EA54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 w15:restartNumberingAfterBreak="0">
    <w:nsid w:val="0FF25E99"/>
    <w:multiLevelType w:val="hybridMultilevel"/>
    <w:tmpl w:val="9A5E80F2"/>
    <w:lvl w:ilvl="0" w:tplc="CB7A8BC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0B77D85"/>
    <w:multiLevelType w:val="hybridMultilevel"/>
    <w:tmpl w:val="0F0241DC"/>
    <w:lvl w:ilvl="0" w:tplc="CEFC18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40AA1"/>
    <w:multiLevelType w:val="multilevel"/>
    <w:tmpl w:val="9F9A5A3C"/>
    <w:lvl w:ilvl="0">
      <w:numFmt w:val="bullet"/>
      <w:lvlText w:val=""/>
      <w:lvlJc w:val="left"/>
      <w:pPr>
        <w:ind w:left="720" w:hanging="360"/>
      </w:pPr>
      <w:rPr>
        <w:rFonts w:ascii="Symbol" w:hAnsi="Symbol"/>
        <w:sz w:val="20"/>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6" w15:restartNumberingAfterBreak="0">
    <w:nsid w:val="127076FE"/>
    <w:multiLevelType w:val="multilevel"/>
    <w:tmpl w:val="8D289B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2770E40"/>
    <w:multiLevelType w:val="hybridMultilevel"/>
    <w:tmpl w:val="D4903B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61256E0"/>
    <w:multiLevelType w:val="multilevel"/>
    <w:tmpl w:val="0E402A04"/>
    <w:styleLink w:val="WWOutlineListStyle"/>
    <w:lvl w:ilvl="0">
      <w:start w:val="1"/>
      <w:numFmt w:val="none"/>
      <w:lvlText w:val="%1"/>
      <w:lvlJc w:val="left"/>
    </w:lvl>
    <w:lvl w:ilvl="1">
      <w:start w:val="1"/>
      <w:numFmt w:val="decimal"/>
      <w:lvlText w:val="%2."/>
      <w:lvlJc w:val="left"/>
      <w:pPr>
        <w:ind w:left="108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C116F45"/>
    <w:multiLevelType w:val="hybridMultilevel"/>
    <w:tmpl w:val="B3AA19B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44813CB"/>
    <w:multiLevelType w:val="multilevel"/>
    <w:tmpl w:val="12C8E8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B744E1"/>
    <w:multiLevelType w:val="hybridMultilevel"/>
    <w:tmpl w:val="1EA61E50"/>
    <w:lvl w:ilvl="0" w:tplc="7B84DDD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791C7D"/>
    <w:multiLevelType w:val="multilevel"/>
    <w:tmpl w:val="499EB292"/>
    <w:styleLink w:val="WWOutlineListStyle1"/>
    <w:lvl w:ilvl="0">
      <w:start w:val="1"/>
      <w:numFmt w:val="none"/>
      <w:lvlText w:val="%1"/>
      <w:lvlJc w:val="left"/>
    </w:lvl>
    <w:lvl w:ilvl="1">
      <w:start w:val="1"/>
      <w:numFmt w:val="decimal"/>
      <w:lvlText w:val="%2."/>
      <w:lvlJc w:val="left"/>
      <w:pPr>
        <w:ind w:left="36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3CEA15D2"/>
    <w:multiLevelType w:val="hybridMultilevel"/>
    <w:tmpl w:val="D2A23992"/>
    <w:lvl w:ilvl="0" w:tplc="87C62B3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086F93"/>
    <w:multiLevelType w:val="multilevel"/>
    <w:tmpl w:val="7130D814"/>
    <w:lvl w:ilvl="0">
      <w:start w:val="1"/>
      <w:numFmt w:val="bullet"/>
      <w:lvlText w:val=""/>
      <w:lvlJc w:val="left"/>
      <w:pPr>
        <w:ind w:left="1440" w:hanging="360"/>
      </w:pPr>
      <w:rPr>
        <w:rFonts w:ascii="Symbol" w:hAnsi="Symbol" w:hint="default"/>
        <w:sz w:val="20"/>
      </w:rPr>
    </w:lvl>
    <w:lvl w:ilvl="1">
      <w:start w:val="1"/>
      <w:numFmt w:val="bullet"/>
      <w:lvlText w:val=""/>
      <w:lvlJc w:val="left"/>
      <w:pPr>
        <w:ind w:left="2160" w:hanging="360"/>
      </w:pPr>
      <w:rPr>
        <w:rFonts w:ascii="Symbol" w:hAnsi="Symbol" w:hint="default"/>
      </w:rPr>
    </w:lvl>
    <w:lvl w:ilvl="2">
      <w:numFmt w:val="bullet"/>
      <w:lvlText w:val=""/>
      <w:lvlJc w:val="left"/>
      <w:pPr>
        <w:ind w:left="2880" w:hanging="360"/>
      </w:pPr>
      <w:rPr>
        <w:rFonts w:ascii="Symbol" w:hAnsi="Symbol"/>
        <w:sz w:val="20"/>
      </w:rPr>
    </w:lvl>
    <w:lvl w:ilvl="3">
      <w:numFmt w:val="bullet"/>
      <w:lvlText w:val=""/>
      <w:lvlJc w:val="left"/>
      <w:pPr>
        <w:ind w:left="3600" w:hanging="360"/>
      </w:pPr>
      <w:rPr>
        <w:rFonts w:ascii="Symbol" w:hAnsi="Symbol"/>
        <w:sz w:val="20"/>
      </w:rPr>
    </w:lvl>
    <w:lvl w:ilvl="4">
      <w:numFmt w:val="bullet"/>
      <w:lvlText w:val=""/>
      <w:lvlJc w:val="left"/>
      <w:pPr>
        <w:ind w:left="4320" w:hanging="360"/>
      </w:pPr>
      <w:rPr>
        <w:rFonts w:ascii="Symbol" w:hAnsi="Symbol"/>
        <w:sz w:val="20"/>
      </w:rPr>
    </w:lvl>
    <w:lvl w:ilvl="5">
      <w:numFmt w:val="bullet"/>
      <w:lvlText w:val=""/>
      <w:lvlJc w:val="left"/>
      <w:pPr>
        <w:ind w:left="5040" w:hanging="360"/>
      </w:pPr>
      <w:rPr>
        <w:rFonts w:ascii="Symbol" w:hAnsi="Symbol"/>
        <w:sz w:val="20"/>
      </w:rPr>
    </w:lvl>
    <w:lvl w:ilvl="6">
      <w:numFmt w:val="bullet"/>
      <w:lvlText w:val=""/>
      <w:lvlJc w:val="left"/>
      <w:pPr>
        <w:ind w:left="5760" w:hanging="360"/>
      </w:pPr>
      <w:rPr>
        <w:rFonts w:ascii="Symbol" w:hAnsi="Symbol"/>
        <w:sz w:val="20"/>
      </w:rPr>
    </w:lvl>
    <w:lvl w:ilvl="7">
      <w:numFmt w:val="bullet"/>
      <w:lvlText w:val=""/>
      <w:lvlJc w:val="left"/>
      <w:pPr>
        <w:ind w:left="6480" w:hanging="360"/>
      </w:pPr>
      <w:rPr>
        <w:rFonts w:ascii="Symbol" w:hAnsi="Symbol"/>
        <w:sz w:val="20"/>
      </w:rPr>
    </w:lvl>
    <w:lvl w:ilvl="8">
      <w:numFmt w:val="bullet"/>
      <w:lvlText w:val=""/>
      <w:lvlJc w:val="left"/>
      <w:pPr>
        <w:ind w:left="7200" w:hanging="360"/>
      </w:pPr>
      <w:rPr>
        <w:rFonts w:ascii="Symbol" w:hAnsi="Symbol"/>
        <w:sz w:val="20"/>
      </w:rPr>
    </w:lvl>
  </w:abstractNum>
  <w:abstractNum w:abstractNumId="15" w15:restartNumberingAfterBreak="0">
    <w:nsid w:val="55E50C28"/>
    <w:multiLevelType w:val="multilevel"/>
    <w:tmpl w:val="2C4C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D56A1B"/>
    <w:multiLevelType w:val="hybridMultilevel"/>
    <w:tmpl w:val="C57E02B4"/>
    <w:lvl w:ilvl="0" w:tplc="CB7A8BC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08036FB"/>
    <w:multiLevelType w:val="hybridMultilevel"/>
    <w:tmpl w:val="1F125F86"/>
    <w:lvl w:ilvl="0" w:tplc="7C845E5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6"/>
  </w:num>
  <w:num w:numId="4">
    <w:abstractNumId w:val="2"/>
  </w:num>
  <w:num w:numId="5">
    <w:abstractNumId w:val="10"/>
  </w:num>
  <w:num w:numId="6">
    <w:abstractNumId w:val="5"/>
  </w:num>
  <w:num w:numId="7">
    <w:abstractNumId w:val="16"/>
  </w:num>
  <w:num w:numId="8">
    <w:abstractNumId w:val="12"/>
  </w:num>
  <w:num w:numId="9">
    <w:abstractNumId w:val="12"/>
  </w:num>
  <w:num w:numId="10">
    <w:abstractNumId w:val="3"/>
  </w:num>
  <w:num w:numId="11">
    <w:abstractNumId w:val="9"/>
  </w:num>
  <w:num w:numId="12">
    <w:abstractNumId w:val="12"/>
  </w:num>
  <w:num w:numId="13">
    <w:abstractNumId w:val="12"/>
  </w:num>
  <w:num w:numId="14">
    <w:abstractNumId w:val="0"/>
    <w:lvlOverride w:ilvl="0">
      <w:lvl w:ilvl="0">
        <w:numFmt w:val="bullet"/>
        <w:lvlText w:val=""/>
        <w:legacy w:legacy="1" w:legacySpace="0" w:legacyIndent="360"/>
        <w:lvlJc w:val="left"/>
        <w:pPr>
          <w:ind w:left="0" w:firstLine="0"/>
        </w:pPr>
        <w:rPr>
          <w:rFonts w:ascii="Symbol" w:hAnsi="Symbol" w:hint="default"/>
        </w:rPr>
      </w:lvl>
    </w:lvlOverride>
  </w:num>
  <w:num w:numId="15">
    <w:abstractNumId w:val="12"/>
  </w:num>
  <w:num w:numId="16">
    <w:abstractNumId w:val="15"/>
  </w:num>
  <w:num w:numId="17">
    <w:abstractNumId w:val="14"/>
  </w:num>
  <w:num w:numId="18">
    <w:abstractNumId w:val="4"/>
  </w:num>
  <w:num w:numId="19">
    <w:abstractNumId w:val="12"/>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9FF"/>
    <w:rsid w:val="00003A62"/>
    <w:rsid w:val="00013222"/>
    <w:rsid w:val="000225A5"/>
    <w:rsid w:val="001704A2"/>
    <w:rsid w:val="00217EFF"/>
    <w:rsid w:val="002505C8"/>
    <w:rsid w:val="00250B6B"/>
    <w:rsid w:val="002D0E56"/>
    <w:rsid w:val="00334EF9"/>
    <w:rsid w:val="003B2795"/>
    <w:rsid w:val="003B511F"/>
    <w:rsid w:val="003C2B9E"/>
    <w:rsid w:val="003D32E2"/>
    <w:rsid w:val="003E34B3"/>
    <w:rsid w:val="003E5704"/>
    <w:rsid w:val="003E5878"/>
    <w:rsid w:val="0049654D"/>
    <w:rsid w:val="0050323C"/>
    <w:rsid w:val="00526CAA"/>
    <w:rsid w:val="00532296"/>
    <w:rsid w:val="00614960"/>
    <w:rsid w:val="0066003A"/>
    <w:rsid w:val="00697952"/>
    <w:rsid w:val="006A2949"/>
    <w:rsid w:val="00707908"/>
    <w:rsid w:val="007428D8"/>
    <w:rsid w:val="00752C19"/>
    <w:rsid w:val="00772993"/>
    <w:rsid w:val="007751A4"/>
    <w:rsid w:val="007F13B8"/>
    <w:rsid w:val="008279FF"/>
    <w:rsid w:val="00830548"/>
    <w:rsid w:val="00860629"/>
    <w:rsid w:val="00870A7D"/>
    <w:rsid w:val="00911EAA"/>
    <w:rsid w:val="0092036C"/>
    <w:rsid w:val="009D0E34"/>
    <w:rsid w:val="00A01E30"/>
    <w:rsid w:val="00A55257"/>
    <w:rsid w:val="00A80E61"/>
    <w:rsid w:val="00AD04C0"/>
    <w:rsid w:val="00B56024"/>
    <w:rsid w:val="00C160D1"/>
    <w:rsid w:val="00C4106F"/>
    <w:rsid w:val="00C41B37"/>
    <w:rsid w:val="00C661A1"/>
    <w:rsid w:val="00C66C1F"/>
    <w:rsid w:val="00CC071B"/>
    <w:rsid w:val="00CD62A0"/>
    <w:rsid w:val="00CF09D8"/>
    <w:rsid w:val="00D62697"/>
    <w:rsid w:val="00DB059E"/>
    <w:rsid w:val="00DD0C7C"/>
    <w:rsid w:val="00DD3DCC"/>
    <w:rsid w:val="00E17BCD"/>
    <w:rsid w:val="00E64354"/>
    <w:rsid w:val="00EA722F"/>
    <w:rsid w:val="00F0027A"/>
    <w:rsid w:val="00F0738C"/>
    <w:rsid w:val="00F57252"/>
    <w:rsid w:val="00F723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C8DFD"/>
  <w15:docId w15:val="{B27E0D66-F1BC-44F6-9346-B66E5D0B9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spacing w:after="0"/>
      <w:jc w:val="both"/>
    </w:pPr>
    <w:rPr>
      <w:rFonts w:ascii="Arial" w:hAnsi="Arial"/>
      <w:szCs w:val="24"/>
      <w:lang w:val="fr-FR"/>
    </w:rPr>
  </w:style>
  <w:style w:type="paragraph" w:styleId="Heading1">
    <w:name w:val="heading 1"/>
    <w:basedOn w:val="Normal"/>
    <w:next w:val="Normal"/>
    <w:pPr>
      <w:keepNext/>
      <w:keepLines/>
      <w:spacing w:before="240"/>
      <w:outlineLvl w:val="0"/>
    </w:pPr>
    <w:rPr>
      <w:rFonts w:ascii="Calibri Light" w:eastAsia="Times New Roman" w:hAnsi="Calibri Light"/>
      <w:color w:val="2F5496"/>
      <w:sz w:val="32"/>
      <w:szCs w:val="32"/>
    </w:rPr>
  </w:style>
  <w:style w:type="paragraph" w:styleId="Heading2">
    <w:name w:val="heading 2"/>
    <w:basedOn w:val="Titre2"/>
    <w:next w:val="Normal"/>
    <w:autoRedefine/>
    <w:rsid w:val="00AD0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itre1">
    <w:name w:val="Titre 1"/>
    <w:basedOn w:val="Normal"/>
    <w:next w:val="Normal"/>
    <w:pPr>
      <w:keepNext/>
      <w:keepLines/>
      <w:spacing w:before="240"/>
      <w:outlineLvl w:val="0"/>
    </w:pPr>
    <w:rPr>
      <w:rFonts w:eastAsia="Times New Roman" w:cs="Arial"/>
      <w:b/>
      <w:color w:val="2F5496"/>
      <w:sz w:val="32"/>
      <w:szCs w:val="32"/>
      <w:lang w:val="en-US"/>
    </w:rPr>
  </w:style>
  <w:style w:type="paragraph" w:customStyle="1" w:styleId="Titre2">
    <w:name w:val="Titre 2"/>
    <w:basedOn w:val="Normal"/>
    <w:next w:val="Normal"/>
    <w:pPr>
      <w:keepNext/>
      <w:keepLines/>
      <w:spacing w:before="60" w:after="60"/>
      <w:outlineLvl w:val="1"/>
    </w:pPr>
    <w:rPr>
      <w:rFonts w:eastAsia="Times New Roman" w:cs="Arial"/>
      <w:b/>
      <w:bCs/>
      <w:color w:val="2F5496"/>
      <w:sz w:val="24"/>
      <w:szCs w:val="22"/>
    </w:rPr>
  </w:style>
  <w:style w:type="character" w:customStyle="1" w:styleId="Policepardfaut">
    <w:name w:val="Police par défaut"/>
  </w:style>
  <w:style w:type="character" w:customStyle="1" w:styleId="Heading2Char">
    <w:name w:val="Heading 2 Char"/>
    <w:basedOn w:val="Policepardfaut"/>
    <w:rPr>
      <w:rFonts w:ascii="Arial" w:eastAsia="Times New Roman" w:hAnsi="Arial" w:cs="Arial"/>
      <w:b/>
      <w:color w:val="2F5496"/>
      <w:sz w:val="24"/>
      <w:szCs w:val="26"/>
      <w:lang w:val="fr-FR"/>
    </w:rPr>
  </w:style>
  <w:style w:type="character" w:customStyle="1" w:styleId="Heading1Char">
    <w:name w:val="Heading 1 Char"/>
    <w:basedOn w:val="Policepardfaut"/>
    <w:rPr>
      <w:rFonts w:ascii="Arial" w:eastAsia="Times New Roman" w:hAnsi="Arial" w:cs="Arial"/>
      <w:b/>
      <w:color w:val="2F5496"/>
      <w:sz w:val="32"/>
      <w:szCs w:val="32"/>
    </w:rPr>
  </w:style>
  <w:style w:type="character" w:customStyle="1" w:styleId="Lienhypertexte">
    <w:name w:val="Lien hypertexte"/>
    <w:basedOn w:val="Policepardfaut"/>
    <w:rPr>
      <w:color w:val="0000FF"/>
      <w:u w:val="single"/>
    </w:rPr>
  </w:style>
  <w:style w:type="character" w:customStyle="1" w:styleId="tlid-translation">
    <w:name w:val="tlid-translation"/>
    <w:basedOn w:val="Policepardfaut"/>
  </w:style>
  <w:style w:type="paragraph" w:customStyle="1" w:styleId="Paragraphedeliste">
    <w:name w:val="Paragraphe de liste"/>
    <w:basedOn w:val="Normal"/>
    <w:pPr>
      <w:ind w:left="720"/>
    </w:pPr>
  </w:style>
  <w:style w:type="paragraph" w:customStyle="1" w:styleId="Default">
    <w:name w:val="Default"/>
    <w:pPr>
      <w:autoSpaceDE w:val="0"/>
      <w:spacing w:after="0"/>
      <w:textAlignment w:val="auto"/>
    </w:pPr>
    <w:rPr>
      <w:rFonts w:ascii="Arial" w:hAnsi="Arial" w:cs="Arial"/>
      <w:color w:val="000000"/>
      <w:sz w:val="24"/>
      <w:szCs w:val="24"/>
      <w:lang w:val="fr-FR"/>
    </w:rPr>
  </w:style>
  <w:style w:type="paragraph" w:styleId="NormalWeb">
    <w:name w:val="Normal (Web)"/>
    <w:basedOn w:val="Normal"/>
    <w:uiPriority w:val="99"/>
    <w:pPr>
      <w:suppressAutoHyphens w:val="0"/>
      <w:spacing w:before="100" w:after="100"/>
      <w:jc w:val="left"/>
      <w:textAlignment w:val="auto"/>
    </w:pPr>
    <w:rPr>
      <w:rFonts w:ascii="Times New Roman" w:eastAsia="Times New Roman" w:hAnsi="Times New Roman"/>
      <w:sz w:val="24"/>
      <w:lang w:eastAsia="fr-FR"/>
    </w:rPr>
  </w:style>
  <w:style w:type="paragraph" w:customStyle="1" w:styleId="Notedebasdepage">
    <w:name w:val="Note de bas de page"/>
    <w:basedOn w:val="Normal"/>
    <w:pPr>
      <w:suppressAutoHyphens w:val="0"/>
      <w:spacing w:after="60"/>
      <w:textAlignment w:val="auto"/>
    </w:pPr>
    <w:rPr>
      <w:rFonts w:eastAsia="Times New Roman" w:cs="Arial"/>
      <w:sz w:val="20"/>
      <w:szCs w:val="20"/>
      <w:lang w:val="en-US" w:eastAsia="fr-FR"/>
    </w:rPr>
  </w:style>
  <w:style w:type="character" w:customStyle="1" w:styleId="FootnoteTextChar">
    <w:name w:val="Footnote Text Char"/>
    <w:basedOn w:val="Policepardfaut"/>
    <w:rPr>
      <w:rFonts w:ascii="Arial" w:eastAsia="Times New Roman" w:hAnsi="Arial" w:cs="Arial"/>
      <w:sz w:val="20"/>
      <w:szCs w:val="20"/>
      <w:lang w:eastAsia="fr-FR"/>
    </w:rPr>
  </w:style>
  <w:style w:type="character" w:customStyle="1" w:styleId="Appelnotedebasdep">
    <w:name w:val="Appel note de bas de p."/>
    <w:rPr>
      <w:position w:val="0"/>
      <w:vertAlign w:val="superscript"/>
    </w:rPr>
  </w:style>
  <w:style w:type="paragraph" w:customStyle="1" w:styleId="Char2">
    <w:name w:val="Char2"/>
    <w:basedOn w:val="Normal"/>
    <w:pPr>
      <w:suppressAutoHyphens w:val="0"/>
      <w:spacing w:after="160" w:line="240" w:lineRule="exact"/>
      <w:textAlignment w:val="auto"/>
    </w:pPr>
    <w:rPr>
      <w:rFonts w:ascii="Calibri" w:hAnsi="Calibri"/>
      <w:szCs w:val="22"/>
      <w:vertAlign w:val="superscript"/>
      <w:lang w:val="en-US"/>
    </w:rPr>
  </w:style>
  <w:style w:type="character" w:customStyle="1" w:styleId="ListParagraphChar">
    <w:name w:val="List Paragraph Char"/>
    <w:aliases w:val="References Char,Liste couleur - Accent 11 Char,List Paragraph1 Char,Paragraphe de liste1 Char,Liste couleur - Accent 111 Char,Bullets Char,List Paragraph nowy Char,Numbered List Paragraph Char,List Paragraph (numbered (a)) Char"/>
    <w:uiPriority w:val="34"/>
    <w:rPr>
      <w:rFonts w:ascii="Arial" w:hAnsi="Arial"/>
      <w:szCs w:val="24"/>
      <w:lang w:val="fr-FR"/>
    </w:rPr>
  </w:style>
  <w:style w:type="character" w:styleId="CommentReference">
    <w:name w:val="annotation reference"/>
    <w:basedOn w:val="Policepardfaut"/>
    <w:rPr>
      <w:sz w:val="16"/>
      <w:szCs w:val="16"/>
    </w:rPr>
  </w:style>
  <w:style w:type="paragraph" w:styleId="CommentText">
    <w:name w:val="annotation text"/>
    <w:basedOn w:val="Normal"/>
    <w:rPr>
      <w:sz w:val="20"/>
      <w:szCs w:val="20"/>
    </w:rPr>
  </w:style>
  <w:style w:type="character" w:customStyle="1" w:styleId="CommentTextChar">
    <w:name w:val="Comment Text Char"/>
    <w:basedOn w:val="Policepardfaut"/>
    <w:rPr>
      <w:rFonts w:ascii="Arial" w:hAnsi="Arial"/>
      <w:sz w:val="20"/>
      <w:szCs w:val="20"/>
      <w:lang w:val="fr-FR"/>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hAnsi="Arial"/>
      <w:b/>
      <w:bCs/>
      <w:sz w:val="20"/>
      <w:szCs w:val="20"/>
      <w:lang w:val="fr-FR"/>
    </w:rPr>
  </w:style>
  <w:style w:type="paragraph" w:customStyle="1" w:styleId="Textedebulles">
    <w:name w:val="Texte de bulles"/>
    <w:basedOn w:val="Normal"/>
    <w:rPr>
      <w:rFonts w:ascii="Segoe UI" w:hAnsi="Segoe UI" w:cs="Segoe UI"/>
      <w:sz w:val="18"/>
      <w:szCs w:val="18"/>
    </w:rPr>
  </w:style>
  <w:style w:type="character" w:customStyle="1" w:styleId="BalloonTextChar">
    <w:name w:val="Balloon Text Char"/>
    <w:basedOn w:val="Policepardfaut"/>
    <w:rPr>
      <w:rFonts w:ascii="Segoe UI" w:hAnsi="Segoe UI" w:cs="Segoe UI"/>
      <w:sz w:val="18"/>
      <w:szCs w:val="18"/>
      <w:lang w:val="fr-FR"/>
    </w:rPr>
  </w:style>
  <w:style w:type="character" w:customStyle="1" w:styleId="Lienhypertextesuivivisit">
    <w:name w:val="Lien hypertexte suivi visité"/>
    <w:basedOn w:val="Policepardfaut"/>
    <w:rPr>
      <w:color w:val="954F72"/>
      <w:u w:val="single"/>
    </w:rPr>
  </w:style>
  <w:style w:type="paragraph" w:customStyle="1" w:styleId="En-tte">
    <w:name w:val="En-tête"/>
    <w:basedOn w:val="Normal"/>
    <w:pPr>
      <w:tabs>
        <w:tab w:val="center" w:pos="4513"/>
        <w:tab w:val="right" w:pos="9026"/>
      </w:tabs>
    </w:pPr>
  </w:style>
  <w:style w:type="character" w:customStyle="1" w:styleId="HeaderChar">
    <w:name w:val="Header Char"/>
    <w:basedOn w:val="Policepardfaut"/>
    <w:rPr>
      <w:rFonts w:ascii="Arial" w:hAnsi="Arial"/>
      <w:szCs w:val="24"/>
      <w:lang w:val="fr-FR"/>
    </w:rPr>
  </w:style>
  <w:style w:type="paragraph" w:customStyle="1" w:styleId="Pieddepage">
    <w:name w:val="Pied de page"/>
    <w:basedOn w:val="Normal"/>
    <w:pPr>
      <w:tabs>
        <w:tab w:val="center" w:pos="4513"/>
        <w:tab w:val="right" w:pos="9026"/>
      </w:tabs>
    </w:pPr>
  </w:style>
  <w:style w:type="character" w:customStyle="1" w:styleId="FooterChar">
    <w:name w:val="Footer Char"/>
    <w:basedOn w:val="Policepardfaut"/>
    <w:rPr>
      <w:rFonts w:ascii="Arial" w:hAnsi="Arial"/>
      <w:szCs w:val="24"/>
      <w:lang w:val="fr-FR"/>
    </w:rPr>
  </w:style>
  <w:style w:type="character" w:customStyle="1" w:styleId="Marquedecommentaire">
    <w:name w:val="Marque de commentaire"/>
    <w:basedOn w:val="Policepardfaut"/>
    <w:rPr>
      <w:sz w:val="16"/>
      <w:szCs w:val="16"/>
    </w:rPr>
  </w:style>
  <w:style w:type="paragraph" w:customStyle="1" w:styleId="Commentaire">
    <w:name w:val="Commentaire"/>
    <w:basedOn w:val="Normal"/>
    <w:rPr>
      <w:sz w:val="20"/>
      <w:szCs w:val="20"/>
    </w:rPr>
  </w:style>
  <w:style w:type="character" w:customStyle="1" w:styleId="CommentaireCar">
    <w:name w:val="Commentaire Car"/>
    <w:basedOn w:val="Policepardfaut"/>
    <w:rPr>
      <w:rFonts w:ascii="Arial" w:hAnsi="Arial"/>
      <w:sz w:val="20"/>
      <w:szCs w:val="20"/>
      <w:lang w:val="fr-FR"/>
    </w:rPr>
  </w:style>
  <w:style w:type="paragraph" w:customStyle="1" w:styleId="Objetducommentaire">
    <w:name w:val="Objet du commentaire"/>
    <w:basedOn w:val="Commentaire"/>
    <w:next w:val="Commentaire"/>
    <w:rPr>
      <w:b/>
      <w:bCs/>
    </w:rPr>
  </w:style>
  <w:style w:type="character" w:customStyle="1" w:styleId="ObjetducommentaireCar">
    <w:name w:val="Objet du commentaire Car"/>
    <w:basedOn w:val="CommentaireCar"/>
    <w:rPr>
      <w:rFonts w:ascii="Arial" w:hAnsi="Arial"/>
      <w:b/>
      <w:bCs/>
      <w:sz w:val="20"/>
      <w:szCs w:val="20"/>
      <w:lang w:val="fr-FR"/>
    </w:rPr>
  </w:style>
  <w:style w:type="paragraph" w:styleId="BalloonText">
    <w:name w:val="Balloon Text"/>
    <w:basedOn w:val="Normal"/>
    <w:rPr>
      <w:rFonts w:ascii="Segoe UI" w:hAnsi="Segoe UI" w:cs="Segoe UI"/>
      <w:sz w:val="18"/>
      <w:szCs w:val="18"/>
    </w:rPr>
  </w:style>
  <w:style w:type="character" w:customStyle="1" w:styleId="BalloonTextChar1">
    <w:name w:val="Balloon Text Char1"/>
    <w:basedOn w:val="DefaultParagraphFont"/>
    <w:rPr>
      <w:rFonts w:ascii="Segoe UI" w:hAnsi="Segoe UI" w:cs="Segoe UI"/>
      <w:sz w:val="18"/>
      <w:szCs w:val="18"/>
      <w:lang w:val="fr-FR"/>
    </w:rPr>
  </w:style>
  <w:style w:type="paragraph" w:styleId="ListParagraph">
    <w:name w:val="List Paragraph"/>
    <w:aliases w:val="References,Liste couleur - Accent 11,List Paragraph1,Paragraphe de liste1,Liste couleur - Accent 111,Bullets,List Paragraph nowy,Numbered List Paragraph,List Paragraph (numbered (a)),List Paragraph2,ReferencesCxSpLast,Lapis Bulleted List"/>
    <w:basedOn w:val="Normal"/>
    <w:uiPriority w:val="34"/>
    <w:qFormat/>
    <w:pPr>
      <w:ind w:left="720"/>
    </w:pPr>
  </w:style>
  <w:style w:type="character" w:customStyle="1" w:styleId="Heading2Char1">
    <w:name w:val="Heading 2 Char1"/>
    <w:basedOn w:val="DefaultParagraphFont"/>
    <w:rPr>
      <w:rFonts w:ascii="Arial" w:eastAsia="Times New Roman" w:hAnsi="Arial" w:cs="Arial"/>
      <w:b/>
      <w:bCs/>
      <w:color w:val="2F5496"/>
      <w:sz w:val="24"/>
      <w:lang w:val="fr-FR"/>
    </w:rPr>
  </w:style>
  <w:style w:type="character" w:styleId="FootnoteReference">
    <w:name w:val="footnote reference"/>
    <w:rPr>
      <w:position w:val="0"/>
      <w:vertAlign w:val="superscript"/>
    </w:rPr>
  </w:style>
  <w:style w:type="character" w:styleId="Hyperlink">
    <w:name w:val="Hyperlink"/>
    <w:basedOn w:val="DefaultParagraphFont"/>
    <w:rPr>
      <w:color w:val="0563C1"/>
      <w:u w:val="single"/>
    </w:rPr>
  </w:style>
  <w:style w:type="paragraph" w:styleId="Header">
    <w:name w:val="header"/>
    <w:basedOn w:val="Normal"/>
    <w:pPr>
      <w:tabs>
        <w:tab w:val="center" w:pos="4513"/>
        <w:tab w:val="right" w:pos="9026"/>
      </w:tabs>
    </w:pPr>
  </w:style>
  <w:style w:type="character" w:customStyle="1" w:styleId="HeaderChar1">
    <w:name w:val="Header Char1"/>
    <w:basedOn w:val="DefaultParagraphFont"/>
    <w:rPr>
      <w:rFonts w:ascii="Arial" w:hAnsi="Arial"/>
      <w:szCs w:val="24"/>
      <w:lang w:val="fr-FR"/>
    </w:rPr>
  </w:style>
  <w:style w:type="paragraph" w:styleId="Footer">
    <w:name w:val="footer"/>
    <w:basedOn w:val="Normal"/>
    <w:pPr>
      <w:tabs>
        <w:tab w:val="center" w:pos="4513"/>
        <w:tab w:val="right" w:pos="9026"/>
      </w:tabs>
    </w:pPr>
  </w:style>
  <w:style w:type="character" w:customStyle="1" w:styleId="FooterChar1">
    <w:name w:val="Footer Char1"/>
    <w:basedOn w:val="DefaultParagraphFont"/>
    <w:rPr>
      <w:rFonts w:ascii="Arial" w:hAnsi="Arial"/>
      <w:szCs w:val="24"/>
      <w:lang w:val="fr-FR"/>
    </w:rPr>
  </w:style>
  <w:style w:type="character" w:customStyle="1" w:styleId="Heading1Char1">
    <w:name w:val="Heading 1 Char1"/>
    <w:basedOn w:val="DefaultParagraphFont"/>
    <w:rPr>
      <w:rFonts w:ascii="Calibri Light" w:eastAsia="Times New Roman" w:hAnsi="Calibri Light" w:cs="Times New Roman"/>
      <w:color w:val="2F5496"/>
      <w:sz w:val="32"/>
      <w:szCs w:val="32"/>
      <w:lang w:val="fr-FR"/>
    </w:rPr>
  </w:style>
  <w:style w:type="character" w:styleId="FollowedHyperlink">
    <w:name w:val="FollowedHyperlink"/>
    <w:basedOn w:val="DefaultParagraphFont"/>
    <w:uiPriority w:val="99"/>
    <w:semiHidden/>
    <w:unhideWhenUsed/>
    <w:rsid w:val="00C66C1F"/>
    <w:rPr>
      <w:color w:val="954F72" w:themeColor="followedHyperlink"/>
      <w:u w:val="single"/>
    </w:rPr>
  </w:style>
  <w:style w:type="numbering" w:customStyle="1" w:styleId="WWOutlineListStyle">
    <w:name w:val="WW_OutlineListStyle"/>
    <w:basedOn w:val="NoLi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060197">
      <w:bodyDiv w:val="1"/>
      <w:marLeft w:val="0"/>
      <w:marRight w:val="0"/>
      <w:marTop w:val="0"/>
      <w:marBottom w:val="0"/>
      <w:divBdr>
        <w:top w:val="none" w:sz="0" w:space="0" w:color="auto"/>
        <w:left w:val="none" w:sz="0" w:space="0" w:color="auto"/>
        <w:bottom w:val="none" w:sz="0" w:space="0" w:color="auto"/>
        <w:right w:val="none" w:sz="0" w:space="0" w:color="auto"/>
      </w:divBdr>
    </w:div>
    <w:div w:id="677119836">
      <w:bodyDiv w:val="1"/>
      <w:marLeft w:val="0"/>
      <w:marRight w:val="0"/>
      <w:marTop w:val="0"/>
      <w:marBottom w:val="0"/>
      <w:divBdr>
        <w:top w:val="none" w:sz="0" w:space="0" w:color="auto"/>
        <w:left w:val="none" w:sz="0" w:space="0" w:color="auto"/>
        <w:bottom w:val="none" w:sz="0" w:space="0" w:color="auto"/>
        <w:right w:val="none" w:sz="0" w:space="0" w:color="auto"/>
      </w:divBdr>
    </w:div>
    <w:div w:id="1091123076">
      <w:bodyDiv w:val="1"/>
      <w:marLeft w:val="0"/>
      <w:marRight w:val="0"/>
      <w:marTop w:val="0"/>
      <w:marBottom w:val="0"/>
      <w:divBdr>
        <w:top w:val="none" w:sz="0" w:space="0" w:color="auto"/>
        <w:left w:val="none" w:sz="0" w:space="0" w:color="auto"/>
        <w:bottom w:val="none" w:sz="0" w:space="0" w:color="auto"/>
        <w:right w:val="none" w:sz="0" w:space="0" w:color="auto"/>
      </w:divBdr>
    </w:div>
    <w:div w:id="1110324177">
      <w:bodyDiv w:val="1"/>
      <w:marLeft w:val="0"/>
      <w:marRight w:val="0"/>
      <w:marTop w:val="0"/>
      <w:marBottom w:val="0"/>
      <w:divBdr>
        <w:top w:val="none" w:sz="0" w:space="0" w:color="auto"/>
        <w:left w:val="none" w:sz="0" w:space="0" w:color="auto"/>
        <w:bottom w:val="none" w:sz="0" w:space="0" w:color="auto"/>
        <w:right w:val="none" w:sz="0" w:space="0" w:color="auto"/>
      </w:divBdr>
    </w:div>
    <w:div w:id="1178351889">
      <w:bodyDiv w:val="1"/>
      <w:marLeft w:val="0"/>
      <w:marRight w:val="0"/>
      <w:marTop w:val="0"/>
      <w:marBottom w:val="0"/>
      <w:divBdr>
        <w:top w:val="none" w:sz="0" w:space="0" w:color="auto"/>
        <w:left w:val="none" w:sz="0" w:space="0" w:color="auto"/>
        <w:bottom w:val="none" w:sz="0" w:space="0" w:color="auto"/>
        <w:right w:val="none" w:sz="0" w:space="0" w:color="auto"/>
      </w:divBdr>
    </w:div>
    <w:div w:id="1457024646">
      <w:bodyDiv w:val="1"/>
      <w:marLeft w:val="0"/>
      <w:marRight w:val="0"/>
      <w:marTop w:val="0"/>
      <w:marBottom w:val="0"/>
      <w:divBdr>
        <w:top w:val="none" w:sz="0" w:space="0" w:color="auto"/>
        <w:left w:val="none" w:sz="0" w:space="0" w:color="auto"/>
        <w:bottom w:val="none" w:sz="0" w:space="0" w:color="auto"/>
        <w:right w:val="none" w:sz="0" w:space="0" w:color="auto"/>
      </w:divBdr>
    </w:div>
    <w:div w:id="1718622984">
      <w:bodyDiv w:val="1"/>
      <w:marLeft w:val="0"/>
      <w:marRight w:val="0"/>
      <w:marTop w:val="0"/>
      <w:marBottom w:val="0"/>
      <w:divBdr>
        <w:top w:val="none" w:sz="0" w:space="0" w:color="auto"/>
        <w:left w:val="none" w:sz="0" w:space="0" w:color="auto"/>
        <w:bottom w:val="none" w:sz="0" w:space="0" w:color="auto"/>
        <w:right w:val="none" w:sz="0" w:space="0" w:color="auto"/>
      </w:divBdr>
    </w:div>
    <w:div w:id="2095398753">
      <w:bodyDiv w:val="1"/>
      <w:marLeft w:val="0"/>
      <w:marRight w:val="0"/>
      <w:marTop w:val="0"/>
      <w:marBottom w:val="0"/>
      <w:divBdr>
        <w:top w:val="none" w:sz="0" w:space="0" w:color="auto"/>
        <w:left w:val="none" w:sz="0" w:space="0" w:color="auto"/>
        <w:bottom w:val="none" w:sz="0" w:space="0" w:color="auto"/>
        <w:right w:val="none" w:sz="0" w:space="0" w:color="auto"/>
      </w:divBdr>
    </w:div>
    <w:div w:id="2144499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icef.org/french/crc/crc.htm" TargetMode="External"/><Relationship Id="rId12" Type="http://schemas.openxmlformats.org/officeDocument/2006/relationships/hyperlink" Target="http://www.unicef.org/about/employ/files/P1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Word_Document.doc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2035</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Peduto</dc:creator>
  <dc:description/>
  <cp:lastModifiedBy>Mohamed Cherif Kadri</cp:lastModifiedBy>
  <cp:revision>3</cp:revision>
  <cp:lastPrinted>2019-08-27T13:03:00Z</cp:lastPrinted>
  <dcterms:created xsi:type="dcterms:W3CDTF">2019-09-05T16:01:00Z</dcterms:created>
  <dcterms:modified xsi:type="dcterms:W3CDTF">2019-10-22T09:18:00Z</dcterms:modified>
</cp:coreProperties>
</file>