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4F6D9" w14:textId="359FA06D" w:rsidR="00880D28" w:rsidRPr="00244113" w:rsidRDefault="00880D28" w:rsidP="00D80917">
      <w:pPr>
        <w:pStyle w:val="Headline"/>
        <w:spacing w:before="120" w:after="240"/>
        <w:rPr>
          <w:color w:val="0092D1"/>
        </w:rPr>
      </w:pPr>
      <w:r w:rsidRPr="00244113">
        <w:rPr>
          <w:color w:val="0092D1"/>
        </w:rPr>
        <w:t xml:space="preserve">Section </w:t>
      </w:r>
      <w:r w:rsidR="0063728C">
        <w:rPr>
          <w:color w:val="0092D1"/>
        </w:rPr>
        <w:t>I</w:t>
      </w:r>
      <w:r w:rsidRPr="00244113">
        <w:rPr>
          <w:color w:val="0092D1"/>
        </w:rPr>
        <w:t xml:space="preserve">II: </w:t>
      </w:r>
      <w:r w:rsidR="00D80917" w:rsidRPr="00D80917">
        <w:rPr>
          <w:color w:val="0092D1"/>
        </w:rPr>
        <w:t>Schedule</w:t>
      </w:r>
      <w:r w:rsidR="00D80917">
        <w:rPr>
          <w:color w:val="0092D1"/>
        </w:rPr>
        <w:t xml:space="preserve"> </w:t>
      </w:r>
      <w:r w:rsidR="00D80917" w:rsidRPr="00D80917">
        <w:rPr>
          <w:color w:val="0092D1"/>
        </w:rPr>
        <w:t>of</w:t>
      </w:r>
      <w:r w:rsidR="00D80917">
        <w:rPr>
          <w:color w:val="0092D1"/>
        </w:rPr>
        <w:t xml:space="preserve"> </w:t>
      </w:r>
      <w:r w:rsidR="00D80917" w:rsidRPr="00D80917">
        <w:rPr>
          <w:color w:val="0092D1"/>
        </w:rPr>
        <w:t>Requirements</w:t>
      </w:r>
    </w:p>
    <w:p w14:paraId="38C25379" w14:textId="77777777" w:rsidR="002631D2" w:rsidRDefault="002631D2" w:rsidP="0063728C">
      <w:pPr>
        <w:rPr>
          <w:b/>
        </w:rPr>
      </w:pPr>
    </w:p>
    <w:p w14:paraId="46AB09EF" w14:textId="2A90A7F2" w:rsidR="00300FCE" w:rsidRDefault="00821519" w:rsidP="00300FCE">
      <w:pPr>
        <w:rPr>
          <w:color w:val="000000"/>
          <w:sz w:val="6"/>
          <w:szCs w:val="6"/>
          <w:highlight w:val="cyan"/>
          <w:lang w:val="en-AU"/>
        </w:rPr>
      </w:pPr>
      <w:r w:rsidRPr="00821519">
        <w:rPr>
          <w:b/>
        </w:rPr>
        <w:t>eSourcing reference</w:t>
      </w:r>
      <w:r w:rsidRPr="00821519">
        <w:t xml:space="preserve">: </w:t>
      </w:r>
      <w:r w:rsidR="0063728C" w:rsidRPr="0063728C">
        <w:t>RFP/2019/</w:t>
      </w:r>
      <w:r w:rsidR="00455056">
        <w:t>10887</w:t>
      </w:r>
    </w:p>
    <w:p w14:paraId="51B99BA6" w14:textId="77777777" w:rsidR="00C32F17" w:rsidRDefault="00C32F17" w:rsidP="00300FCE">
      <w:pPr>
        <w:rPr>
          <w:color w:val="000000"/>
          <w:sz w:val="6"/>
          <w:szCs w:val="6"/>
          <w:highlight w:val="cyan"/>
          <w:lang w:val="en-AU"/>
        </w:rPr>
      </w:pPr>
    </w:p>
    <w:p w14:paraId="58951F65" w14:textId="77777777" w:rsidR="00C32F17" w:rsidRDefault="00C32F17" w:rsidP="00300FCE">
      <w:pPr>
        <w:rPr>
          <w:color w:val="000000"/>
          <w:sz w:val="6"/>
          <w:szCs w:val="6"/>
          <w:highlight w:val="cyan"/>
          <w:lang w:val="en-AU"/>
        </w:rPr>
      </w:pPr>
    </w:p>
    <w:p w14:paraId="6DA84FEF" w14:textId="77777777" w:rsidR="002631D2" w:rsidRDefault="002631D2" w:rsidP="00300FCE">
      <w:pPr>
        <w:rPr>
          <w:color w:val="000000"/>
          <w:sz w:val="6"/>
          <w:szCs w:val="6"/>
          <w:highlight w:val="cyan"/>
          <w:lang w:val="en-AU"/>
        </w:rPr>
      </w:pPr>
    </w:p>
    <w:p w14:paraId="6BE25BB3" w14:textId="77777777" w:rsidR="00C32F17" w:rsidRDefault="00C32F17" w:rsidP="00300FCE">
      <w:pPr>
        <w:rPr>
          <w:color w:val="000000"/>
          <w:sz w:val="6"/>
          <w:szCs w:val="6"/>
          <w:highlight w:val="cyan"/>
          <w:lang w:val="en-AU"/>
        </w:rPr>
      </w:pPr>
    </w:p>
    <w:p w14:paraId="65E4E573" w14:textId="77777777" w:rsidR="00C32F17" w:rsidRDefault="00C32F17" w:rsidP="00300FCE">
      <w:pPr>
        <w:rPr>
          <w:color w:val="000000"/>
          <w:sz w:val="6"/>
          <w:szCs w:val="6"/>
          <w:highlight w:val="cyan"/>
          <w:lang w:val="en-AU"/>
        </w:rPr>
      </w:pPr>
    </w:p>
    <w:p w14:paraId="19B301CB" w14:textId="77777777" w:rsidR="00CB5AFB" w:rsidRDefault="00CB5AFB" w:rsidP="00D80917">
      <w:pPr>
        <w:spacing w:line="276" w:lineRule="auto"/>
        <w:jc w:val="center"/>
        <w:outlineLvl w:val="0"/>
        <w:rPr>
          <w:rFonts w:asciiTheme="minorBidi" w:hAnsiTheme="minorBidi" w:cstheme="minorBidi"/>
          <w:b/>
          <w:u w:val="single"/>
        </w:rPr>
      </w:pPr>
    </w:p>
    <w:p w14:paraId="15DFD798" w14:textId="6108060A" w:rsidR="00D80917" w:rsidRPr="00D80917" w:rsidRDefault="00D80917" w:rsidP="00D80917">
      <w:pPr>
        <w:spacing w:line="276" w:lineRule="auto"/>
        <w:jc w:val="center"/>
        <w:outlineLvl w:val="0"/>
        <w:rPr>
          <w:rFonts w:asciiTheme="minorBidi" w:hAnsiTheme="minorBidi" w:cstheme="minorBidi"/>
          <w:b/>
          <w:u w:val="single"/>
        </w:rPr>
      </w:pPr>
      <w:r w:rsidRPr="00D80917">
        <w:rPr>
          <w:rFonts w:asciiTheme="minorBidi" w:hAnsiTheme="minorBidi" w:cstheme="minorBidi"/>
          <w:b/>
          <w:u w:val="single"/>
        </w:rPr>
        <w:t>Terms of Reference</w:t>
      </w:r>
      <w:r w:rsidRPr="00D80917">
        <w:rPr>
          <w:rFonts w:asciiTheme="minorBidi" w:hAnsiTheme="minorBidi" w:cstheme="minorBidi"/>
          <w:b/>
        </w:rPr>
        <w:t xml:space="preserve"> </w:t>
      </w:r>
    </w:p>
    <w:p w14:paraId="475E9A7D" w14:textId="77777777" w:rsidR="00D80917" w:rsidRPr="00D80917" w:rsidRDefault="00D80917" w:rsidP="00D80917">
      <w:pPr>
        <w:spacing w:line="276" w:lineRule="auto"/>
        <w:jc w:val="center"/>
        <w:outlineLvl w:val="0"/>
        <w:rPr>
          <w:rFonts w:asciiTheme="minorBidi" w:hAnsiTheme="minorBidi" w:cstheme="minorBidi"/>
          <w:b/>
          <w:u w:val="single"/>
        </w:rPr>
      </w:pPr>
      <w:r w:rsidRPr="00D80917">
        <w:rPr>
          <w:rFonts w:asciiTheme="minorBidi" w:hAnsiTheme="minorBidi" w:cstheme="minorBidi"/>
          <w:b/>
          <w:u w:val="single"/>
        </w:rPr>
        <w:t>Financial Audit Review of the Central Bank of Libya in Tripoli</w:t>
      </w:r>
    </w:p>
    <w:p w14:paraId="13599710" w14:textId="6630024D" w:rsidR="00D80917" w:rsidRPr="00D80917" w:rsidRDefault="00D80917" w:rsidP="00D80917">
      <w:pPr>
        <w:spacing w:line="276" w:lineRule="auto"/>
        <w:jc w:val="center"/>
        <w:outlineLvl w:val="0"/>
        <w:rPr>
          <w:rFonts w:asciiTheme="minorBidi" w:hAnsiTheme="minorBidi" w:cstheme="minorBidi"/>
          <w:b/>
          <w:u w:val="single"/>
        </w:rPr>
      </w:pPr>
      <w:r w:rsidRPr="00D80917">
        <w:rPr>
          <w:rFonts w:asciiTheme="minorBidi" w:hAnsiTheme="minorBidi" w:cstheme="minorBidi"/>
          <w:b/>
          <w:u w:val="single"/>
        </w:rPr>
        <w:t>and the Central Bank Branch in Beyda</w:t>
      </w:r>
      <w:r w:rsidR="0063728C">
        <w:rPr>
          <w:rFonts w:asciiTheme="minorBidi" w:hAnsiTheme="minorBidi" w:cstheme="minorBidi"/>
          <w:b/>
          <w:u w:val="single"/>
        </w:rPr>
        <w:t xml:space="preserve"> </w:t>
      </w:r>
    </w:p>
    <w:p w14:paraId="6F04F8A2" w14:textId="77777777" w:rsidR="00D80917" w:rsidRPr="00D80917" w:rsidRDefault="00D80917" w:rsidP="00D80917">
      <w:pPr>
        <w:spacing w:line="276" w:lineRule="auto"/>
        <w:jc w:val="center"/>
        <w:rPr>
          <w:rFonts w:asciiTheme="minorBidi" w:hAnsiTheme="minorBidi" w:cstheme="minorBidi"/>
        </w:rPr>
      </w:pPr>
    </w:p>
    <w:p w14:paraId="2CC3450E" w14:textId="1AB73809" w:rsidR="00D80917" w:rsidRPr="00D80917" w:rsidRDefault="00DA558A" w:rsidP="00D80917">
      <w:pPr>
        <w:spacing w:line="276" w:lineRule="auto"/>
        <w:jc w:val="center"/>
        <w:rPr>
          <w:rFonts w:asciiTheme="minorBidi" w:hAnsiTheme="minorBidi" w:cstheme="minorBidi"/>
          <w:i/>
        </w:rPr>
      </w:pPr>
      <w:r>
        <w:rPr>
          <w:rFonts w:asciiTheme="minorBidi" w:hAnsiTheme="minorBidi" w:cstheme="minorBidi"/>
          <w:i/>
        </w:rPr>
        <w:t>July</w:t>
      </w:r>
      <w:bookmarkStart w:id="0" w:name="_GoBack"/>
      <w:bookmarkEnd w:id="0"/>
      <w:r w:rsidR="00D80917" w:rsidRPr="00D80917">
        <w:rPr>
          <w:rFonts w:asciiTheme="minorBidi" w:hAnsiTheme="minorBidi" w:cstheme="minorBidi"/>
          <w:i/>
        </w:rPr>
        <w:t xml:space="preserve"> 2019</w:t>
      </w:r>
    </w:p>
    <w:p w14:paraId="5A3CFAA2" w14:textId="77777777" w:rsidR="00D80917" w:rsidRPr="00D80917" w:rsidRDefault="00D80917" w:rsidP="00D80917">
      <w:pPr>
        <w:spacing w:line="276" w:lineRule="auto"/>
        <w:rPr>
          <w:rFonts w:asciiTheme="minorBidi" w:hAnsiTheme="minorBidi" w:cstheme="minorBidi"/>
          <w:b/>
        </w:rPr>
      </w:pPr>
    </w:p>
    <w:p w14:paraId="03588824" w14:textId="77777777" w:rsidR="00CB5AFB" w:rsidRDefault="00CB5AFB" w:rsidP="00D80917">
      <w:pPr>
        <w:spacing w:line="276" w:lineRule="auto"/>
        <w:rPr>
          <w:rFonts w:asciiTheme="minorBidi" w:hAnsiTheme="minorBidi" w:cstheme="minorBidi"/>
          <w:b/>
        </w:rPr>
      </w:pPr>
    </w:p>
    <w:p w14:paraId="1346EF3F" w14:textId="77777777" w:rsidR="00CB5AFB" w:rsidRDefault="00CB5AFB" w:rsidP="00D80917">
      <w:pPr>
        <w:spacing w:line="276" w:lineRule="auto"/>
        <w:rPr>
          <w:rFonts w:asciiTheme="minorBidi" w:hAnsiTheme="minorBidi" w:cstheme="minorBidi"/>
          <w:b/>
        </w:rPr>
      </w:pPr>
    </w:p>
    <w:p w14:paraId="7067FCCE" w14:textId="77777777" w:rsidR="00D80917" w:rsidRPr="00D80917" w:rsidRDefault="00D80917" w:rsidP="00D80917">
      <w:pPr>
        <w:spacing w:line="276" w:lineRule="auto"/>
        <w:rPr>
          <w:rFonts w:asciiTheme="minorBidi" w:hAnsiTheme="minorBidi" w:cstheme="minorBidi"/>
          <w:b/>
        </w:rPr>
      </w:pPr>
      <w:r w:rsidRPr="00D80917">
        <w:rPr>
          <w:rFonts w:asciiTheme="minorBidi" w:hAnsiTheme="minorBidi" w:cstheme="minorBidi"/>
          <w:b/>
        </w:rPr>
        <w:t>Background</w:t>
      </w:r>
    </w:p>
    <w:p w14:paraId="605A5083" w14:textId="77777777" w:rsidR="00D80917" w:rsidRPr="00D80917" w:rsidRDefault="00D80917" w:rsidP="00D80917">
      <w:pPr>
        <w:spacing w:line="276" w:lineRule="auto"/>
        <w:rPr>
          <w:rFonts w:asciiTheme="minorBidi" w:hAnsiTheme="minorBidi" w:cstheme="minorBidi"/>
          <w:b/>
        </w:rPr>
      </w:pPr>
    </w:p>
    <w:p w14:paraId="03CF9E2A" w14:textId="237A87D9" w:rsid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Following Prime Minister Faiez Serraj’s request to the Security Council for support on a financial audit review of the Central Bank of Libya (CBL) in Tripoli and the branch in Bayda on 10 July, the Security Council issued a statement on 19 July mandating the United Nations Support Mission in Libya (UNSMIL) to provide assistance. On 27 August, the SRSG, Dr. Ghassan </w:t>
      </w:r>
      <w:bookmarkStart w:id="1" w:name="_Hlk529871032"/>
      <w:r w:rsidRPr="00D80917">
        <w:rPr>
          <w:rFonts w:asciiTheme="minorBidi" w:hAnsiTheme="minorBidi" w:cstheme="minorBidi"/>
        </w:rPr>
        <w:t>Salamé</w:t>
      </w:r>
      <w:bookmarkEnd w:id="1"/>
      <w:r w:rsidRPr="00D80917">
        <w:rPr>
          <w:rFonts w:asciiTheme="minorBidi" w:hAnsiTheme="minorBidi" w:cstheme="minorBidi"/>
        </w:rPr>
        <w:t xml:space="preserve">, convened a meeting between Mr. Saddek el-Kaber, and Mr. Ali Hebri, to reach consensus on the broad parameters of the financial audit review as informed by a proposal on the administration and scope that has been submitted to the Security Council on 24 August. Dr. Ghassan Salamé again convened a meeting of the Governors </w:t>
      </w:r>
      <w:proofErr w:type="spellStart"/>
      <w:r w:rsidRPr="00D80917">
        <w:rPr>
          <w:rFonts w:asciiTheme="minorBidi" w:hAnsiTheme="minorBidi" w:cstheme="minorBidi"/>
        </w:rPr>
        <w:t>Kaber</w:t>
      </w:r>
      <w:proofErr w:type="spellEnd"/>
      <w:r w:rsidRPr="00D80917">
        <w:rPr>
          <w:rFonts w:asciiTheme="minorBidi" w:hAnsiTheme="minorBidi" w:cstheme="minorBidi"/>
        </w:rPr>
        <w:t xml:space="preserve"> and </w:t>
      </w:r>
      <w:proofErr w:type="spellStart"/>
      <w:r w:rsidRPr="00D80917">
        <w:rPr>
          <w:rFonts w:asciiTheme="minorBidi" w:hAnsiTheme="minorBidi" w:cstheme="minorBidi"/>
        </w:rPr>
        <w:t>Hebri</w:t>
      </w:r>
      <w:proofErr w:type="spellEnd"/>
      <w:r w:rsidRPr="00D80917">
        <w:rPr>
          <w:rFonts w:asciiTheme="minorBidi" w:hAnsiTheme="minorBidi" w:cstheme="minorBidi"/>
        </w:rPr>
        <w:t xml:space="preserve"> on November 7. In that successful working session, the Terms of Reference for the financial audit review were concluded. The review was requested as a means of documenting that Libya’s oil revenues have been collected in full, and to understand how Libya’s foreign exchange reserves have been managed. This was meant to build confidence that oil (and other) revenues were being allocated fairly across the country. Also, it was meant to help understand spending and revenues in the East and in the West, the basis for these, and that they are being recorded properly.</w:t>
      </w:r>
    </w:p>
    <w:p w14:paraId="4F76DD0E" w14:textId="4594FA24" w:rsidR="00795460" w:rsidRDefault="00795460" w:rsidP="00D80917">
      <w:pPr>
        <w:spacing w:line="276" w:lineRule="auto"/>
        <w:jc w:val="both"/>
        <w:rPr>
          <w:rFonts w:asciiTheme="minorBidi" w:hAnsiTheme="minorBidi" w:cstheme="minorBidi"/>
        </w:rPr>
      </w:pPr>
    </w:p>
    <w:p w14:paraId="7F4D017A" w14:textId="1903EB98" w:rsidR="00795460" w:rsidRPr="00D80917" w:rsidRDefault="00795460" w:rsidP="00D80917">
      <w:pPr>
        <w:spacing w:line="276" w:lineRule="auto"/>
        <w:jc w:val="both"/>
        <w:rPr>
          <w:rFonts w:asciiTheme="minorBidi" w:hAnsiTheme="minorBidi" w:cstheme="minorBidi"/>
        </w:rPr>
      </w:pPr>
      <w:r>
        <w:rPr>
          <w:rFonts w:asciiTheme="minorBidi" w:hAnsiTheme="minorBidi" w:cstheme="minorBidi"/>
        </w:rPr>
        <w:t>The purpose of this Request for Proposal is to select a qualified International Audit Firm</w:t>
      </w:r>
      <w:r w:rsidR="009B4DD2">
        <w:rPr>
          <w:rFonts w:asciiTheme="minorBidi" w:hAnsiTheme="minorBidi" w:cstheme="minorBidi"/>
        </w:rPr>
        <w:t xml:space="preserve"> </w:t>
      </w:r>
      <w:r>
        <w:rPr>
          <w:rFonts w:asciiTheme="minorBidi" w:hAnsiTheme="minorBidi" w:cstheme="minorBidi"/>
        </w:rPr>
        <w:t xml:space="preserve">to conduct the </w:t>
      </w:r>
      <w:r w:rsidR="009B4DD2">
        <w:rPr>
          <w:rFonts w:asciiTheme="minorBidi" w:hAnsiTheme="minorBidi" w:cstheme="minorBidi"/>
        </w:rPr>
        <w:t>financial a</w:t>
      </w:r>
      <w:r>
        <w:rPr>
          <w:rFonts w:asciiTheme="minorBidi" w:hAnsiTheme="minorBidi" w:cstheme="minorBidi"/>
        </w:rPr>
        <w:t xml:space="preserve">udit review further to these Terms of Reference.  </w:t>
      </w:r>
    </w:p>
    <w:p w14:paraId="0BF6E55D" w14:textId="77777777" w:rsidR="00795460" w:rsidRPr="00D80917" w:rsidRDefault="00795460" w:rsidP="00D80917">
      <w:pPr>
        <w:spacing w:line="276" w:lineRule="auto"/>
        <w:rPr>
          <w:rFonts w:asciiTheme="minorBidi" w:hAnsiTheme="minorBidi" w:cstheme="minorBidi"/>
          <w:b/>
        </w:rPr>
      </w:pPr>
    </w:p>
    <w:p w14:paraId="766B73D0" w14:textId="77777777" w:rsidR="00CB5AFB" w:rsidRDefault="00CB5AFB" w:rsidP="00D80917">
      <w:pPr>
        <w:spacing w:line="276" w:lineRule="auto"/>
        <w:rPr>
          <w:rFonts w:asciiTheme="minorBidi" w:hAnsiTheme="minorBidi" w:cstheme="minorBidi"/>
          <w:b/>
        </w:rPr>
      </w:pPr>
    </w:p>
    <w:p w14:paraId="6B8EA4E8" w14:textId="77777777" w:rsidR="00D80917" w:rsidRPr="00D80917" w:rsidRDefault="00D80917" w:rsidP="00D80917">
      <w:pPr>
        <w:spacing w:line="276" w:lineRule="auto"/>
        <w:rPr>
          <w:rFonts w:asciiTheme="minorBidi" w:hAnsiTheme="minorBidi" w:cstheme="minorBidi"/>
          <w:b/>
        </w:rPr>
      </w:pPr>
      <w:r w:rsidRPr="00D80917">
        <w:rPr>
          <w:rFonts w:asciiTheme="minorBidi" w:hAnsiTheme="minorBidi" w:cstheme="minorBidi"/>
          <w:b/>
        </w:rPr>
        <w:t>Overarching Objective of the Audit Review</w:t>
      </w:r>
    </w:p>
    <w:p w14:paraId="5A593770" w14:textId="77777777" w:rsidR="00D80917" w:rsidRPr="00D80917" w:rsidRDefault="00D80917" w:rsidP="00D80917">
      <w:pPr>
        <w:spacing w:line="276" w:lineRule="auto"/>
        <w:rPr>
          <w:rFonts w:asciiTheme="minorBidi" w:hAnsiTheme="minorBidi" w:cstheme="minorBidi"/>
          <w:b/>
        </w:rPr>
      </w:pPr>
    </w:p>
    <w:p w14:paraId="2BB0B7C1" w14:textId="77777777"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The overarching objective of the financial audit review of the CBL branches is to underpin the political process through facilitating the reunification of the economic and financial entities. By promoting financial accountability, transparency and building trust in the banking system, the financial audit review will create conditions conducive to the process. </w:t>
      </w:r>
    </w:p>
    <w:p w14:paraId="35862874" w14:textId="77777777" w:rsidR="00D80917" w:rsidRPr="00D80917" w:rsidRDefault="00D80917" w:rsidP="00D80917">
      <w:pPr>
        <w:spacing w:line="276" w:lineRule="auto"/>
        <w:jc w:val="both"/>
        <w:rPr>
          <w:rFonts w:asciiTheme="minorBidi" w:hAnsiTheme="minorBidi" w:cstheme="minorBidi"/>
        </w:rPr>
      </w:pPr>
    </w:p>
    <w:p w14:paraId="76CAAC99" w14:textId="77777777" w:rsidR="00D80917" w:rsidRPr="00D80917" w:rsidRDefault="00D80917" w:rsidP="00D80917">
      <w:pPr>
        <w:spacing w:line="276" w:lineRule="auto"/>
        <w:jc w:val="both"/>
        <w:outlineLvl w:val="0"/>
        <w:rPr>
          <w:rFonts w:asciiTheme="minorBidi" w:hAnsiTheme="minorBidi" w:cstheme="minorBidi"/>
        </w:rPr>
      </w:pPr>
      <w:r w:rsidRPr="00D80917">
        <w:rPr>
          <w:rFonts w:asciiTheme="minorBidi" w:hAnsiTheme="minorBidi" w:cstheme="minorBidi"/>
          <w:i/>
        </w:rPr>
        <w:t>Accountability and Transparency</w:t>
      </w:r>
      <w:r w:rsidRPr="00D80917">
        <w:rPr>
          <w:rFonts w:asciiTheme="minorBidi" w:hAnsiTheme="minorBidi" w:cstheme="minorBidi"/>
        </w:rPr>
        <w:t xml:space="preserve">: The objective of the audit review is to establish accountability and transparency for the way public funds/resources are managed, firstly by the two banks and, tangentially, by other financial institutions.  The audit review has the potential to rebuild trust in the banking system and in governing institutions by tackling corruption and mismanagement of public funds, including the widespread Letters of Credit (LCs), Cash against documents (CAD) transactions and loans or/and Central Bank Overdraft against budget deficit treasury bonds.  Improved public financial management capacity should translate to more transparency and financial accountability, ensuring that public officials are held accountable and are responding to the needs of their constituencies. To this end, close collaboration with the National Audit Bureau and other national financial oversight institutions will be necessary.  </w:t>
      </w:r>
    </w:p>
    <w:p w14:paraId="7F29DC3B" w14:textId="77777777" w:rsidR="002631D2" w:rsidRDefault="002631D2" w:rsidP="00D80917">
      <w:pPr>
        <w:spacing w:line="276" w:lineRule="auto"/>
        <w:outlineLvl w:val="0"/>
        <w:rPr>
          <w:rFonts w:asciiTheme="minorBidi" w:hAnsiTheme="minorBidi" w:cstheme="minorBidi"/>
          <w:b/>
        </w:rPr>
      </w:pPr>
    </w:p>
    <w:p w14:paraId="0F126BE8" w14:textId="77777777" w:rsidR="00CB5AFB" w:rsidRDefault="00CB5AFB">
      <w:pPr>
        <w:rPr>
          <w:rFonts w:asciiTheme="minorBidi" w:hAnsiTheme="minorBidi" w:cstheme="minorBidi"/>
          <w:b/>
        </w:rPr>
      </w:pPr>
      <w:r>
        <w:rPr>
          <w:rFonts w:asciiTheme="minorBidi" w:hAnsiTheme="minorBidi" w:cstheme="minorBidi"/>
          <w:b/>
        </w:rPr>
        <w:br w:type="page"/>
      </w:r>
    </w:p>
    <w:p w14:paraId="072CAE11" w14:textId="235500F5" w:rsidR="00D80917" w:rsidRPr="00D80917" w:rsidRDefault="00D80917" w:rsidP="00D80917">
      <w:pPr>
        <w:spacing w:line="276" w:lineRule="auto"/>
        <w:outlineLvl w:val="0"/>
        <w:rPr>
          <w:rFonts w:asciiTheme="minorBidi" w:hAnsiTheme="minorBidi" w:cstheme="minorBidi"/>
          <w:b/>
        </w:rPr>
      </w:pPr>
      <w:r w:rsidRPr="00D80917">
        <w:rPr>
          <w:rFonts w:asciiTheme="minorBidi" w:hAnsiTheme="minorBidi" w:cstheme="minorBidi"/>
          <w:b/>
        </w:rPr>
        <w:lastRenderedPageBreak/>
        <w:t>Scope/Framework of the Audit Review</w:t>
      </w:r>
    </w:p>
    <w:p w14:paraId="581E683D" w14:textId="77777777" w:rsidR="00D80917" w:rsidRPr="00D80917" w:rsidRDefault="00D80917" w:rsidP="00D80917">
      <w:pPr>
        <w:spacing w:line="276" w:lineRule="auto"/>
        <w:rPr>
          <w:rFonts w:asciiTheme="minorBidi" w:hAnsiTheme="minorBidi" w:cstheme="minorBidi"/>
          <w:b/>
        </w:rPr>
      </w:pPr>
    </w:p>
    <w:p w14:paraId="2191D07E" w14:textId="3F834805"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The financial audit will entail a broad review of the figures of the balance sheet and the financial transactions since the institutional split in September 2014, and formulation of recommendations for follow up. It will audit the financial reports of the two CBL offices and also investigate and report on the financial operations </w:t>
      </w:r>
      <w:r w:rsidR="00C27BD1">
        <w:rPr>
          <w:rFonts w:asciiTheme="minorBidi" w:hAnsiTheme="minorBidi" w:cstheme="minorBidi"/>
        </w:rPr>
        <w:t xml:space="preserve">and provide assurance reports. </w:t>
      </w:r>
      <w:r w:rsidRPr="00D80917">
        <w:rPr>
          <w:rFonts w:asciiTheme="minorBidi" w:hAnsiTheme="minorBidi" w:cstheme="minorBidi"/>
        </w:rPr>
        <w:t xml:space="preserve">It seeks to identify a set of harmonized data to clearly establish the nature of Libya’s monetary situation. </w:t>
      </w:r>
    </w:p>
    <w:p w14:paraId="71F82D90" w14:textId="77777777" w:rsidR="00D80917" w:rsidRPr="00D80917" w:rsidRDefault="00D80917" w:rsidP="00D80917">
      <w:pPr>
        <w:spacing w:line="276" w:lineRule="auto"/>
        <w:jc w:val="both"/>
        <w:rPr>
          <w:rFonts w:asciiTheme="minorBidi" w:hAnsiTheme="minorBidi" w:cstheme="minorBidi"/>
        </w:rPr>
      </w:pPr>
    </w:p>
    <w:p w14:paraId="58F8EB91" w14:textId="2F10EB7C" w:rsidR="00D80917" w:rsidRPr="00D80917" w:rsidRDefault="00D80917" w:rsidP="0063728C">
      <w:pPr>
        <w:spacing w:line="276" w:lineRule="auto"/>
        <w:jc w:val="both"/>
        <w:rPr>
          <w:rFonts w:asciiTheme="minorBidi" w:hAnsiTheme="minorBidi" w:cstheme="minorBidi"/>
          <w:bCs/>
        </w:rPr>
      </w:pPr>
      <w:r w:rsidRPr="00D80917">
        <w:rPr>
          <w:rFonts w:asciiTheme="minorBidi" w:hAnsiTheme="minorBidi" w:cstheme="minorBidi"/>
          <w:bCs/>
        </w:rPr>
        <w:t>Since data constraints are likely to be severe, the financial audit review should include an initial phase of scoping of available data, with additional details expected in subsequent phases, based on the findings of the scoping exercise. After each phase, the financial audit review shall result in preliminary interim report which shall be submitted to both Tripoli and Alb</w:t>
      </w:r>
      <w:r w:rsidR="0063728C">
        <w:rPr>
          <w:rFonts w:asciiTheme="minorBidi" w:hAnsiTheme="minorBidi" w:cstheme="minorBidi"/>
          <w:bCs/>
        </w:rPr>
        <w:t>e</w:t>
      </w:r>
      <w:r w:rsidRPr="00D80917">
        <w:rPr>
          <w:rFonts w:asciiTheme="minorBidi" w:hAnsiTheme="minorBidi" w:cstheme="minorBidi"/>
          <w:bCs/>
        </w:rPr>
        <w:t xml:space="preserve">yda to comment and respond to any queries raised during the audit. The audit review shall evaluate the responses of both sides prior to issuing the interim report officially. </w:t>
      </w:r>
    </w:p>
    <w:p w14:paraId="6071F610" w14:textId="77777777" w:rsidR="00D80917" w:rsidRPr="00D80917" w:rsidRDefault="00D80917" w:rsidP="00D80917">
      <w:pPr>
        <w:spacing w:line="276" w:lineRule="auto"/>
        <w:jc w:val="both"/>
        <w:rPr>
          <w:rFonts w:asciiTheme="minorBidi" w:hAnsiTheme="minorBidi" w:cstheme="minorBidi"/>
        </w:rPr>
      </w:pPr>
    </w:p>
    <w:p w14:paraId="0EF99C3B" w14:textId="77777777"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If a regular (i.e., “general purpose”) audit is not deemed feasible, then the framework would involve an investigation or a forensic audit, which would not “certify” the numbers. This could be the case if the entities have not kept proper accounting records. In such circumstances, the auditors might then need to compile the data, investigate certain transactions, and report on the findings, together with appropriate qualifications on the status of the accounts. </w:t>
      </w:r>
    </w:p>
    <w:p w14:paraId="18EB43CD" w14:textId="77777777" w:rsidR="00D80917" w:rsidRPr="00D80917" w:rsidRDefault="00D80917" w:rsidP="00D80917">
      <w:pPr>
        <w:spacing w:line="276" w:lineRule="auto"/>
        <w:jc w:val="both"/>
        <w:rPr>
          <w:rFonts w:asciiTheme="minorBidi" w:hAnsiTheme="minorBidi" w:cstheme="minorBidi"/>
        </w:rPr>
      </w:pPr>
    </w:p>
    <w:p w14:paraId="1494C413" w14:textId="77777777" w:rsidR="00D80917" w:rsidRPr="00D80917" w:rsidRDefault="00D80917" w:rsidP="00D80917">
      <w:pPr>
        <w:spacing w:line="276" w:lineRule="auto"/>
        <w:jc w:val="both"/>
        <w:outlineLvl w:val="0"/>
        <w:rPr>
          <w:rFonts w:asciiTheme="minorBidi" w:hAnsiTheme="minorBidi" w:cstheme="minorBidi"/>
          <w:i/>
          <w:u w:val="single"/>
        </w:rPr>
      </w:pPr>
      <w:r w:rsidRPr="00D80917">
        <w:rPr>
          <w:rFonts w:asciiTheme="minorBidi" w:hAnsiTheme="minorBidi" w:cstheme="minorBidi"/>
          <w:i/>
          <w:u w:val="single"/>
        </w:rPr>
        <w:t xml:space="preserve">Audit Review of Balance Sheets and Financial Transactions </w:t>
      </w:r>
    </w:p>
    <w:p w14:paraId="2A32D403" w14:textId="77777777"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 </w:t>
      </w:r>
    </w:p>
    <w:p w14:paraId="7AFC3906" w14:textId="77777777" w:rsidR="00D80917" w:rsidRPr="00D80917" w:rsidRDefault="00D80917" w:rsidP="00D80917">
      <w:pPr>
        <w:pStyle w:val="Paragraphedeliste"/>
        <w:numPr>
          <w:ilvl w:val="0"/>
          <w:numId w:val="39"/>
        </w:numPr>
        <w:spacing w:after="0"/>
        <w:jc w:val="both"/>
        <w:rPr>
          <w:rFonts w:asciiTheme="minorBidi" w:hAnsiTheme="minorBidi" w:cstheme="minorBidi"/>
          <w:sz w:val="20"/>
          <w:szCs w:val="20"/>
        </w:rPr>
      </w:pPr>
      <w:r w:rsidRPr="00D80917">
        <w:rPr>
          <w:rFonts w:asciiTheme="minorBidi" w:hAnsiTheme="minorBidi" w:cstheme="minorBidi"/>
          <w:i/>
          <w:sz w:val="20"/>
          <w:szCs w:val="20"/>
        </w:rPr>
        <w:t>Bank Accounts/Balance Sheets</w:t>
      </w:r>
      <w:r w:rsidRPr="00D80917">
        <w:rPr>
          <w:rFonts w:asciiTheme="minorBidi" w:hAnsiTheme="minorBidi" w:cstheme="minorBidi"/>
          <w:sz w:val="20"/>
          <w:szCs w:val="20"/>
        </w:rPr>
        <w:t xml:space="preserve">: Examine the Balance Sheets and Income &amp; Expenditure statements to determine the assets and liabilities accrued by both banks and also, potential technical implications for re-integration of balance sheets, including: </w:t>
      </w:r>
    </w:p>
    <w:p w14:paraId="39249563" w14:textId="77777777" w:rsidR="00D80917" w:rsidRPr="00D80917" w:rsidRDefault="00D80917" w:rsidP="00D80917">
      <w:pPr>
        <w:pStyle w:val="Paragraphedeliste"/>
        <w:numPr>
          <w:ilvl w:val="0"/>
          <w:numId w:val="40"/>
        </w:numPr>
        <w:spacing w:after="0"/>
        <w:jc w:val="both"/>
        <w:rPr>
          <w:rFonts w:asciiTheme="minorBidi" w:hAnsiTheme="minorBidi" w:cstheme="minorBidi"/>
          <w:sz w:val="20"/>
          <w:szCs w:val="20"/>
        </w:rPr>
      </w:pPr>
      <w:r w:rsidRPr="00D80917">
        <w:rPr>
          <w:rFonts w:asciiTheme="minorBidi" w:hAnsiTheme="minorBidi" w:cstheme="minorBidi"/>
          <w:sz w:val="20"/>
          <w:szCs w:val="20"/>
        </w:rPr>
        <w:t>Public revenues from hydrocarbon sales (National Oil Corporation and Libya Foreign Bank), customs, taxes, and service fees;</w:t>
      </w:r>
    </w:p>
    <w:p w14:paraId="4B83DAB2" w14:textId="58D4EA8D" w:rsidR="00D80917" w:rsidRPr="00D80917" w:rsidRDefault="00D80917" w:rsidP="00D80917">
      <w:pPr>
        <w:pStyle w:val="Paragraphedeliste"/>
        <w:numPr>
          <w:ilvl w:val="0"/>
          <w:numId w:val="40"/>
        </w:numPr>
        <w:spacing w:after="0"/>
        <w:jc w:val="both"/>
        <w:rPr>
          <w:rFonts w:asciiTheme="minorBidi" w:hAnsiTheme="minorBidi" w:cstheme="minorBidi"/>
          <w:sz w:val="20"/>
          <w:szCs w:val="20"/>
        </w:rPr>
      </w:pPr>
      <w:r w:rsidRPr="00D80917">
        <w:rPr>
          <w:rFonts w:asciiTheme="minorBidi" w:hAnsiTheme="minorBidi" w:cstheme="minorBidi"/>
          <w:sz w:val="20"/>
          <w:szCs w:val="20"/>
        </w:rPr>
        <w:t xml:space="preserve">Public </w:t>
      </w:r>
      <w:r w:rsidR="0063728C">
        <w:rPr>
          <w:rFonts w:asciiTheme="minorBidi" w:hAnsiTheme="minorBidi" w:cstheme="minorBidi"/>
          <w:sz w:val="20"/>
          <w:szCs w:val="20"/>
        </w:rPr>
        <w:t>debt from bonds issued by the Be</w:t>
      </w:r>
      <w:r w:rsidRPr="00D80917">
        <w:rPr>
          <w:rFonts w:asciiTheme="minorBidi" w:hAnsiTheme="minorBidi" w:cstheme="minorBidi"/>
          <w:sz w:val="20"/>
          <w:szCs w:val="20"/>
        </w:rPr>
        <w:t xml:space="preserve">yda CBL and from loans granted by the Tripoli CBL. </w:t>
      </w:r>
    </w:p>
    <w:p w14:paraId="1C69AF70" w14:textId="77777777" w:rsidR="00D80917" w:rsidRPr="00D80917" w:rsidRDefault="00D80917" w:rsidP="00D80917">
      <w:pPr>
        <w:pStyle w:val="Paragraphedeliste"/>
        <w:numPr>
          <w:ilvl w:val="0"/>
          <w:numId w:val="39"/>
        </w:numPr>
        <w:spacing w:after="0"/>
        <w:jc w:val="both"/>
        <w:rPr>
          <w:rFonts w:asciiTheme="minorBidi" w:hAnsiTheme="minorBidi" w:cstheme="minorBidi"/>
          <w:sz w:val="20"/>
          <w:szCs w:val="20"/>
        </w:rPr>
      </w:pPr>
      <w:r w:rsidRPr="00D80917">
        <w:rPr>
          <w:rFonts w:asciiTheme="minorBidi" w:hAnsiTheme="minorBidi" w:cstheme="minorBidi"/>
          <w:i/>
          <w:sz w:val="20"/>
          <w:szCs w:val="20"/>
        </w:rPr>
        <w:t>Foreign Exchange Reserves</w:t>
      </w:r>
      <w:r w:rsidRPr="00D80917">
        <w:rPr>
          <w:rFonts w:asciiTheme="minorBidi" w:hAnsiTheme="minorBidi" w:cstheme="minorBidi"/>
          <w:sz w:val="20"/>
          <w:szCs w:val="20"/>
        </w:rPr>
        <w:t>: Review the withdrawals and inflows of foreign reserves through revenues, purchase of foreign currency, financing of the budget deficit, and other transactions since September 2014.</w:t>
      </w:r>
    </w:p>
    <w:p w14:paraId="1D7C2E30" w14:textId="77777777" w:rsidR="00D80917" w:rsidRPr="00D80917" w:rsidRDefault="00D80917" w:rsidP="00D80917">
      <w:pPr>
        <w:pStyle w:val="Paragraphedeliste"/>
        <w:numPr>
          <w:ilvl w:val="0"/>
          <w:numId w:val="39"/>
        </w:numPr>
        <w:spacing w:after="0"/>
        <w:jc w:val="both"/>
        <w:rPr>
          <w:rFonts w:asciiTheme="minorBidi" w:hAnsiTheme="minorBidi" w:cstheme="minorBidi"/>
          <w:i/>
          <w:iCs/>
          <w:sz w:val="20"/>
          <w:szCs w:val="20"/>
        </w:rPr>
      </w:pPr>
      <w:r w:rsidRPr="00D80917">
        <w:rPr>
          <w:rFonts w:asciiTheme="minorBidi" w:hAnsiTheme="minorBidi" w:cstheme="minorBidi"/>
          <w:i/>
          <w:iCs/>
          <w:sz w:val="20"/>
          <w:szCs w:val="20"/>
        </w:rPr>
        <w:t>Allocation of Foreign Exchange Revenue:</w:t>
      </w:r>
      <w:r w:rsidRPr="00D80917">
        <w:rPr>
          <w:rFonts w:asciiTheme="minorBidi" w:hAnsiTheme="minorBidi" w:cstheme="minorBidi"/>
          <w:sz w:val="20"/>
          <w:szCs w:val="20"/>
        </w:rPr>
        <w:t xml:space="preserve"> Review the basis of allocation of revenue in Foreign Exchange.</w:t>
      </w:r>
    </w:p>
    <w:p w14:paraId="40049A64" w14:textId="77777777" w:rsidR="00D80917" w:rsidRPr="002631D2" w:rsidRDefault="00D80917" w:rsidP="00D80917">
      <w:pPr>
        <w:pStyle w:val="Paragraphedeliste"/>
        <w:numPr>
          <w:ilvl w:val="0"/>
          <w:numId w:val="39"/>
        </w:numPr>
        <w:spacing w:after="0"/>
        <w:jc w:val="both"/>
        <w:rPr>
          <w:rFonts w:asciiTheme="minorBidi" w:hAnsiTheme="minorBidi" w:cstheme="minorBidi"/>
          <w:sz w:val="20"/>
          <w:szCs w:val="20"/>
        </w:rPr>
      </w:pPr>
      <w:r w:rsidRPr="00D80917">
        <w:rPr>
          <w:rFonts w:asciiTheme="minorBidi" w:hAnsiTheme="minorBidi" w:cstheme="minorBidi"/>
          <w:i/>
          <w:sz w:val="20"/>
          <w:szCs w:val="20"/>
        </w:rPr>
        <w:t xml:space="preserve">Letters of </w:t>
      </w:r>
      <w:r w:rsidRPr="002631D2">
        <w:rPr>
          <w:rFonts w:asciiTheme="minorBidi" w:hAnsiTheme="minorBidi" w:cstheme="minorBidi"/>
          <w:i/>
          <w:sz w:val="20"/>
          <w:szCs w:val="20"/>
        </w:rPr>
        <w:t>Credit</w:t>
      </w:r>
      <w:r w:rsidRPr="002631D2">
        <w:rPr>
          <w:rFonts w:asciiTheme="minorBidi" w:hAnsiTheme="minorBidi" w:cstheme="minorBidi"/>
          <w:sz w:val="20"/>
          <w:szCs w:val="20"/>
        </w:rPr>
        <w:t>: and Cash Against Documents Transactions Review the value and number of LCs and CAD's issued since September 2014, and the procedures for and transparency of their issuance.</w:t>
      </w:r>
    </w:p>
    <w:p w14:paraId="0BA3B597" w14:textId="77777777" w:rsidR="00D80917" w:rsidRPr="002631D2" w:rsidRDefault="00D80917" w:rsidP="00D80917">
      <w:pPr>
        <w:pStyle w:val="Paragraphedeliste"/>
        <w:numPr>
          <w:ilvl w:val="0"/>
          <w:numId w:val="39"/>
        </w:numPr>
        <w:spacing w:after="0"/>
        <w:jc w:val="both"/>
        <w:rPr>
          <w:rFonts w:asciiTheme="minorBidi" w:hAnsiTheme="minorBidi" w:cstheme="minorBidi"/>
          <w:sz w:val="20"/>
          <w:szCs w:val="20"/>
        </w:rPr>
      </w:pPr>
      <w:r w:rsidRPr="002631D2">
        <w:rPr>
          <w:rFonts w:asciiTheme="minorBidi" w:hAnsiTheme="minorBidi" w:cstheme="minorBidi"/>
          <w:i/>
          <w:sz w:val="20"/>
          <w:szCs w:val="20"/>
        </w:rPr>
        <w:t xml:space="preserve">Off-balance sheet risks:  </w:t>
      </w:r>
      <w:r w:rsidRPr="002631D2">
        <w:rPr>
          <w:rFonts w:asciiTheme="minorBidi" w:hAnsiTheme="minorBidi" w:cstheme="minorBidi"/>
          <w:iCs/>
          <w:sz w:val="20"/>
          <w:szCs w:val="20"/>
        </w:rPr>
        <w:t xml:space="preserve">Review </w:t>
      </w:r>
      <w:r w:rsidRPr="002631D2">
        <w:rPr>
          <w:rFonts w:asciiTheme="minorBidi" w:eastAsia="Times New Roman" w:hAnsiTheme="minorBidi" w:cstheme="minorBidi"/>
          <w:iCs/>
          <w:sz w:val="20"/>
          <w:szCs w:val="20"/>
        </w:rPr>
        <w:t>any</w:t>
      </w:r>
      <w:r w:rsidRPr="002631D2">
        <w:rPr>
          <w:rFonts w:asciiTheme="minorBidi" w:eastAsia="Times New Roman" w:hAnsiTheme="minorBidi" w:cstheme="minorBidi"/>
          <w:sz w:val="20"/>
          <w:szCs w:val="20"/>
        </w:rPr>
        <w:t xml:space="preserve"> off-balance sheet commitments, contingencies and guarantees. If there are any derivative products, the commitments under the forward legs would also need to be reviewed. Such commitments, which can be quite significant, are often overlooked as they do not appear on the statements themselves and may not have been disclosed elsewhere. </w:t>
      </w:r>
    </w:p>
    <w:p w14:paraId="227A0B5E" w14:textId="77777777" w:rsidR="00D80917" w:rsidRPr="002631D2" w:rsidRDefault="00D80917" w:rsidP="00D80917">
      <w:pPr>
        <w:spacing w:line="276" w:lineRule="auto"/>
        <w:jc w:val="both"/>
        <w:rPr>
          <w:rFonts w:asciiTheme="minorBidi" w:hAnsiTheme="minorBidi" w:cstheme="minorBidi"/>
        </w:rPr>
      </w:pPr>
    </w:p>
    <w:p w14:paraId="3F12E0C0" w14:textId="77777777" w:rsidR="00D80917" w:rsidRPr="002631D2" w:rsidRDefault="00D80917" w:rsidP="00D80917">
      <w:pPr>
        <w:spacing w:line="276" w:lineRule="auto"/>
        <w:jc w:val="both"/>
        <w:rPr>
          <w:rFonts w:asciiTheme="minorBidi" w:hAnsiTheme="minorBidi" w:cstheme="minorBidi"/>
        </w:rPr>
      </w:pPr>
      <w:r w:rsidRPr="002631D2">
        <w:rPr>
          <w:rFonts w:asciiTheme="minorBidi" w:hAnsiTheme="minorBidi" w:cstheme="minorBidi"/>
        </w:rPr>
        <w:t>The final report with all findings shall be addressed with original copies to the following:</w:t>
      </w:r>
    </w:p>
    <w:p w14:paraId="055F8797" w14:textId="77777777" w:rsidR="00831CF7" w:rsidRPr="002631D2" w:rsidRDefault="00831CF7" w:rsidP="00D80917">
      <w:pPr>
        <w:spacing w:line="276" w:lineRule="auto"/>
        <w:jc w:val="both"/>
        <w:rPr>
          <w:rFonts w:asciiTheme="minorBidi" w:hAnsiTheme="minorBidi" w:cstheme="minorBidi"/>
        </w:rPr>
      </w:pPr>
    </w:p>
    <w:p w14:paraId="52450A27" w14:textId="72E514E8" w:rsidR="00D80917" w:rsidRPr="002631D2" w:rsidRDefault="00D80917" w:rsidP="00CB5AFB">
      <w:pPr>
        <w:pStyle w:val="Paragraphedeliste"/>
        <w:numPr>
          <w:ilvl w:val="0"/>
          <w:numId w:val="43"/>
        </w:numPr>
        <w:ind w:left="567"/>
        <w:jc w:val="both"/>
        <w:rPr>
          <w:rFonts w:asciiTheme="minorBidi" w:hAnsiTheme="minorBidi" w:cstheme="minorBidi"/>
          <w:sz w:val="20"/>
          <w:szCs w:val="20"/>
        </w:rPr>
      </w:pPr>
      <w:r w:rsidRPr="002631D2">
        <w:rPr>
          <w:rFonts w:asciiTheme="minorBidi" w:hAnsiTheme="minorBidi" w:cstheme="minorBidi"/>
          <w:sz w:val="20"/>
          <w:szCs w:val="20"/>
        </w:rPr>
        <w:t xml:space="preserve">House of Representative </w:t>
      </w:r>
    </w:p>
    <w:p w14:paraId="3DA3634B" w14:textId="07DB320F" w:rsidR="00D80917" w:rsidRPr="002631D2" w:rsidRDefault="00D80917" w:rsidP="00CB5AFB">
      <w:pPr>
        <w:pStyle w:val="Paragraphedeliste"/>
        <w:numPr>
          <w:ilvl w:val="0"/>
          <w:numId w:val="43"/>
        </w:numPr>
        <w:ind w:left="567"/>
        <w:jc w:val="both"/>
        <w:rPr>
          <w:rFonts w:asciiTheme="minorBidi" w:hAnsiTheme="minorBidi" w:cstheme="minorBidi"/>
          <w:sz w:val="20"/>
          <w:szCs w:val="20"/>
        </w:rPr>
      </w:pPr>
      <w:r w:rsidRPr="002631D2">
        <w:rPr>
          <w:rFonts w:asciiTheme="minorBidi" w:hAnsiTheme="minorBidi" w:cstheme="minorBidi"/>
          <w:sz w:val="20"/>
          <w:szCs w:val="20"/>
        </w:rPr>
        <w:t>The High State Counsel</w:t>
      </w:r>
    </w:p>
    <w:p w14:paraId="40250804" w14:textId="7F1C11D5" w:rsidR="00D80917" w:rsidRPr="002631D2" w:rsidRDefault="00D80917" w:rsidP="00CB5AFB">
      <w:pPr>
        <w:pStyle w:val="Paragraphedeliste"/>
        <w:numPr>
          <w:ilvl w:val="0"/>
          <w:numId w:val="43"/>
        </w:numPr>
        <w:ind w:left="567"/>
        <w:jc w:val="both"/>
        <w:rPr>
          <w:rFonts w:asciiTheme="minorBidi" w:hAnsiTheme="minorBidi" w:cstheme="minorBidi"/>
          <w:sz w:val="20"/>
          <w:szCs w:val="20"/>
        </w:rPr>
      </w:pPr>
      <w:r w:rsidRPr="002631D2">
        <w:rPr>
          <w:rFonts w:asciiTheme="minorBidi" w:hAnsiTheme="minorBidi" w:cstheme="minorBidi"/>
          <w:sz w:val="20"/>
          <w:szCs w:val="20"/>
        </w:rPr>
        <w:t xml:space="preserve">The Presidency Counsel </w:t>
      </w:r>
    </w:p>
    <w:p w14:paraId="67B15E23" w14:textId="1F77248F" w:rsidR="00D80917" w:rsidRPr="002631D2" w:rsidRDefault="00D80917" w:rsidP="00CB5AFB">
      <w:pPr>
        <w:pStyle w:val="Paragraphedeliste"/>
        <w:numPr>
          <w:ilvl w:val="0"/>
          <w:numId w:val="43"/>
        </w:numPr>
        <w:ind w:left="567"/>
        <w:jc w:val="both"/>
        <w:rPr>
          <w:rFonts w:asciiTheme="minorBidi" w:hAnsiTheme="minorBidi" w:cstheme="minorBidi"/>
          <w:sz w:val="20"/>
          <w:szCs w:val="20"/>
        </w:rPr>
      </w:pPr>
      <w:r w:rsidRPr="002631D2">
        <w:rPr>
          <w:rFonts w:asciiTheme="minorBidi" w:hAnsiTheme="minorBidi" w:cstheme="minorBidi"/>
          <w:sz w:val="20"/>
          <w:szCs w:val="20"/>
        </w:rPr>
        <w:t>UNSMIL</w:t>
      </w:r>
      <w:r w:rsidR="002631D2" w:rsidRPr="002631D2">
        <w:rPr>
          <w:rFonts w:asciiTheme="minorBidi" w:hAnsiTheme="minorBidi" w:cstheme="minorBidi"/>
          <w:sz w:val="20"/>
          <w:szCs w:val="20"/>
        </w:rPr>
        <w:t xml:space="preserve"> </w:t>
      </w:r>
      <w:r w:rsidRPr="002631D2">
        <w:rPr>
          <w:rFonts w:asciiTheme="minorBidi" w:hAnsiTheme="minorBidi" w:cstheme="minorBidi"/>
          <w:sz w:val="20"/>
          <w:szCs w:val="20"/>
        </w:rPr>
        <w:t xml:space="preserve">for information </w:t>
      </w:r>
    </w:p>
    <w:p w14:paraId="1A755902" w14:textId="77777777" w:rsidR="00D80917" w:rsidRPr="002631D2" w:rsidRDefault="00D80917" w:rsidP="00CB5AFB">
      <w:pPr>
        <w:pStyle w:val="Paragraphedeliste"/>
        <w:numPr>
          <w:ilvl w:val="0"/>
          <w:numId w:val="43"/>
        </w:numPr>
        <w:ind w:left="567"/>
        <w:jc w:val="both"/>
        <w:rPr>
          <w:rFonts w:asciiTheme="minorBidi" w:hAnsiTheme="minorBidi" w:cstheme="minorBidi"/>
          <w:sz w:val="20"/>
          <w:szCs w:val="20"/>
        </w:rPr>
      </w:pPr>
      <w:r w:rsidRPr="002631D2">
        <w:rPr>
          <w:rFonts w:asciiTheme="minorBidi" w:hAnsiTheme="minorBidi" w:cstheme="minorBidi"/>
          <w:sz w:val="20"/>
          <w:szCs w:val="20"/>
        </w:rPr>
        <w:t>CBL Tripoli for information</w:t>
      </w:r>
    </w:p>
    <w:p w14:paraId="22E4519C" w14:textId="4DDC406A" w:rsidR="00D80917" w:rsidRPr="002631D2" w:rsidRDefault="00D80917" w:rsidP="00CB5AFB">
      <w:pPr>
        <w:pStyle w:val="Paragraphedeliste"/>
        <w:numPr>
          <w:ilvl w:val="0"/>
          <w:numId w:val="43"/>
        </w:numPr>
        <w:ind w:left="567"/>
        <w:jc w:val="both"/>
        <w:rPr>
          <w:rFonts w:asciiTheme="minorBidi" w:hAnsiTheme="minorBidi" w:cstheme="minorBidi"/>
          <w:sz w:val="20"/>
          <w:szCs w:val="20"/>
        </w:rPr>
      </w:pPr>
      <w:r w:rsidRPr="002631D2">
        <w:rPr>
          <w:rFonts w:asciiTheme="minorBidi" w:hAnsiTheme="minorBidi" w:cstheme="minorBidi"/>
          <w:sz w:val="20"/>
          <w:szCs w:val="20"/>
        </w:rPr>
        <w:t>CBL A</w:t>
      </w:r>
      <w:r w:rsidR="0063728C" w:rsidRPr="002631D2">
        <w:rPr>
          <w:rFonts w:asciiTheme="minorBidi" w:hAnsiTheme="minorBidi" w:cstheme="minorBidi"/>
          <w:sz w:val="20"/>
          <w:szCs w:val="20"/>
        </w:rPr>
        <w:t>l</w:t>
      </w:r>
      <w:r w:rsidRPr="002631D2">
        <w:rPr>
          <w:rFonts w:asciiTheme="minorBidi" w:hAnsiTheme="minorBidi" w:cstheme="minorBidi"/>
          <w:sz w:val="20"/>
          <w:szCs w:val="20"/>
        </w:rPr>
        <w:t>b</w:t>
      </w:r>
      <w:r w:rsidR="0063728C" w:rsidRPr="002631D2">
        <w:rPr>
          <w:rFonts w:asciiTheme="minorBidi" w:hAnsiTheme="minorBidi" w:cstheme="minorBidi"/>
          <w:sz w:val="20"/>
          <w:szCs w:val="20"/>
        </w:rPr>
        <w:t>e</w:t>
      </w:r>
      <w:r w:rsidRPr="002631D2">
        <w:rPr>
          <w:rFonts w:asciiTheme="minorBidi" w:hAnsiTheme="minorBidi" w:cstheme="minorBidi"/>
          <w:sz w:val="20"/>
          <w:szCs w:val="20"/>
        </w:rPr>
        <w:t>yda for information</w:t>
      </w:r>
    </w:p>
    <w:p w14:paraId="72C07BE1" w14:textId="2AABFA7E" w:rsidR="002631D2" w:rsidRDefault="00D80917" w:rsidP="002631D2">
      <w:pPr>
        <w:spacing w:line="276" w:lineRule="auto"/>
        <w:jc w:val="both"/>
        <w:rPr>
          <w:rFonts w:asciiTheme="minorBidi" w:hAnsiTheme="minorBidi" w:cstheme="minorBidi"/>
        </w:rPr>
      </w:pPr>
      <w:r w:rsidRPr="002631D2">
        <w:rPr>
          <w:rFonts w:asciiTheme="minorBidi" w:hAnsiTheme="minorBidi" w:cstheme="minorBidi"/>
        </w:rPr>
        <w:t>The constitutional body shall take proper action in case of finding irregularities on the part of either or both institutions in accordance to the banking Law No.1(2005) amended</w:t>
      </w:r>
      <w:r w:rsidRPr="00D80917">
        <w:rPr>
          <w:rFonts w:asciiTheme="minorBidi" w:hAnsiTheme="minorBidi" w:cstheme="minorBidi"/>
        </w:rPr>
        <w:t xml:space="preserve"> by law No46(2012)</w:t>
      </w:r>
      <w:r w:rsidR="00C27BD1">
        <w:rPr>
          <w:rFonts w:asciiTheme="minorBidi" w:hAnsiTheme="minorBidi" w:cstheme="minorBidi"/>
        </w:rPr>
        <w:t>.</w:t>
      </w:r>
    </w:p>
    <w:p w14:paraId="187222A8" w14:textId="77777777" w:rsidR="00D80917" w:rsidRDefault="00D80917" w:rsidP="00D80917">
      <w:pPr>
        <w:spacing w:line="276" w:lineRule="auto"/>
        <w:jc w:val="both"/>
        <w:rPr>
          <w:rFonts w:asciiTheme="minorBidi" w:hAnsiTheme="minorBidi" w:cstheme="minorBidi"/>
        </w:rPr>
      </w:pPr>
    </w:p>
    <w:p w14:paraId="4BE5D25F" w14:textId="77777777" w:rsidR="00CB5AFB" w:rsidRDefault="00CB5AFB">
      <w:pPr>
        <w:rPr>
          <w:rFonts w:asciiTheme="minorBidi" w:hAnsiTheme="minorBidi" w:cstheme="minorBidi"/>
          <w:b/>
        </w:rPr>
      </w:pPr>
      <w:r>
        <w:rPr>
          <w:rFonts w:asciiTheme="minorBidi" w:hAnsiTheme="minorBidi" w:cstheme="minorBidi"/>
          <w:b/>
        </w:rPr>
        <w:br w:type="page"/>
      </w:r>
    </w:p>
    <w:p w14:paraId="3CE1604E" w14:textId="50C25FE6" w:rsidR="00831CF7" w:rsidRDefault="00603367" w:rsidP="007043E4">
      <w:pPr>
        <w:spacing w:line="276" w:lineRule="auto"/>
        <w:jc w:val="both"/>
        <w:rPr>
          <w:rFonts w:asciiTheme="minorBidi" w:hAnsiTheme="minorBidi" w:cstheme="minorBidi"/>
          <w:b/>
        </w:rPr>
      </w:pPr>
      <w:r>
        <w:rPr>
          <w:rFonts w:asciiTheme="minorBidi" w:hAnsiTheme="minorBidi" w:cstheme="minorBidi"/>
          <w:b/>
        </w:rPr>
        <w:lastRenderedPageBreak/>
        <w:t>Audit Review Deliverables</w:t>
      </w:r>
      <w:r w:rsidR="00BB7C23">
        <w:rPr>
          <w:rFonts w:asciiTheme="minorBidi" w:hAnsiTheme="minorBidi" w:cstheme="minorBidi"/>
          <w:b/>
        </w:rPr>
        <w:t xml:space="preserve">: </w:t>
      </w:r>
    </w:p>
    <w:p w14:paraId="69288830" w14:textId="77777777" w:rsidR="00831CF7" w:rsidRPr="00831CF7" w:rsidRDefault="00831CF7" w:rsidP="007043E4">
      <w:pPr>
        <w:spacing w:line="276" w:lineRule="auto"/>
        <w:jc w:val="both"/>
        <w:rPr>
          <w:rFonts w:asciiTheme="minorBidi" w:hAnsiTheme="minorBidi" w:cstheme="minorBidi"/>
        </w:rPr>
      </w:pPr>
    </w:p>
    <w:p w14:paraId="5C4393D0" w14:textId="40C8E363" w:rsidR="007043E4" w:rsidRPr="00831CF7" w:rsidRDefault="00BB7C23" w:rsidP="007043E4">
      <w:pPr>
        <w:spacing w:line="276" w:lineRule="auto"/>
        <w:jc w:val="both"/>
        <w:rPr>
          <w:rFonts w:asciiTheme="minorBidi" w:hAnsiTheme="minorBidi" w:cstheme="minorBidi"/>
        </w:rPr>
      </w:pPr>
      <w:r w:rsidRPr="00831CF7">
        <w:rPr>
          <w:rFonts w:asciiTheme="minorBidi" w:hAnsiTheme="minorBidi" w:cstheme="minorBidi"/>
        </w:rPr>
        <w:t>The</w:t>
      </w:r>
      <w:r w:rsidR="001F2567" w:rsidRPr="00831CF7">
        <w:rPr>
          <w:rFonts w:asciiTheme="minorBidi" w:hAnsiTheme="minorBidi" w:cstheme="minorBidi"/>
        </w:rPr>
        <w:t xml:space="preserve"> text of th</w:t>
      </w:r>
      <w:r w:rsidR="00C27BD1">
        <w:rPr>
          <w:rFonts w:asciiTheme="minorBidi" w:hAnsiTheme="minorBidi" w:cstheme="minorBidi"/>
        </w:rPr>
        <w:t>ese Terms of Reference is</w:t>
      </w:r>
      <w:r w:rsidR="001F2567" w:rsidRPr="00831CF7">
        <w:rPr>
          <w:rFonts w:asciiTheme="minorBidi" w:hAnsiTheme="minorBidi" w:cstheme="minorBidi"/>
        </w:rPr>
        <w:t xml:space="preserve"> </w:t>
      </w:r>
      <w:r w:rsidR="00390C34" w:rsidRPr="00831CF7">
        <w:rPr>
          <w:rFonts w:asciiTheme="minorBidi" w:hAnsiTheme="minorBidi" w:cstheme="minorBidi"/>
        </w:rPr>
        <w:t>the formal</w:t>
      </w:r>
      <w:r w:rsidR="001F2567" w:rsidRPr="00831CF7">
        <w:rPr>
          <w:rFonts w:asciiTheme="minorBidi" w:hAnsiTheme="minorBidi" w:cstheme="minorBidi"/>
        </w:rPr>
        <w:t xml:space="preserve"> statement of the deliverables, which it a</w:t>
      </w:r>
      <w:r w:rsidRPr="00831CF7">
        <w:rPr>
          <w:rFonts w:asciiTheme="minorBidi" w:hAnsiTheme="minorBidi" w:cstheme="minorBidi"/>
        </w:rPr>
        <w:t>rticulate</w:t>
      </w:r>
      <w:r w:rsidR="001F2567" w:rsidRPr="00831CF7">
        <w:rPr>
          <w:rFonts w:asciiTheme="minorBidi" w:hAnsiTheme="minorBidi" w:cstheme="minorBidi"/>
        </w:rPr>
        <w:t>s in detail. For reference purposes</w:t>
      </w:r>
      <w:r w:rsidR="00390C34" w:rsidRPr="00831CF7">
        <w:rPr>
          <w:rFonts w:asciiTheme="minorBidi" w:hAnsiTheme="minorBidi" w:cstheme="minorBidi"/>
        </w:rPr>
        <w:t xml:space="preserve"> only</w:t>
      </w:r>
      <w:r w:rsidR="001F2567" w:rsidRPr="00831CF7">
        <w:rPr>
          <w:rFonts w:asciiTheme="minorBidi" w:hAnsiTheme="minorBidi" w:cstheme="minorBidi"/>
        </w:rPr>
        <w:t>, it includes the following components</w:t>
      </w:r>
      <w:r w:rsidR="00831CF7" w:rsidRPr="00831CF7">
        <w:rPr>
          <w:rFonts w:asciiTheme="minorBidi" w:hAnsiTheme="minorBidi" w:cstheme="minorBidi"/>
        </w:rPr>
        <w:t>:</w:t>
      </w:r>
      <w:r w:rsidR="001F2567" w:rsidRPr="00831CF7">
        <w:rPr>
          <w:rFonts w:asciiTheme="minorBidi" w:hAnsiTheme="minorBidi" w:cstheme="minorBidi"/>
        </w:rPr>
        <w:t xml:space="preserve">  </w:t>
      </w:r>
    </w:p>
    <w:p w14:paraId="6B3BB3A0" w14:textId="267B19BA" w:rsidR="00BB7C23" w:rsidRPr="00831CF7" w:rsidRDefault="00C563D3" w:rsidP="00CB5AFB">
      <w:pPr>
        <w:pStyle w:val="Paragraphedeliste"/>
        <w:numPr>
          <w:ilvl w:val="0"/>
          <w:numId w:val="42"/>
        </w:numPr>
        <w:ind w:left="567"/>
        <w:jc w:val="both"/>
        <w:rPr>
          <w:rFonts w:asciiTheme="minorBidi" w:hAnsiTheme="minorBidi" w:cstheme="minorBidi"/>
          <w:sz w:val="20"/>
          <w:szCs w:val="20"/>
        </w:rPr>
      </w:pPr>
      <w:r w:rsidRPr="00831CF7">
        <w:rPr>
          <w:rFonts w:asciiTheme="minorBidi" w:hAnsiTheme="minorBidi" w:cstheme="minorBidi"/>
          <w:sz w:val="20"/>
          <w:szCs w:val="20"/>
        </w:rPr>
        <w:t>Initial scoping</w:t>
      </w:r>
    </w:p>
    <w:p w14:paraId="6808DB88" w14:textId="6AA15BEB" w:rsidR="00603367" w:rsidRPr="00831CF7" w:rsidRDefault="00603367" w:rsidP="00CB5AFB">
      <w:pPr>
        <w:pStyle w:val="Paragraphedeliste"/>
        <w:numPr>
          <w:ilvl w:val="0"/>
          <w:numId w:val="42"/>
        </w:numPr>
        <w:ind w:left="567"/>
        <w:jc w:val="both"/>
        <w:rPr>
          <w:rFonts w:asciiTheme="minorBidi" w:hAnsiTheme="minorBidi" w:cstheme="minorBidi"/>
          <w:sz w:val="20"/>
          <w:szCs w:val="20"/>
        </w:rPr>
      </w:pPr>
      <w:r w:rsidRPr="00831CF7">
        <w:rPr>
          <w:rFonts w:asciiTheme="minorBidi" w:hAnsiTheme="minorBidi" w:cstheme="minorBidi"/>
          <w:sz w:val="20"/>
          <w:szCs w:val="20"/>
        </w:rPr>
        <w:t xml:space="preserve">Preliminary </w:t>
      </w:r>
      <w:r w:rsidR="00390C34" w:rsidRPr="00831CF7">
        <w:rPr>
          <w:rFonts w:asciiTheme="minorBidi" w:hAnsiTheme="minorBidi" w:cstheme="minorBidi"/>
          <w:sz w:val="20"/>
          <w:szCs w:val="20"/>
        </w:rPr>
        <w:t xml:space="preserve">Interim </w:t>
      </w:r>
      <w:r w:rsidRPr="00831CF7">
        <w:rPr>
          <w:rFonts w:asciiTheme="minorBidi" w:hAnsiTheme="minorBidi" w:cstheme="minorBidi"/>
          <w:sz w:val="20"/>
          <w:szCs w:val="20"/>
        </w:rPr>
        <w:t xml:space="preserve">Report </w:t>
      </w:r>
      <w:r w:rsidR="00390C34" w:rsidRPr="00831CF7">
        <w:rPr>
          <w:rFonts w:asciiTheme="minorBidi" w:hAnsiTheme="minorBidi" w:cstheme="minorBidi"/>
          <w:sz w:val="20"/>
          <w:szCs w:val="20"/>
        </w:rPr>
        <w:t>after each phase</w:t>
      </w:r>
    </w:p>
    <w:p w14:paraId="44089AE5" w14:textId="3FAFC0C4" w:rsidR="00603367" w:rsidRPr="00831CF7" w:rsidRDefault="00603367" w:rsidP="00CB5AFB">
      <w:pPr>
        <w:pStyle w:val="Paragraphedeliste"/>
        <w:numPr>
          <w:ilvl w:val="0"/>
          <w:numId w:val="42"/>
        </w:numPr>
        <w:ind w:left="567"/>
        <w:jc w:val="both"/>
        <w:rPr>
          <w:rFonts w:asciiTheme="minorBidi" w:hAnsiTheme="minorBidi" w:cstheme="minorBidi"/>
          <w:sz w:val="20"/>
          <w:szCs w:val="20"/>
        </w:rPr>
      </w:pPr>
      <w:r w:rsidRPr="00831CF7">
        <w:rPr>
          <w:rFonts w:asciiTheme="minorBidi" w:hAnsiTheme="minorBidi" w:cstheme="minorBidi"/>
          <w:sz w:val="20"/>
          <w:szCs w:val="20"/>
        </w:rPr>
        <w:t>Final Report</w:t>
      </w:r>
    </w:p>
    <w:p w14:paraId="5482EC74" w14:textId="3237099C" w:rsidR="00795460" w:rsidRPr="00831CF7" w:rsidRDefault="00795460" w:rsidP="00CB5AFB">
      <w:pPr>
        <w:pStyle w:val="Paragraphedeliste"/>
        <w:numPr>
          <w:ilvl w:val="0"/>
          <w:numId w:val="42"/>
        </w:numPr>
        <w:ind w:left="567"/>
        <w:jc w:val="both"/>
        <w:rPr>
          <w:rFonts w:asciiTheme="minorBidi" w:hAnsiTheme="minorBidi" w:cstheme="minorBidi"/>
          <w:sz w:val="20"/>
          <w:szCs w:val="20"/>
        </w:rPr>
      </w:pPr>
      <w:r w:rsidRPr="00831CF7">
        <w:rPr>
          <w:rFonts w:asciiTheme="minorBidi" w:hAnsiTheme="minorBidi" w:cstheme="minorBidi"/>
          <w:sz w:val="20"/>
          <w:szCs w:val="20"/>
        </w:rPr>
        <w:t>Final Recommendations</w:t>
      </w:r>
    </w:p>
    <w:p w14:paraId="5D5D6870" w14:textId="77777777" w:rsidR="00D80917" w:rsidRPr="00D80917" w:rsidRDefault="00D80917" w:rsidP="00D80917">
      <w:pPr>
        <w:spacing w:line="276" w:lineRule="auto"/>
        <w:jc w:val="both"/>
        <w:outlineLvl w:val="0"/>
        <w:rPr>
          <w:rFonts w:asciiTheme="minorBidi" w:hAnsiTheme="minorBidi" w:cstheme="minorBidi"/>
          <w:i/>
          <w:u w:val="single"/>
        </w:rPr>
      </w:pPr>
      <w:r w:rsidRPr="00D80917">
        <w:rPr>
          <w:rFonts w:asciiTheme="minorBidi" w:hAnsiTheme="minorBidi" w:cstheme="minorBidi"/>
          <w:i/>
          <w:u w:val="single"/>
        </w:rPr>
        <w:t>Report Delivery</w:t>
      </w:r>
    </w:p>
    <w:p w14:paraId="637C7AB6" w14:textId="77777777" w:rsidR="00D80917" w:rsidRPr="00D80917" w:rsidRDefault="00D80917" w:rsidP="00D80917">
      <w:pPr>
        <w:spacing w:line="276" w:lineRule="auto"/>
        <w:jc w:val="both"/>
        <w:outlineLvl w:val="0"/>
        <w:rPr>
          <w:rFonts w:asciiTheme="minorBidi" w:hAnsiTheme="minorBidi" w:cstheme="minorBidi"/>
          <w:i/>
          <w:u w:val="single"/>
        </w:rPr>
      </w:pPr>
    </w:p>
    <w:p w14:paraId="397C72C8" w14:textId="75C81711" w:rsidR="00D80917" w:rsidRDefault="00D80917" w:rsidP="00D80917">
      <w:pPr>
        <w:spacing w:line="276" w:lineRule="auto"/>
        <w:jc w:val="both"/>
        <w:outlineLvl w:val="0"/>
        <w:rPr>
          <w:rFonts w:asciiTheme="minorBidi" w:hAnsiTheme="minorBidi" w:cstheme="minorBidi"/>
        </w:rPr>
      </w:pPr>
      <w:r w:rsidRPr="00D80917">
        <w:rPr>
          <w:rFonts w:asciiTheme="minorBidi" w:hAnsiTheme="minorBidi" w:cstheme="minorBidi"/>
        </w:rPr>
        <w:t xml:space="preserve">The preliminary interim report will provide preliminary findings and outline the work progress/status and the report shall be forwarded to both the offices for comments and response to queries if any. The final report should consist of an Executive Summary, which could be used for publication to the general audience; the evaluation of the responses received from the two offices on the preliminary interim report, the balance sheet with an analysis and observations; an identification of areas that require further investigation and any limitations of data and scope that were encountered during the audit review; and preliminary recommendations. </w:t>
      </w:r>
    </w:p>
    <w:p w14:paraId="1F1F37A7" w14:textId="21490D6C" w:rsidR="00C3411E" w:rsidRDefault="00C3411E" w:rsidP="00D80917">
      <w:pPr>
        <w:spacing w:line="276" w:lineRule="auto"/>
        <w:jc w:val="both"/>
        <w:outlineLvl w:val="0"/>
        <w:rPr>
          <w:rFonts w:asciiTheme="minorBidi" w:eastAsiaTheme="minorHAnsi" w:hAnsiTheme="minorBidi" w:cstheme="minorBidi"/>
          <w:i/>
          <w:u w:val="single"/>
        </w:rPr>
      </w:pPr>
    </w:p>
    <w:p w14:paraId="647D7408" w14:textId="77777777" w:rsidR="00D80917" w:rsidRPr="00D80917" w:rsidRDefault="00D80917" w:rsidP="00D80917">
      <w:pPr>
        <w:spacing w:line="276" w:lineRule="auto"/>
        <w:jc w:val="both"/>
        <w:outlineLvl w:val="0"/>
        <w:rPr>
          <w:rFonts w:asciiTheme="minorBidi" w:hAnsiTheme="minorBidi" w:cstheme="minorBidi"/>
          <w:i/>
          <w:u w:val="single"/>
        </w:rPr>
      </w:pPr>
      <w:r w:rsidRPr="00D80917">
        <w:rPr>
          <w:rFonts w:asciiTheme="minorBidi" w:hAnsiTheme="minorBidi" w:cstheme="minorBidi"/>
          <w:i/>
          <w:u w:val="single"/>
        </w:rPr>
        <w:t>Recommendations</w:t>
      </w:r>
    </w:p>
    <w:p w14:paraId="3BD94F9E" w14:textId="77777777" w:rsidR="00D80917" w:rsidRPr="00D80917" w:rsidRDefault="00D80917" w:rsidP="00D80917">
      <w:pPr>
        <w:spacing w:line="276" w:lineRule="auto"/>
        <w:jc w:val="both"/>
        <w:rPr>
          <w:rFonts w:asciiTheme="minorBidi" w:hAnsiTheme="minorBidi" w:cstheme="minorBidi"/>
        </w:rPr>
      </w:pPr>
    </w:p>
    <w:p w14:paraId="1AD02BC7" w14:textId="5B96B2D6"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Building on the findings in the financial audit review, the International Auditing </w:t>
      </w:r>
      <w:r w:rsidR="00795460">
        <w:rPr>
          <w:rFonts w:asciiTheme="minorBidi" w:hAnsiTheme="minorBidi" w:cstheme="minorBidi"/>
        </w:rPr>
        <w:t>Firm</w:t>
      </w:r>
      <w:r w:rsidRPr="00D80917">
        <w:rPr>
          <w:rFonts w:asciiTheme="minorBidi" w:hAnsiTheme="minorBidi" w:cstheme="minorBidi"/>
        </w:rPr>
        <w:t xml:space="preserve">, with benefit of coordination of UNSMIL, will formulate a set of recommendations to enable the CBL to effectively and efficiently achieve its objectives, tasks, and functions, specifically on how to: </w:t>
      </w:r>
    </w:p>
    <w:p w14:paraId="3F2C40CB" w14:textId="77777777" w:rsidR="00D80917" w:rsidRPr="00D80917" w:rsidRDefault="00D80917" w:rsidP="00CB5AFB">
      <w:pPr>
        <w:pStyle w:val="Paragraphedeliste"/>
        <w:numPr>
          <w:ilvl w:val="0"/>
          <w:numId w:val="41"/>
        </w:numPr>
        <w:spacing w:after="0"/>
        <w:ind w:left="567"/>
        <w:rPr>
          <w:rFonts w:asciiTheme="minorBidi" w:hAnsiTheme="minorBidi" w:cstheme="minorBidi"/>
          <w:sz w:val="20"/>
          <w:szCs w:val="20"/>
        </w:rPr>
      </w:pPr>
      <w:r w:rsidRPr="00D80917">
        <w:rPr>
          <w:rFonts w:asciiTheme="minorBidi" w:hAnsiTheme="minorBidi" w:cstheme="minorBidi"/>
          <w:sz w:val="20"/>
          <w:szCs w:val="20"/>
        </w:rPr>
        <w:t xml:space="preserve">Strengthen financial accountability, including the improvement of the quality and transparency of financial reporting and disclosures. </w:t>
      </w:r>
    </w:p>
    <w:p w14:paraId="1FBE7ADF" w14:textId="77777777" w:rsidR="00D80917" w:rsidRPr="00D80917" w:rsidRDefault="00D80917" w:rsidP="00CB5AFB">
      <w:pPr>
        <w:pStyle w:val="Paragraphedeliste"/>
        <w:numPr>
          <w:ilvl w:val="0"/>
          <w:numId w:val="41"/>
        </w:numPr>
        <w:spacing w:after="0"/>
        <w:ind w:left="567"/>
        <w:rPr>
          <w:rFonts w:asciiTheme="minorBidi" w:hAnsiTheme="minorBidi" w:cstheme="minorBidi"/>
          <w:sz w:val="20"/>
          <w:szCs w:val="20"/>
        </w:rPr>
      </w:pPr>
      <w:r w:rsidRPr="00D80917">
        <w:rPr>
          <w:rFonts w:asciiTheme="minorBidi" w:hAnsiTheme="minorBidi" w:cstheme="minorBidi"/>
          <w:sz w:val="20"/>
          <w:szCs w:val="20"/>
        </w:rPr>
        <w:t>Reconcile the balance sheets;</w:t>
      </w:r>
    </w:p>
    <w:p w14:paraId="697C8FA8" w14:textId="77777777" w:rsidR="00D80917" w:rsidRPr="00D80917" w:rsidRDefault="00D80917" w:rsidP="00CB5AFB">
      <w:pPr>
        <w:pStyle w:val="Paragraphedeliste"/>
        <w:numPr>
          <w:ilvl w:val="0"/>
          <w:numId w:val="41"/>
        </w:numPr>
        <w:spacing w:after="0"/>
        <w:ind w:left="567"/>
        <w:rPr>
          <w:rFonts w:asciiTheme="minorBidi" w:hAnsiTheme="minorBidi" w:cstheme="minorBidi"/>
          <w:sz w:val="20"/>
          <w:szCs w:val="20"/>
        </w:rPr>
      </w:pPr>
      <w:r w:rsidRPr="00D80917">
        <w:rPr>
          <w:rFonts w:asciiTheme="minorBidi" w:hAnsiTheme="minorBidi" w:cstheme="minorBidi"/>
          <w:sz w:val="20"/>
          <w:szCs w:val="20"/>
        </w:rPr>
        <w:t xml:space="preserve">Prioritize the purpose and standardize methodology for fair distribution of revenue across the country; </w:t>
      </w:r>
    </w:p>
    <w:p w14:paraId="6AA00748" w14:textId="71283363" w:rsidR="00D80917" w:rsidRPr="00D80917" w:rsidRDefault="00D80917" w:rsidP="00CB5AFB">
      <w:pPr>
        <w:pStyle w:val="Paragraphedeliste"/>
        <w:numPr>
          <w:ilvl w:val="0"/>
          <w:numId w:val="41"/>
        </w:numPr>
        <w:spacing w:after="0"/>
        <w:ind w:left="567"/>
        <w:jc w:val="both"/>
        <w:rPr>
          <w:rFonts w:asciiTheme="minorBidi" w:hAnsiTheme="minorBidi" w:cstheme="minorBidi"/>
          <w:sz w:val="20"/>
          <w:szCs w:val="20"/>
        </w:rPr>
      </w:pPr>
      <w:r w:rsidRPr="00D80917">
        <w:rPr>
          <w:rFonts w:asciiTheme="minorBidi" w:hAnsiTheme="minorBidi" w:cstheme="minorBidi"/>
          <w:sz w:val="20"/>
          <w:szCs w:val="20"/>
        </w:rPr>
        <w:t>Should the LC system remain, standardize the issuance of LCs and CAD's through clear criteria for eligibility and equitable distribution, and transparency as to who has applied and who has received them</w:t>
      </w:r>
      <w:r w:rsidR="00C27BD1">
        <w:rPr>
          <w:rFonts w:asciiTheme="minorBidi" w:hAnsiTheme="minorBidi" w:cstheme="minorBidi"/>
          <w:sz w:val="20"/>
          <w:szCs w:val="20"/>
        </w:rPr>
        <w:t>;</w:t>
      </w:r>
    </w:p>
    <w:p w14:paraId="18443A89" w14:textId="25E971E0" w:rsidR="00D80917" w:rsidRPr="00D80917" w:rsidRDefault="00C27BD1" w:rsidP="00CB5AFB">
      <w:pPr>
        <w:pStyle w:val="Paragraphedeliste"/>
        <w:numPr>
          <w:ilvl w:val="0"/>
          <w:numId w:val="41"/>
        </w:numPr>
        <w:spacing w:after="0"/>
        <w:ind w:left="567"/>
        <w:jc w:val="both"/>
        <w:rPr>
          <w:rFonts w:asciiTheme="minorBidi" w:hAnsiTheme="minorBidi" w:cstheme="minorBidi"/>
          <w:sz w:val="20"/>
          <w:szCs w:val="20"/>
        </w:rPr>
      </w:pPr>
      <w:r>
        <w:rPr>
          <w:rFonts w:asciiTheme="minorBidi" w:hAnsiTheme="minorBidi" w:cstheme="minorBidi"/>
          <w:sz w:val="20"/>
          <w:szCs w:val="20"/>
        </w:rPr>
        <w:t>H</w:t>
      </w:r>
      <w:r w:rsidR="00D80917" w:rsidRPr="00D80917">
        <w:rPr>
          <w:rFonts w:asciiTheme="minorBidi" w:hAnsiTheme="minorBidi" w:cstheme="minorBidi"/>
          <w:sz w:val="20"/>
          <w:szCs w:val="20"/>
        </w:rPr>
        <w:t>ow to reconcile the financial transactions between the two branches</w:t>
      </w:r>
      <w:r>
        <w:rPr>
          <w:rFonts w:asciiTheme="minorBidi" w:hAnsiTheme="minorBidi" w:cstheme="minorBidi"/>
          <w:sz w:val="20"/>
          <w:szCs w:val="20"/>
        </w:rPr>
        <w:t>;</w:t>
      </w:r>
    </w:p>
    <w:p w14:paraId="0C866A65" w14:textId="02D2A790" w:rsidR="00D80917" w:rsidRPr="00D80917" w:rsidRDefault="00C27BD1" w:rsidP="00CB5AFB">
      <w:pPr>
        <w:pStyle w:val="Paragraphedeliste"/>
        <w:numPr>
          <w:ilvl w:val="0"/>
          <w:numId w:val="41"/>
        </w:numPr>
        <w:spacing w:after="0"/>
        <w:ind w:left="567"/>
        <w:jc w:val="both"/>
        <w:rPr>
          <w:rFonts w:asciiTheme="minorBidi" w:hAnsiTheme="minorBidi" w:cstheme="minorBidi"/>
          <w:sz w:val="20"/>
          <w:szCs w:val="20"/>
        </w:rPr>
      </w:pPr>
      <w:r>
        <w:rPr>
          <w:rFonts w:asciiTheme="minorBidi" w:hAnsiTheme="minorBidi" w:cstheme="minorBidi"/>
          <w:sz w:val="20"/>
          <w:szCs w:val="20"/>
        </w:rPr>
        <w:t>U</w:t>
      </w:r>
      <w:r w:rsidR="00D80917" w:rsidRPr="00D80917">
        <w:rPr>
          <w:rFonts w:asciiTheme="minorBidi" w:hAnsiTheme="minorBidi" w:cstheme="minorBidi"/>
          <w:sz w:val="20"/>
          <w:szCs w:val="20"/>
        </w:rPr>
        <w:t>nifying the le</w:t>
      </w:r>
      <w:r>
        <w:rPr>
          <w:rFonts w:asciiTheme="minorBidi" w:hAnsiTheme="minorBidi" w:cstheme="minorBidi"/>
          <w:sz w:val="20"/>
          <w:szCs w:val="20"/>
        </w:rPr>
        <w:t xml:space="preserve">dger system of the two branches. </w:t>
      </w:r>
    </w:p>
    <w:p w14:paraId="1BAC6941" w14:textId="77777777" w:rsidR="00D80917" w:rsidRPr="00D80917" w:rsidRDefault="00D80917" w:rsidP="00D80917">
      <w:pPr>
        <w:spacing w:line="276" w:lineRule="auto"/>
        <w:rPr>
          <w:rFonts w:asciiTheme="minorBidi" w:hAnsiTheme="minorBidi" w:cstheme="minorBidi"/>
        </w:rPr>
      </w:pPr>
    </w:p>
    <w:p w14:paraId="404E9DCF" w14:textId="77777777"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The two parties commit to making all requested data and information available to the respective review teams of international auditors. The process should be accompanied by a communications strategy that promotes transparency and ensures that the public is informed on the developments of the process. This includes agreement on the deliverables of the review and on what parts of the findings should be made available to the public. </w:t>
      </w:r>
    </w:p>
    <w:p w14:paraId="2308D4B5" w14:textId="77777777" w:rsidR="00D80917" w:rsidRPr="00D80917" w:rsidRDefault="00D80917" w:rsidP="00D80917">
      <w:pPr>
        <w:spacing w:line="276" w:lineRule="auto"/>
        <w:rPr>
          <w:rFonts w:asciiTheme="minorBidi" w:hAnsiTheme="minorBidi" w:cstheme="minorBidi"/>
        </w:rPr>
      </w:pPr>
    </w:p>
    <w:p w14:paraId="24D4FAAC" w14:textId="77777777" w:rsidR="00D80917" w:rsidRPr="00D80917" w:rsidRDefault="00D80917" w:rsidP="00D80917">
      <w:pPr>
        <w:spacing w:line="276" w:lineRule="auto"/>
        <w:outlineLvl w:val="0"/>
        <w:rPr>
          <w:rFonts w:asciiTheme="minorBidi" w:hAnsiTheme="minorBidi" w:cstheme="minorBidi"/>
          <w:b/>
        </w:rPr>
      </w:pPr>
      <w:r w:rsidRPr="00D80917">
        <w:rPr>
          <w:rFonts w:asciiTheme="minorBidi" w:hAnsiTheme="minorBidi" w:cstheme="minorBidi"/>
          <w:b/>
        </w:rPr>
        <w:t>Administration</w:t>
      </w:r>
    </w:p>
    <w:p w14:paraId="19A166F0" w14:textId="77777777" w:rsidR="00D80917" w:rsidRPr="00D80917" w:rsidRDefault="00D80917" w:rsidP="00D80917">
      <w:pPr>
        <w:spacing w:line="276" w:lineRule="auto"/>
        <w:rPr>
          <w:rFonts w:asciiTheme="minorBidi" w:hAnsiTheme="minorBidi" w:cstheme="minorBidi"/>
          <w:i/>
        </w:rPr>
      </w:pPr>
    </w:p>
    <w:p w14:paraId="5FF6BF7B" w14:textId="3F579369"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The administrative structure of the financial review will be based on an Advisory Board consisting solely of UNSMIL, with oversight and coordination authority over the work of the International Auditing </w:t>
      </w:r>
      <w:r w:rsidR="00795460">
        <w:rPr>
          <w:rFonts w:asciiTheme="minorBidi" w:hAnsiTheme="minorBidi" w:cstheme="minorBidi"/>
        </w:rPr>
        <w:t>Firm</w:t>
      </w:r>
      <w:r w:rsidRPr="00D80917">
        <w:rPr>
          <w:rFonts w:asciiTheme="minorBidi" w:hAnsiTheme="minorBidi" w:cstheme="minorBidi"/>
        </w:rPr>
        <w:t xml:space="preserve">. </w:t>
      </w:r>
    </w:p>
    <w:p w14:paraId="181CB7AA" w14:textId="2E3BF3A0" w:rsidR="002631D2" w:rsidRDefault="00D80917" w:rsidP="00D80917">
      <w:pPr>
        <w:spacing w:line="276" w:lineRule="auto"/>
        <w:rPr>
          <w:rFonts w:asciiTheme="minorBidi" w:hAnsiTheme="minorBidi" w:cstheme="minorBidi"/>
        </w:rPr>
      </w:pPr>
      <w:r w:rsidRPr="00D80917">
        <w:rPr>
          <w:rFonts w:asciiTheme="minorBidi" w:hAnsiTheme="minorBidi" w:cstheme="minorBidi"/>
        </w:rPr>
        <w:t xml:space="preserve"> </w:t>
      </w:r>
    </w:p>
    <w:p w14:paraId="4E478ADF" w14:textId="77777777" w:rsidR="00D80917" w:rsidRPr="00D80917" w:rsidRDefault="00D80917" w:rsidP="00D80917">
      <w:pPr>
        <w:spacing w:line="276" w:lineRule="auto"/>
        <w:jc w:val="both"/>
        <w:outlineLvl w:val="0"/>
        <w:rPr>
          <w:rFonts w:asciiTheme="minorBidi" w:hAnsiTheme="minorBidi" w:cstheme="minorBidi"/>
          <w:i/>
          <w:u w:val="single"/>
        </w:rPr>
      </w:pPr>
      <w:r w:rsidRPr="00D80917">
        <w:rPr>
          <w:rFonts w:asciiTheme="minorBidi" w:hAnsiTheme="minorBidi" w:cstheme="minorBidi"/>
          <w:i/>
          <w:u w:val="single"/>
        </w:rPr>
        <w:t xml:space="preserve">Review Team of International Auditors  </w:t>
      </w:r>
    </w:p>
    <w:p w14:paraId="29A77EFB" w14:textId="77777777" w:rsidR="00D80917" w:rsidRPr="00D80917" w:rsidRDefault="00D80917" w:rsidP="00D80917">
      <w:pPr>
        <w:spacing w:line="276" w:lineRule="auto"/>
        <w:jc w:val="both"/>
        <w:outlineLvl w:val="0"/>
        <w:rPr>
          <w:rFonts w:asciiTheme="minorBidi" w:hAnsiTheme="minorBidi" w:cstheme="minorBidi"/>
          <w:i/>
          <w:u w:val="single"/>
        </w:rPr>
      </w:pPr>
    </w:p>
    <w:p w14:paraId="19BF213A" w14:textId="46BC62EF"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The financial audit review will be conducted by an </w:t>
      </w:r>
      <w:r w:rsidR="00795460">
        <w:rPr>
          <w:rFonts w:asciiTheme="minorBidi" w:hAnsiTheme="minorBidi" w:cstheme="minorBidi"/>
        </w:rPr>
        <w:t>I</w:t>
      </w:r>
      <w:r w:rsidRPr="00D80917">
        <w:rPr>
          <w:rFonts w:asciiTheme="minorBidi" w:hAnsiTheme="minorBidi" w:cstheme="minorBidi"/>
        </w:rPr>
        <w:t xml:space="preserve">nternational </w:t>
      </w:r>
      <w:r w:rsidR="00795460">
        <w:rPr>
          <w:rFonts w:asciiTheme="minorBidi" w:hAnsiTheme="minorBidi" w:cstheme="minorBidi"/>
        </w:rPr>
        <w:t>A</w:t>
      </w:r>
      <w:r w:rsidRPr="00D80917">
        <w:rPr>
          <w:rFonts w:asciiTheme="minorBidi" w:hAnsiTheme="minorBidi" w:cstheme="minorBidi"/>
        </w:rPr>
        <w:t xml:space="preserve">uditing </w:t>
      </w:r>
      <w:r w:rsidR="00795460">
        <w:rPr>
          <w:rFonts w:asciiTheme="minorBidi" w:hAnsiTheme="minorBidi" w:cstheme="minorBidi"/>
        </w:rPr>
        <w:t>F</w:t>
      </w:r>
      <w:r w:rsidRPr="00D80917">
        <w:rPr>
          <w:rFonts w:asciiTheme="minorBidi" w:hAnsiTheme="minorBidi" w:cstheme="minorBidi"/>
        </w:rPr>
        <w:t xml:space="preserve">irm with significant, proven and international experience in auditing of financial institutions, accounting, or forensic work, with access to a global network of specialized resources and chosen through a competitive bidding process. The auditing firm will form two teams to review the Tripoli and Al Bayda offices respectively. UNSMIL will oversee the RFP process, and Governors el-Kaber and el-Hebri will each nominate a representative to join the bidding committee for the selection process. </w:t>
      </w:r>
    </w:p>
    <w:p w14:paraId="64F945E3" w14:textId="77777777" w:rsidR="00831CF7" w:rsidRDefault="00831CF7" w:rsidP="00D80917">
      <w:pPr>
        <w:spacing w:line="276" w:lineRule="auto"/>
        <w:jc w:val="both"/>
        <w:rPr>
          <w:rFonts w:asciiTheme="minorBidi" w:hAnsiTheme="minorBidi" w:cstheme="minorBidi"/>
        </w:rPr>
      </w:pPr>
    </w:p>
    <w:p w14:paraId="12776F27" w14:textId="77777777" w:rsidR="00D80917" w:rsidRPr="00D80917" w:rsidRDefault="00D80917" w:rsidP="00D80917">
      <w:pPr>
        <w:spacing w:line="276" w:lineRule="auto"/>
        <w:jc w:val="both"/>
        <w:outlineLvl w:val="0"/>
        <w:rPr>
          <w:rFonts w:asciiTheme="minorBidi" w:hAnsiTheme="minorBidi" w:cstheme="minorBidi"/>
          <w:i/>
          <w:u w:val="single"/>
        </w:rPr>
      </w:pPr>
      <w:r w:rsidRPr="00D80917">
        <w:rPr>
          <w:rFonts w:asciiTheme="minorBidi" w:hAnsiTheme="minorBidi" w:cstheme="minorBidi"/>
          <w:i/>
          <w:u w:val="single"/>
        </w:rPr>
        <w:t xml:space="preserve">Internal Coordination Committee </w:t>
      </w:r>
    </w:p>
    <w:p w14:paraId="0AEFE17F" w14:textId="77777777" w:rsidR="00D80917" w:rsidRPr="00D80917" w:rsidRDefault="00D80917" w:rsidP="00D80917">
      <w:pPr>
        <w:spacing w:line="276" w:lineRule="auto"/>
        <w:jc w:val="both"/>
        <w:outlineLvl w:val="0"/>
        <w:rPr>
          <w:rFonts w:asciiTheme="minorBidi" w:hAnsiTheme="minorBidi" w:cstheme="minorBidi"/>
          <w:i/>
          <w:u w:val="single"/>
        </w:rPr>
      </w:pPr>
    </w:p>
    <w:p w14:paraId="2FAA6CB3" w14:textId="77777777"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In order to assist the preparation of the review, the Central Bank in Tripoli and Al Bayda will each form an Internal Coordination Committee to support the International Auditing Team by providing requested data and by facilitating access to the two institutions. </w:t>
      </w:r>
    </w:p>
    <w:p w14:paraId="3818E545" w14:textId="77777777" w:rsidR="00D80917" w:rsidRDefault="00D80917" w:rsidP="00D80917">
      <w:pPr>
        <w:spacing w:line="276" w:lineRule="auto"/>
        <w:rPr>
          <w:rFonts w:asciiTheme="minorBidi" w:hAnsiTheme="minorBidi" w:cstheme="minorBidi"/>
          <w:b/>
        </w:rPr>
      </w:pPr>
      <w:r w:rsidRPr="00D80917">
        <w:rPr>
          <w:rFonts w:asciiTheme="minorBidi" w:hAnsiTheme="minorBidi" w:cstheme="minorBidi"/>
          <w:b/>
        </w:rPr>
        <w:t xml:space="preserve"> </w:t>
      </w:r>
    </w:p>
    <w:p w14:paraId="2E206488" w14:textId="77777777" w:rsidR="00D80917" w:rsidRDefault="00D80917" w:rsidP="00D80917">
      <w:pPr>
        <w:spacing w:line="276" w:lineRule="auto"/>
        <w:outlineLvl w:val="0"/>
        <w:rPr>
          <w:rFonts w:asciiTheme="minorBidi" w:hAnsiTheme="minorBidi" w:cstheme="minorBidi"/>
          <w:b/>
        </w:rPr>
      </w:pPr>
      <w:r w:rsidRPr="00D80917">
        <w:rPr>
          <w:rFonts w:asciiTheme="minorBidi" w:hAnsiTheme="minorBidi" w:cstheme="minorBidi"/>
          <w:b/>
        </w:rPr>
        <w:t>Timeline</w:t>
      </w:r>
    </w:p>
    <w:p w14:paraId="3A01D6DC" w14:textId="77777777" w:rsidR="00831CF7" w:rsidRPr="00D80917" w:rsidRDefault="00831CF7" w:rsidP="00D80917">
      <w:pPr>
        <w:spacing w:line="276" w:lineRule="auto"/>
        <w:outlineLvl w:val="0"/>
        <w:rPr>
          <w:rFonts w:asciiTheme="minorBidi" w:hAnsiTheme="minorBidi" w:cstheme="minorBidi"/>
          <w:b/>
        </w:rPr>
      </w:pPr>
    </w:p>
    <w:p w14:paraId="2BBD6E6E" w14:textId="5E33593D" w:rsidR="00D80917" w:rsidRPr="00D80917" w:rsidRDefault="007043E4" w:rsidP="00D80917">
      <w:pPr>
        <w:spacing w:line="276" w:lineRule="auto"/>
        <w:jc w:val="both"/>
        <w:rPr>
          <w:rFonts w:asciiTheme="minorBidi" w:hAnsiTheme="minorBidi" w:cstheme="minorBidi"/>
        </w:rPr>
      </w:pPr>
      <w:r>
        <w:rPr>
          <w:rFonts w:asciiTheme="minorBidi" w:hAnsiTheme="minorBidi" w:cstheme="minorBidi"/>
          <w:b/>
          <w:bCs/>
        </w:rPr>
        <w:t>T</w:t>
      </w:r>
      <w:r w:rsidR="00D80917" w:rsidRPr="00373E7F">
        <w:rPr>
          <w:rFonts w:asciiTheme="minorBidi" w:hAnsiTheme="minorBidi" w:cstheme="minorBidi"/>
          <w:b/>
          <w:bCs/>
        </w:rPr>
        <w:t>he entire audit review process is expected to be completed within six</w:t>
      </w:r>
      <w:r>
        <w:rPr>
          <w:rFonts w:asciiTheme="minorBidi" w:hAnsiTheme="minorBidi" w:cstheme="minorBidi"/>
          <w:b/>
          <w:bCs/>
        </w:rPr>
        <w:t xml:space="preserve"> (6)</w:t>
      </w:r>
      <w:r w:rsidR="00D80917" w:rsidRPr="00373E7F">
        <w:rPr>
          <w:rFonts w:asciiTheme="minorBidi" w:hAnsiTheme="minorBidi" w:cstheme="minorBidi"/>
          <w:b/>
          <w:bCs/>
        </w:rPr>
        <w:t xml:space="preserve"> months</w:t>
      </w:r>
      <w:r>
        <w:rPr>
          <w:rFonts w:asciiTheme="minorBidi" w:hAnsiTheme="minorBidi" w:cstheme="minorBidi"/>
          <w:b/>
          <w:bCs/>
        </w:rPr>
        <w:t xml:space="preserve"> from the date of contract signature</w:t>
      </w:r>
      <w:r w:rsidR="00D80917" w:rsidRPr="00D80917">
        <w:rPr>
          <w:rFonts w:asciiTheme="minorBidi" w:hAnsiTheme="minorBidi" w:cstheme="minorBidi"/>
        </w:rPr>
        <w:t xml:space="preserve">. The retrospective </w:t>
      </w:r>
      <w:r w:rsidR="00C27BD1" w:rsidRPr="00D80917">
        <w:rPr>
          <w:rFonts w:asciiTheme="minorBidi" w:hAnsiTheme="minorBidi" w:cstheme="minorBidi"/>
        </w:rPr>
        <w:t xml:space="preserve">elements </w:t>
      </w:r>
      <w:r w:rsidR="00D80917" w:rsidRPr="00D80917">
        <w:rPr>
          <w:rFonts w:asciiTheme="minorBidi" w:hAnsiTheme="minorBidi" w:cstheme="minorBidi"/>
        </w:rPr>
        <w:t>(analysis of data and operations since September 2014) should be concluded within the first three months and would include a scoping exercise in the initial phase to review available data. The second stage of the review (4</w:t>
      </w:r>
      <w:r w:rsidR="00D80917" w:rsidRPr="00D80917">
        <w:rPr>
          <w:rFonts w:asciiTheme="minorBidi" w:hAnsiTheme="minorBidi" w:cstheme="minorBidi"/>
          <w:vertAlign w:val="superscript"/>
        </w:rPr>
        <w:t>th</w:t>
      </w:r>
      <w:r w:rsidR="00D80917" w:rsidRPr="00D80917">
        <w:rPr>
          <w:rFonts w:asciiTheme="minorBidi" w:hAnsiTheme="minorBidi" w:cstheme="minorBidi"/>
        </w:rPr>
        <w:t>-6</w:t>
      </w:r>
      <w:r w:rsidR="00D80917" w:rsidRPr="00D80917">
        <w:rPr>
          <w:rFonts w:asciiTheme="minorBidi" w:hAnsiTheme="minorBidi" w:cstheme="minorBidi"/>
          <w:vertAlign w:val="superscript"/>
        </w:rPr>
        <w:t>th</w:t>
      </w:r>
      <w:r w:rsidR="00D80917" w:rsidRPr="00D80917">
        <w:rPr>
          <w:rFonts w:asciiTheme="minorBidi" w:hAnsiTheme="minorBidi" w:cstheme="minorBidi"/>
        </w:rPr>
        <w:t xml:space="preserve"> month) should focus on the follow-up of the review process and mark the initiation of the post-review stage. The parties are expected to reach agreement on a clear timeline for an estimated date of completion of the financial audit review.  </w:t>
      </w:r>
    </w:p>
    <w:p w14:paraId="1D422E35" w14:textId="77777777" w:rsidR="00D80917" w:rsidRPr="00D80917" w:rsidRDefault="00D80917" w:rsidP="00D80917">
      <w:pPr>
        <w:spacing w:line="276" w:lineRule="auto"/>
        <w:jc w:val="both"/>
        <w:rPr>
          <w:rFonts w:asciiTheme="minorBidi" w:hAnsiTheme="minorBidi" w:cstheme="minorBidi"/>
        </w:rPr>
      </w:pPr>
    </w:p>
    <w:p w14:paraId="0EF35C3B" w14:textId="442C3C0C"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The post-review stage entails the analysis and publication</w:t>
      </w:r>
      <w:r w:rsidR="00541DA4">
        <w:rPr>
          <w:rFonts w:asciiTheme="minorBidi" w:hAnsiTheme="minorBidi" w:cstheme="minorBidi"/>
        </w:rPr>
        <w:t xml:space="preserve">, if required, </w:t>
      </w:r>
      <w:r w:rsidRPr="00D80917">
        <w:rPr>
          <w:rFonts w:asciiTheme="minorBidi" w:hAnsiTheme="minorBidi" w:cstheme="minorBidi"/>
        </w:rPr>
        <w:t xml:space="preserve">of the main findings to promote transparency and win public trust. </w:t>
      </w:r>
    </w:p>
    <w:p w14:paraId="29260705" w14:textId="77777777" w:rsidR="00D80917" w:rsidRPr="00D80917" w:rsidRDefault="00D80917" w:rsidP="00D80917">
      <w:pPr>
        <w:spacing w:line="276" w:lineRule="auto"/>
        <w:jc w:val="both"/>
        <w:rPr>
          <w:rFonts w:asciiTheme="minorBidi" w:hAnsiTheme="minorBidi" w:cstheme="minorBidi"/>
        </w:rPr>
      </w:pPr>
    </w:p>
    <w:p w14:paraId="32E81E83" w14:textId="77777777" w:rsidR="00D80917" w:rsidRPr="00D80917" w:rsidRDefault="00D80917" w:rsidP="00D80917">
      <w:pPr>
        <w:spacing w:line="276" w:lineRule="auto"/>
        <w:jc w:val="both"/>
        <w:outlineLvl w:val="0"/>
        <w:rPr>
          <w:rFonts w:asciiTheme="minorBidi" w:hAnsiTheme="minorBidi" w:cstheme="minorBidi"/>
          <w:b/>
        </w:rPr>
      </w:pPr>
      <w:r w:rsidRPr="00D80917">
        <w:rPr>
          <w:rFonts w:asciiTheme="minorBidi" w:hAnsiTheme="minorBidi" w:cstheme="minorBidi"/>
          <w:b/>
        </w:rPr>
        <w:t>Financing</w:t>
      </w:r>
    </w:p>
    <w:p w14:paraId="0DE75D50" w14:textId="21BFFCF1" w:rsidR="00D80917" w:rsidRPr="00D80917" w:rsidRDefault="00D80917" w:rsidP="00D80917">
      <w:pPr>
        <w:spacing w:line="276" w:lineRule="auto"/>
        <w:jc w:val="both"/>
        <w:rPr>
          <w:rFonts w:asciiTheme="minorBidi" w:hAnsiTheme="minorBidi" w:cstheme="minorBidi"/>
        </w:rPr>
      </w:pPr>
      <w:r w:rsidRPr="00D80917">
        <w:rPr>
          <w:rFonts w:asciiTheme="minorBidi" w:hAnsiTheme="minorBidi" w:cstheme="minorBidi"/>
        </w:rPr>
        <w:t xml:space="preserve">The Presidency Council committed to provide the necessary financing for the financial audit review through a budget line that has been earmarked for ad-hoc allocations, which may be potentially complemented by funds from the Bayda CBL. </w:t>
      </w:r>
      <w:r w:rsidR="00EE23B8">
        <w:rPr>
          <w:lang w:val="en-US"/>
        </w:rPr>
        <w:t>In order to ensure independence of the entity conducting the review as desired by the two parties, the funds will be transferred to UNOPS in accordance with the Project Agreement between the Government of Libya and UNOPS.</w:t>
      </w:r>
    </w:p>
    <w:p w14:paraId="7FF371BE" w14:textId="77777777" w:rsidR="00D80917" w:rsidRPr="00D80917" w:rsidRDefault="00D80917" w:rsidP="00D80917">
      <w:pPr>
        <w:spacing w:line="276" w:lineRule="auto"/>
        <w:rPr>
          <w:rFonts w:asciiTheme="minorBidi" w:hAnsiTheme="minorBidi" w:cstheme="minorBidi"/>
          <w:i/>
        </w:rPr>
      </w:pPr>
      <w:r w:rsidRPr="00D80917">
        <w:rPr>
          <w:rFonts w:asciiTheme="minorBidi" w:hAnsiTheme="minorBidi" w:cstheme="minorBidi"/>
        </w:rPr>
        <w:t xml:space="preserve"> </w:t>
      </w:r>
    </w:p>
    <w:p w14:paraId="395F8241" w14:textId="77777777" w:rsidR="00D80917" w:rsidRPr="00D80917" w:rsidRDefault="00D80917" w:rsidP="00D80917">
      <w:pPr>
        <w:spacing w:line="276" w:lineRule="auto"/>
        <w:outlineLvl w:val="0"/>
        <w:rPr>
          <w:rFonts w:asciiTheme="minorBidi" w:hAnsiTheme="minorBidi" w:cstheme="minorBidi"/>
          <w:b/>
        </w:rPr>
      </w:pPr>
      <w:r w:rsidRPr="00D80917">
        <w:rPr>
          <w:rFonts w:asciiTheme="minorBidi" w:hAnsiTheme="minorBidi" w:cstheme="minorBidi"/>
          <w:b/>
        </w:rPr>
        <w:t xml:space="preserve">Proposed Representatives </w:t>
      </w:r>
    </w:p>
    <w:p w14:paraId="2014D799" w14:textId="2C882B91" w:rsidR="00D80917" w:rsidRPr="00D80917" w:rsidRDefault="00D80917" w:rsidP="00D80917">
      <w:pPr>
        <w:spacing w:line="276" w:lineRule="auto"/>
        <w:outlineLvl w:val="0"/>
        <w:rPr>
          <w:rFonts w:asciiTheme="minorBidi" w:hAnsiTheme="minorBidi" w:cstheme="minorBidi"/>
          <w:i/>
        </w:rPr>
      </w:pPr>
      <w:r w:rsidRPr="00D80917">
        <w:rPr>
          <w:rFonts w:asciiTheme="minorBidi" w:hAnsiTheme="minorBidi" w:cstheme="minorBidi"/>
          <w:i/>
        </w:rPr>
        <w:t>International Auditing Firm</w:t>
      </w:r>
      <w:r w:rsidRPr="00D80917">
        <w:rPr>
          <w:rFonts w:asciiTheme="minorBidi" w:hAnsiTheme="minorBidi" w:cstheme="minorBidi"/>
        </w:rPr>
        <w:t xml:space="preserve"> </w:t>
      </w:r>
      <w:bookmarkStart w:id="2" w:name="_Hlk527798477"/>
      <w:r w:rsidRPr="00D80917">
        <w:rPr>
          <w:rFonts w:asciiTheme="minorBidi" w:hAnsiTheme="minorBidi" w:cstheme="minorBidi"/>
        </w:rPr>
        <w:t>with significant, proven and international experience in auditing of financial institutions, accounting, or forensic work, with access to a global network of specialized resources</w:t>
      </w:r>
      <w:bookmarkEnd w:id="2"/>
      <w:r w:rsidRPr="00D80917">
        <w:rPr>
          <w:rFonts w:asciiTheme="minorBidi" w:hAnsiTheme="minorBidi" w:cstheme="minorBidi"/>
        </w:rPr>
        <w:t xml:space="preserve">. </w:t>
      </w:r>
    </w:p>
    <w:p w14:paraId="5A9FD635" w14:textId="77777777" w:rsidR="00D80917" w:rsidRDefault="00D80917" w:rsidP="00D80917">
      <w:pPr>
        <w:jc w:val="both"/>
        <w:rPr>
          <w:rFonts w:ascii="Times New Roman" w:hAnsi="Times New Roman" w:cs="Times New Roman"/>
        </w:rPr>
      </w:pPr>
    </w:p>
    <w:p w14:paraId="001FB99A" w14:textId="77777777" w:rsidR="00D80917" w:rsidRPr="00300FCE" w:rsidRDefault="00D80917" w:rsidP="00300FCE">
      <w:pPr>
        <w:rPr>
          <w:color w:val="000000"/>
          <w:sz w:val="6"/>
          <w:szCs w:val="6"/>
          <w:highlight w:val="cyan"/>
          <w:lang w:val="en-AU"/>
        </w:rPr>
      </w:pPr>
    </w:p>
    <w:sectPr w:rsidR="00D80917" w:rsidRPr="00300FCE" w:rsidSect="002631D2">
      <w:headerReference w:type="default" r:id="rId12"/>
      <w:footerReference w:type="default" r:id="rId13"/>
      <w:headerReference w:type="first" r:id="rId14"/>
      <w:type w:val="continuous"/>
      <w:pgSz w:w="11907" w:h="16839" w:code="9"/>
      <w:pgMar w:top="1440" w:right="1077" w:bottom="1701"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698AB" w14:textId="77777777" w:rsidR="00637F61" w:rsidRDefault="00637F61">
      <w:r>
        <w:separator/>
      </w:r>
    </w:p>
  </w:endnote>
  <w:endnote w:type="continuationSeparator" w:id="0">
    <w:p w14:paraId="543788F9" w14:textId="77777777" w:rsidR="00637F61" w:rsidRDefault="0063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Pieddepage"/>
            <w:rPr>
              <w:rFonts w:ascii="Arial" w:hAnsi="Arial"/>
              <w:sz w:val="18"/>
              <w:szCs w:val="18"/>
            </w:rPr>
          </w:pPr>
        </w:p>
      </w:tc>
      <w:tc>
        <w:tcPr>
          <w:tcW w:w="5293" w:type="dxa"/>
        </w:tcPr>
        <w:p w14:paraId="6BA19A74" w14:textId="2986B941" w:rsidR="0059057B" w:rsidRPr="00933BF0" w:rsidRDefault="0059057B" w:rsidP="0059057B">
          <w:pPr>
            <w:pStyle w:val="Pieddepage"/>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B5AFB">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C2BBB" w14:textId="77777777" w:rsidR="00637F61" w:rsidRDefault="00637F61">
      <w:r>
        <w:separator/>
      </w:r>
    </w:p>
  </w:footnote>
  <w:footnote w:type="continuationSeparator" w:id="0">
    <w:p w14:paraId="0391006E" w14:textId="77777777" w:rsidR="00637F61" w:rsidRDefault="00637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3BAC223" w:rsidR="0059057B" w:rsidRPr="002631D2" w:rsidRDefault="00244113" w:rsidP="00D80917">
          <w:pPr>
            <w:pStyle w:val="Pieddepage"/>
            <w:jc w:val="right"/>
            <w:rPr>
              <w:rFonts w:ascii="Arial" w:hAnsi="Arial"/>
              <w:b/>
              <w:i/>
              <w:iCs/>
              <w:sz w:val="18"/>
              <w:szCs w:val="18"/>
              <w:highlight w:val="yellow"/>
            </w:rPr>
          </w:pPr>
          <w:r w:rsidRPr="00D80917">
            <w:rPr>
              <w:i/>
              <w:iCs/>
              <w:noProof/>
              <w:highlight w:val="yellow"/>
              <w:lang w:val="fr-FR" w:eastAsia="fr-FR"/>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917" w:rsidRPr="00D80917">
            <w:rPr>
              <w:i/>
              <w:iCs/>
              <w:highlight w:val="yellow"/>
            </w:rPr>
            <w:t xml:space="preserve"> </w:t>
          </w:r>
          <w:r w:rsidR="00D80917" w:rsidRPr="002631D2">
            <w:rPr>
              <w:rFonts w:ascii="Arial" w:hAnsi="Arial"/>
              <w:b/>
              <w:i/>
              <w:iCs/>
              <w:sz w:val="18"/>
              <w:szCs w:val="18"/>
              <w:highlight w:val="yellow"/>
            </w:rPr>
            <w:t>Confidential</w:t>
          </w:r>
        </w:p>
      </w:tc>
    </w:tr>
  </w:tbl>
  <w:p w14:paraId="5AD02CD2" w14:textId="77777777" w:rsidR="0059057B" w:rsidRDefault="005905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1B938" w14:textId="49BA0C7E" w:rsidR="0059057B" w:rsidRDefault="0059057B">
    <w:pPr>
      <w:pStyle w:val="En-tte"/>
    </w:pPr>
    <w:r w:rsidRPr="00A1644F">
      <w:rPr>
        <w:noProof/>
        <w:lang w:val="fr-FR" w:eastAsia="fr-FR"/>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B846BFD"/>
    <w:multiLevelType w:val="hybridMultilevel"/>
    <w:tmpl w:val="41F2771C"/>
    <w:lvl w:ilvl="0" w:tplc="FFAAB95A">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A704E0"/>
    <w:multiLevelType w:val="hybridMultilevel"/>
    <w:tmpl w:val="6B60A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AAC6478"/>
    <w:multiLevelType w:val="hybridMultilevel"/>
    <w:tmpl w:val="3D728DD6"/>
    <w:lvl w:ilvl="0" w:tplc="FFAAB95A">
      <w:start w:val="3"/>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CBF4E7A"/>
    <w:multiLevelType w:val="hybridMultilevel"/>
    <w:tmpl w:val="B59218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131997"/>
    <w:multiLevelType w:val="hybridMultilevel"/>
    <w:tmpl w:val="C3344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9B0D0E"/>
    <w:multiLevelType w:val="hybridMultilevel"/>
    <w:tmpl w:val="004CAB74"/>
    <w:lvl w:ilvl="0" w:tplc="2F0A1D3C">
      <w:start w:val="5"/>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0"/>
  </w:num>
  <w:num w:numId="3">
    <w:abstractNumId w:val="3"/>
  </w:num>
  <w:num w:numId="4">
    <w:abstractNumId w:val="16"/>
  </w:num>
  <w:num w:numId="5">
    <w:abstractNumId w:val="10"/>
  </w:num>
  <w:num w:numId="6">
    <w:abstractNumId w:val="5"/>
  </w:num>
  <w:num w:numId="7">
    <w:abstractNumId w:val="8"/>
  </w:num>
  <w:num w:numId="8">
    <w:abstractNumId w:val="18"/>
  </w:num>
  <w:num w:numId="9">
    <w:abstractNumId w:val="35"/>
  </w:num>
  <w:num w:numId="10">
    <w:abstractNumId w:val="33"/>
  </w:num>
  <w:num w:numId="11">
    <w:abstractNumId w:val="23"/>
  </w:num>
  <w:num w:numId="12">
    <w:abstractNumId w:val="6"/>
  </w:num>
  <w:num w:numId="13">
    <w:abstractNumId w:val="11"/>
  </w:num>
  <w:num w:numId="14">
    <w:abstractNumId w:val="27"/>
  </w:num>
  <w:num w:numId="15">
    <w:abstractNumId w:val="1"/>
  </w:num>
  <w:num w:numId="16">
    <w:abstractNumId w:val="32"/>
  </w:num>
  <w:num w:numId="17">
    <w:abstractNumId w:val="4"/>
  </w:num>
  <w:num w:numId="18">
    <w:abstractNumId w:val="36"/>
  </w:num>
  <w:num w:numId="19">
    <w:abstractNumId w:val="34"/>
  </w:num>
  <w:num w:numId="20">
    <w:abstractNumId w:val="43"/>
  </w:num>
  <w:num w:numId="21">
    <w:abstractNumId w:val="40"/>
  </w:num>
  <w:num w:numId="22">
    <w:abstractNumId w:val="42"/>
  </w:num>
  <w:num w:numId="23">
    <w:abstractNumId w:val="29"/>
  </w:num>
  <w:num w:numId="24">
    <w:abstractNumId w:val="2"/>
  </w:num>
  <w:num w:numId="25">
    <w:abstractNumId w:val="12"/>
  </w:num>
  <w:num w:numId="26">
    <w:abstractNumId w:val="26"/>
  </w:num>
  <w:num w:numId="27">
    <w:abstractNumId w:val="31"/>
  </w:num>
  <w:num w:numId="28">
    <w:abstractNumId w:val="7"/>
  </w:num>
  <w:num w:numId="29">
    <w:abstractNumId w:val="24"/>
  </w:num>
  <w:num w:numId="30">
    <w:abstractNumId w:val="14"/>
  </w:num>
  <w:num w:numId="31">
    <w:abstractNumId w:val="20"/>
  </w:num>
  <w:num w:numId="32">
    <w:abstractNumId w:val="38"/>
  </w:num>
  <w:num w:numId="33">
    <w:abstractNumId w:val="30"/>
  </w:num>
  <w:num w:numId="34">
    <w:abstractNumId w:val="28"/>
  </w:num>
  <w:num w:numId="35">
    <w:abstractNumId w:val="25"/>
  </w:num>
  <w:num w:numId="36">
    <w:abstractNumId w:val="13"/>
  </w:num>
  <w:num w:numId="37">
    <w:abstractNumId w:val="39"/>
  </w:num>
  <w:num w:numId="38">
    <w:abstractNumId w:val="37"/>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2"/>
  </w:num>
  <w:num w:numId="42">
    <w:abstractNumId w:val="21"/>
  </w:num>
  <w:num w:numId="43">
    <w:abstractNumId w:val="15"/>
  </w:num>
  <w:num w:numId="4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014"/>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2567"/>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5FCD"/>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1D2"/>
    <w:rsid w:val="00263C89"/>
    <w:rsid w:val="00266E90"/>
    <w:rsid w:val="0027189F"/>
    <w:rsid w:val="00274776"/>
    <w:rsid w:val="0027521D"/>
    <w:rsid w:val="00276C54"/>
    <w:rsid w:val="00281B61"/>
    <w:rsid w:val="00281E51"/>
    <w:rsid w:val="00282E95"/>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5720E"/>
    <w:rsid w:val="003647AB"/>
    <w:rsid w:val="00364FAD"/>
    <w:rsid w:val="00367FC2"/>
    <w:rsid w:val="00370408"/>
    <w:rsid w:val="00371031"/>
    <w:rsid w:val="00372E8A"/>
    <w:rsid w:val="00373568"/>
    <w:rsid w:val="00373E7F"/>
    <w:rsid w:val="003762EC"/>
    <w:rsid w:val="00376573"/>
    <w:rsid w:val="00377017"/>
    <w:rsid w:val="0037743A"/>
    <w:rsid w:val="0037780B"/>
    <w:rsid w:val="003813C9"/>
    <w:rsid w:val="003840FF"/>
    <w:rsid w:val="0038668C"/>
    <w:rsid w:val="00386F46"/>
    <w:rsid w:val="00390C34"/>
    <w:rsid w:val="003932B1"/>
    <w:rsid w:val="00394E89"/>
    <w:rsid w:val="003963DA"/>
    <w:rsid w:val="00397FD9"/>
    <w:rsid w:val="003A0918"/>
    <w:rsid w:val="003A2852"/>
    <w:rsid w:val="003A3EB8"/>
    <w:rsid w:val="003A431F"/>
    <w:rsid w:val="003B17C7"/>
    <w:rsid w:val="003B3CD0"/>
    <w:rsid w:val="003B3E4B"/>
    <w:rsid w:val="003B7AC6"/>
    <w:rsid w:val="003B7C21"/>
    <w:rsid w:val="003C125D"/>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36D67"/>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056"/>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0FDB"/>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3FD8"/>
    <w:rsid w:val="004F0300"/>
    <w:rsid w:val="004F0A0B"/>
    <w:rsid w:val="004F1656"/>
    <w:rsid w:val="004F16B2"/>
    <w:rsid w:val="004F4204"/>
    <w:rsid w:val="004F4858"/>
    <w:rsid w:val="004F5255"/>
    <w:rsid w:val="004F65B6"/>
    <w:rsid w:val="00503C8D"/>
    <w:rsid w:val="00504F92"/>
    <w:rsid w:val="00505D77"/>
    <w:rsid w:val="0051120D"/>
    <w:rsid w:val="00512D7A"/>
    <w:rsid w:val="005131E3"/>
    <w:rsid w:val="00513C5F"/>
    <w:rsid w:val="00513DE5"/>
    <w:rsid w:val="00514C4E"/>
    <w:rsid w:val="00514D4F"/>
    <w:rsid w:val="0051644D"/>
    <w:rsid w:val="005214E7"/>
    <w:rsid w:val="00536B6F"/>
    <w:rsid w:val="00536CF9"/>
    <w:rsid w:val="00536E28"/>
    <w:rsid w:val="0053719F"/>
    <w:rsid w:val="005402C8"/>
    <w:rsid w:val="00541DA4"/>
    <w:rsid w:val="005422F8"/>
    <w:rsid w:val="005428A6"/>
    <w:rsid w:val="00544BBA"/>
    <w:rsid w:val="00545568"/>
    <w:rsid w:val="00554103"/>
    <w:rsid w:val="0055430F"/>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3367"/>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3728C"/>
    <w:rsid w:val="00637F61"/>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3E4"/>
    <w:rsid w:val="00704A22"/>
    <w:rsid w:val="00707C86"/>
    <w:rsid w:val="0071459D"/>
    <w:rsid w:val="00714799"/>
    <w:rsid w:val="00715589"/>
    <w:rsid w:val="00715C57"/>
    <w:rsid w:val="00722113"/>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5460"/>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E5580"/>
    <w:rsid w:val="007F0728"/>
    <w:rsid w:val="007F156A"/>
    <w:rsid w:val="007F35A5"/>
    <w:rsid w:val="007F36E6"/>
    <w:rsid w:val="007F3B08"/>
    <w:rsid w:val="007F3DB4"/>
    <w:rsid w:val="007F46EB"/>
    <w:rsid w:val="007F4B9C"/>
    <w:rsid w:val="007F53EE"/>
    <w:rsid w:val="008004F1"/>
    <w:rsid w:val="00801C8C"/>
    <w:rsid w:val="00802C7A"/>
    <w:rsid w:val="00805CD4"/>
    <w:rsid w:val="00806563"/>
    <w:rsid w:val="00813B17"/>
    <w:rsid w:val="0081429B"/>
    <w:rsid w:val="00814409"/>
    <w:rsid w:val="00815B15"/>
    <w:rsid w:val="0081697C"/>
    <w:rsid w:val="00821519"/>
    <w:rsid w:val="00825483"/>
    <w:rsid w:val="00826C02"/>
    <w:rsid w:val="00827236"/>
    <w:rsid w:val="0082769F"/>
    <w:rsid w:val="00831CF7"/>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0E08"/>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4D14"/>
    <w:rsid w:val="009B4DD2"/>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0127"/>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D7F6A"/>
    <w:rsid w:val="00AE1940"/>
    <w:rsid w:val="00AE1D8C"/>
    <w:rsid w:val="00AE282D"/>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169E3"/>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B7C23"/>
    <w:rsid w:val="00BC024A"/>
    <w:rsid w:val="00BC6987"/>
    <w:rsid w:val="00BC6EFE"/>
    <w:rsid w:val="00BC6F29"/>
    <w:rsid w:val="00BC7FAD"/>
    <w:rsid w:val="00BD0FD6"/>
    <w:rsid w:val="00BD12C7"/>
    <w:rsid w:val="00BD1C3F"/>
    <w:rsid w:val="00BD3015"/>
    <w:rsid w:val="00BD5D47"/>
    <w:rsid w:val="00BD68E9"/>
    <w:rsid w:val="00BE2842"/>
    <w:rsid w:val="00BE2897"/>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27BD1"/>
    <w:rsid w:val="00C30E44"/>
    <w:rsid w:val="00C32F17"/>
    <w:rsid w:val="00C33B62"/>
    <w:rsid w:val="00C33DEA"/>
    <w:rsid w:val="00C3411E"/>
    <w:rsid w:val="00C3705A"/>
    <w:rsid w:val="00C412B2"/>
    <w:rsid w:val="00C42751"/>
    <w:rsid w:val="00C432B2"/>
    <w:rsid w:val="00C470A6"/>
    <w:rsid w:val="00C50430"/>
    <w:rsid w:val="00C52F46"/>
    <w:rsid w:val="00C53236"/>
    <w:rsid w:val="00C5581B"/>
    <w:rsid w:val="00C55C63"/>
    <w:rsid w:val="00C563D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B5AFB"/>
    <w:rsid w:val="00CC15AF"/>
    <w:rsid w:val="00CC4A55"/>
    <w:rsid w:val="00CC5715"/>
    <w:rsid w:val="00CC58F5"/>
    <w:rsid w:val="00CC655B"/>
    <w:rsid w:val="00CC7B90"/>
    <w:rsid w:val="00CC7C5D"/>
    <w:rsid w:val="00CD1118"/>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4FFF"/>
    <w:rsid w:val="00D577BC"/>
    <w:rsid w:val="00D624C4"/>
    <w:rsid w:val="00D626F1"/>
    <w:rsid w:val="00D64073"/>
    <w:rsid w:val="00D65478"/>
    <w:rsid w:val="00D65E4B"/>
    <w:rsid w:val="00D707F0"/>
    <w:rsid w:val="00D70BDE"/>
    <w:rsid w:val="00D76F0B"/>
    <w:rsid w:val="00D80917"/>
    <w:rsid w:val="00D8242A"/>
    <w:rsid w:val="00D84483"/>
    <w:rsid w:val="00D86CEA"/>
    <w:rsid w:val="00D946BF"/>
    <w:rsid w:val="00D964AB"/>
    <w:rsid w:val="00DA4F8C"/>
    <w:rsid w:val="00DA558A"/>
    <w:rsid w:val="00DB2E8D"/>
    <w:rsid w:val="00DB2F6E"/>
    <w:rsid w:val="00DB4402"/>
    <w:rsid w:val="00DB57C4"/>
    <w:rsid w:val="00DB69E4"/>
    <w:rsid w:val="00DC0776"/>
    <w:rsid w:val="00DC450C"/>
    <w:rsid w:val="00DC63DB"/>
    <w:rsid w:val="00DD023F"/>
    <w:rsid w:val="00DD2D2B"/>
    <w:rsid w:val="00DD5AA3"/>
    <w:rsid w:val="00DD5AC8"/>
    <w:rsid w:val="00DD629C"/>
    <w:rsid w:val="00DD73D5"/>
    <w:rsid w:val="00DD7A06"/>
    <w:rsid w:val="00DE29A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3B8"/>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2B53"/>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555"/>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3ED2B4"/>
  <w15:docId w15:val="{579D2261-A462-4756-972B-10494B2FF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Titre1">
    <w:name w:val="heading 1"/>
    <w:basedOn w:val="Normal"/>
    <w:next w:val="Normal"/>
    <w:link w:val="Titre1Car"/>
    <w:rsid w:val="009969AA"/>
    <w:pPr>
      <w:keepNext/>
      <w:keepLines/>
      <w:spacing w:before="360" w:after="120"/>
      <w:outlineLvl w:val="0"/>
    </w:pPr>
    <w:rPr>
      <w:b/>
      <w:bCs/>
      <w:color w:val="5292C9"/>
      <w:sz w:val="28"/>
      <w:szCs w:val="28"/>
    </w:rPr>
  </w:style>
  <w:style w:type="paragraph" w:styleId="Titre2">
    <w:name w:val="heading 2"/>
    <w:basedOn w:val="Normal"/>
    <w:next w:val="Normal"/>
    <w:link w:val="Titre2C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link w:val="Titre3Car"/>
    <w:qFormat/>
    <w:rsid w:val="00226E7E"/>
    <w:pPr>
      <w:spacing w:after="280"/>
      <w:outlineLvl w:val="2"/>
    </w:pPr>
    <w:rPr>
      <w:b/>
      <w:bCs/>
      <w:sz w:val="22"/>
      <w:szCs w:val="22"/>
    </w:rPr>
  </w:style>
  <w:style w:type="paragraph" w:styleId="Titre4">
    <w:name w:val="heading 4"/>
    <w:basedOn w:val="Normal"/>
    <w:next w:val="Normal"/>
    <w:link w:val="Titre4Car"/>
    <w:unhideWhenUsed/>
    <w:rsid w:val="00443C74"/>
    <w:pPr>
      <w:keepNext/>
      <w:keepLines/>
      <w:spacing w:before="200"/>
      <w:outlineLvl w:val="3"/>
    </w:pPr>
    <w:rPr>
      <w:rFonts w:ascii="Cambria" w:hAnsi="Cambria" w:cs="Times New Roman"/>
      <w:b/>
      <w:bCs/>
      <w:i/>
      <w:iCs/>
      <w:color w:val="4F81BD"/>
    </w:rPr>
  </w:style>
  <w:style w:type="paragraph" w:styleId="Titre5">
    <w:name w:val="heading 5"/>
    <w:basedOn w:val="Normal"/>
    <w:next w:val="Normal"/>
    <w:link w:val="Titre5Car"/>
    <w:rsid w:val="00FF74EC"/>
    <w:pPr>
      <w:spacing w:before="240" w:after="60"/>
      <w:outlineLvl w:val="4"/>
    </w:pPr>
    <w:rPr>
      <w:rFonts w:ascii="Verdana" w:hAnsi="Verdana"/>
      <w:b/>
      <w:bCs/>
      <w:i/>
      <w:iCs/>
      <w:sz w:val="26"/>
      <w:szCs w:val="26"/>
    </w:rPr>
  </w:style>
  <w:style w:type="paragraph" w:styleId="Titre6">
    <w:name w:val="heading 6"/>
    <w:basedOn w:val="Normal"/>
    <w:next w:val="Normal"/>
    <w:link w:val="Titre6Car"/>
    <w:rsid w:val="00FF74EC"/>
    <w:pPr>
      <w:spacing w:before="240" w:after="60"/>
      <w:outlineLvl w:val="5"/>
    </w:pPr>
    <w:rPr>
      <w:b/>
      <w:bCs/>
      <w:sz w:val="22"/>
      <w:szCs w:val="22"/>
    </w:rPr>
  </w:style>
  <w:style w:type="paragraph" w:styleId="Titre7">
    <w:name w:val="heading 7"/>
    <w:basedOn w:val="Normal"/>
    <w:next w:val="Normal"/>
    <w:link w:val="Titre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443C74"/>
    <w:rPr>
      <w:rFonts w:ascii="Tahoma" w:hAnsi="Tahoma" w:cs="Tahoma"/>
      <w:sz w:val="16"/>
      <w:szCs w:val="16"/>
    </w:rPr>
  </w:style>
  <w:style w:type="character" w:customStyle="1" w:styleId="BalloonTextChar">
    <w:name w:val="Balloon Text Char"/>
    <w:basedOn w:val="Policepardfaut"/>
    <w:uiPriority w:val="99"/>
    <w:semiHidden/>
    <w:rsid w:val="00573ED5"/>
    <w:rPr>
      <w:rFonts w:ascii="Lucida Grande" w:hAnsi="Lucida Grande"/>
      <w:sz w:val="18"/>
      <w:szCs w:val="18"/>
    </w:rPr>
  </w:style>
  <w:style w:type="paragraph" w:styleId="En-tte">
    <w:name w:val="header"/>
    <w:aliases w:val="UNOPS Header"/>
    <w:basedOn w:val="Normal"/>
    <w:link w:val="En-tteCar"/>
    <w:uiPriority w:val="99"/>
    <w:qFormat/>
    <w:rsid w:val="006F1BAA"/>
    <w:pPr>
      <w:tabs>
        <w:tab w:val="center" w:pos="4320"/>
        <w:tab w:val="right" w:pos="8640"/>
      </w:tabs>
    </w:pPr>
  </w:style>
  <w:style w:type="paragraph" w:styleId="Pieddepage">
    <w:name w:val="footer"/>
    <w:basedOn w:val="Normal"/>
    <w:link w:val="Pieddepage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depageCar">
    <w:name w:val="Pied de page Car"/>
    <w:link w:val="Pieddepage"/>
    <w:uiPriority w:val="99"/>
    <w:rsid w:val="00251914"/>
    <w:rPr>
      <w:sz w:val="24"/>
      <w:szCs w:val="24"/>
    </w:rPr>
  </w:style>
  <w:style w:type="character" w:customStyle="1" w:styleId="TextedebullesCar">
    <w:name w:val="Texte de bulles Car"/>
    <w:link w:val="Textedebulles"/>
    <w:rsid w:val="00443C74"/>
    <w:rPr>
      <w:rFonts w:ascii="Tahoma" w:hAnsi="Tahoma" w:cs="Tahoma"/>
      <w:sz w:val="16"/>
      <w:szCs w:val="16"/>
    </w:rPr>
  </w:style>
  <w:style w:type="character" w:customStyle="1" w:styleId="Titre1Car">
    <w:name w:val="Titre 1 Car"/>
    <w:link w:val="Titre1"/>
    <w:rsid w:val="009969AA"/>
    <w:rPr>
      <w:rFonts w:ascii="Arial" w:hAnsi="Arial"/>
      <w:b/>
      <w:bCs/>
      <w:color w:val="5292C9"/>
      <w:sz w:val="28"/>
      <w:szCs w:val="28"/>
      <w:lang w:val="en-US" w:eastAsia="en-US"/>
    </w:rPr>
  </w:style>
  <w:style w:type="character" w:customStyle="1" w:styleId="Titre4Car">
    <w:name w:val="Titre 4 Car"/>
    <w:link w:val="Titre4"/>
    <w:semiHidden/>
    <w:rsid w:val="00443C74"/>
    <w:rPr>
      <w:rFonts w:ascii="Cambria" w:eastAsia="Times New Roman" w:hAnsi="Cambria" w:cs="Times New Roman"/>
      <w:b/>
      <w:bCs/>
      <w:i/>
      <w:iCs/>
      <w:color w:val="4F81BD"/>
      <w:sz w:val="24"/>
      <w:szCs w:val="24"/>
    </w:rPr>
  </w:style>
  <w:style w:type="paragraph" w:styleId="Paragraphedeliste">
    <w:name w:val="List Paragraph"/>
    <w:basedOn w:val="Normal"/>
    <w:link w:val="ParagraphedelisteCar"/>
    <w:uiPriority w:val="34"/>
    <w:qFormat/>
    <w:rsid w:val="00443C74"/>
    <w:pPr>
      <w:spacing w:after="200" w:line="276" w:lineRule="auto"/>
      <w:ind w:left="720"/>
      <w:contextualSpacing/>
    </w:pPr>
    <w:rPr>
      <w:rFonts w:ascii="Calibri" w:eastAsia="Calibri" w:hAnsi="Calibri"/>
      <w:sz w:val="22"/>
      <w:szCs w:val="22"/>
    </w:rPr>
  </w:style>
  <w:style w:type="character" w:styleId="Lienhypertexte">
    <w:name w:val="Hyperlink"/>
    <w:unhideWhenUsed/>
    <w:rsid w:val="00443C74"/>
    <w:rPr>
      <w:color w:val="2E74C5"/>
      <w:u w:val="single"/>
    </w:rPr>
  </w:style>
  <w:style w:type="character" w:customStyle="1" w:styleId="En-tteCar">
    <w:name w:val="En-tête Car"/>
    <w:aliases w:val="UNOPS Header Car"/>
    <w:link w:val="En-tte"/>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Grilledutableau">
    <w:name w:val="Table Grid"/>
    <w:basedOn w:val="Tableau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Accentuation">
    <w:name w:val="Emphasis"/>
    <w:qFormat/>
    <w:rsid w:val="00FA3AF5"/>
    <w:rPr>
      <w:i/>
      <w:iCs/>
    </w:rPr>
  </w:style>
  <w:style w:type="character" w:customStyle="1" w:styleId="Titre2Car">
    <w:name w:val="Titre 2 Car"/>
    <w:basedOn w:val="Policepardfaut"/>
    <w:link w:val="Titre2"/>
    <w:uiPriority w:val="99"/>
    <w:rsid w:val="00FF74EC"/>
    <w:rPr>
      <w:rFonts w:asciiTheme="majorHAnsi" w:eastAsiaTheme="majorEastAsia" w:hAnsiTheme="majorHAnsi" w:cstheme="majorBidi"/>
      <w:b/>
      <w:bCs/>
      <w:i/>
      <w:iCs/>
      <w:sz w:val="28"/>
      <w:szCs w:val="28"/>
      <w:lang w:val="en-US" w:eastAsia="en-US"/>
    </w:rPr>
  </w:style>
  <w:style w:type="character" w:customStyle="1" w:styleId="Titre5Car">
    <w:name w:val="Titre 5 Car"/>
    <w:basedOn w:val="Policepardfaut"/>
    <w:link w:val="Titre5"/>
    <w:rsid w:val="00FF74EC"/>
    <w:rPr>
      <w:rFonts w:ascii="Verdana" w:hAnsi="Verdana"/>
      <w:b/>
      <w:bCs/>
      <w:i/>
      <w:iCs/>
      <w:sz w:val="26"/>
      <w:szCs w:val="26"/>
    </w:rPr>
  </w:style>
  <w:style w:type="character" w:customStyle="1" w:styleId="Titre6Car">
    <w:name w:val="Titre 6 Car"/>
    <w:basedOn w:val="Policepardfaut"/>
    <w:link w:val="Titre6"/>
    <w:rsid w:val="00FF74EC"/>
    <w:rPr>
      <w:b/>
      <w:bCs/>
      <w:sz w:val="22"/>
      <w:szCs w:val="22"/>
    </w:rPr>
  </w:style>
  <w:style w:type="paragraph" w:styleId="Corpsdetexte3">
    <w:name w:val="Body Text 3"/>
    <w:basedOn w:val="Normal"/>
    <w:link w:val="Corpsdetexte3Car"/>
    <w:rsid w:val="00FF74EC"/>
    <w:pPr>
      <w:jc w:val="both"/>
    </w:pPr>
    <w:rPr>
      <w:rFonts w:ascii="Verdana" w:eastAsia="Arial Unicode MS" w:hAnsi="Verdana"/>
    </w:rPr>
  </w:style>
  <w:style w:type="character" w:customStyle="1" w:styleId="Corpsdetexte3Car">
    <w:name w:val="Corps de texte 3 Car"/>
    <w:basedOn w:val="Policepardfaut"/>
    <w:link w:val="Corpsdetexte3"/>
    <w:rsid w:val="00FF74EC"/>
    <w:rPr>
      <w:rFonts w:ascii="Verdana" w:eastAsia="Arial Unicode MS" w:hAnsi="Verdana"/>
      <w:szCs w:val="24"/>
    </w:rPr>
  </w:style>
  <w:style w:type="character" w:styleId="Numrodepage">
    <w:name w:val="page number"/>
    <w:rsid w:val="00FF74EC"/>
  </w:style>
  <w:style w:type="character" w:styleId="lev">
    <w:name w:val="Strong"/>
    <w:rsid w:val="00FF74EC"/>
    <w:rPr>
      <w:b/>
      <w:bCs/>
    </w:rPr>
  </w:style>
  <w:style w:type="paragraph" w:styleId="Corpsdetexte2">
    <w:name w:val="Body Text 2"/>
    <w:basedOn w:val="Normal"/>
    <w:link w:val="Corpsdetexte2Car"/>
    <w:rsid w:val="00FF74EC"/>
    <w:rPr>
      <w:rFonts w:ascii="Verdana" w:hAnsi="Verdana"/>
      <w:i/>
      <w:iCs/>
    </w:rPr>
  </w:style>
  <w:style w:type="character" w:customStyle="1" w:styleId="Corpsdetexte2Car">
    <w:name w:val="Corps de texte 2 Car"/>
    <w:basedOn w:val="Policepardfaut"/>
    <w:link w:val="Corpsdetexte2"/>
    <w:rsid w:val="00FF74EC"/>
    <w:rPr>
      <w:rFonts w:ascii="Verdana" w:hAnsi="Verdana"/>
      <w:i/>
      <w:iCs/>
      <w:lang w:val="en-US" w:eastAsia="en-US"/>
    </w:rPr>
  </w:style>
  <w:style w:type="paragraph" w:styleId="Corpsdetexte">
    <w:name w:val="Body Text"/>
    <w:basedOn w:val="Normal"/>
    <w:link w:val="CorpsdetexteCar"/>
    <w:rsid w:val="00FF74EC"/>
    <w:pPr>
      <w:spacing w:line="360" w:lineRule="auto"/>
      <w:jc w:val="both"/>
    </w:pPr>
    <w:rPr>
      <w:rFonts w:ascii="Verdana" w:eastAsia="Arial Unicode MS" w:hAnsi="Verdana"/>
      <w:color w:val="0000FF"/>
      <w:sz w:val="22"/>
    </w:rPr>
  </w:style>
  <w:style w:type="character" w:customStyle="1" w:styleId="CorpsdetexteCar">
    <w:name w:val="Corps de texte Car"/>
    <w:basedOn w:val="Policepardfaut"/>
    <w:link w:val="Corpsdetexte"/>
    <w:rsid w:val="00FF74EC"/>
    <w:rPr>
      <w:rFonts w:ascii="Verdana" w:eastAsia="Arial Unicode MS" w:hAnsi="Verdana"/>
      <w:color w:val="0000FF"/>
      <w:sz w:val="22"/>
      <w:lang w:val="en-US" w:eastAsia="en-US"/>
    </w:rPr>
  </w:style>
  <w:style w:type="paragraph" w:styleId="TM1">
    <w:name w:val="toc 1"/>
    <w:basedOn w:val="Normal"/>
    <w:next w:val="Normal"/>
    <w:autoRedefine/>
    <w:uiPriority w:val="39"/>
    <w:rsid w:val="00FF74EC"/>
    <w:pPr>
      <w:tabs>
        <w:tab w:val="right" w:leader="dot" w:pos="9781"/>
      </w:tabs>
      <w:spacing w:before="120" w:after="120"/>
    </w:pPr>
    <w:rPr>
      <w:b/>
      <w:bCs/>
      <w:caps/>
    </w:rPr>
  </w:style>
  <w:style w:type="paragraph" w:styleId="TM2">
    <w:name w:val="toc 2"/>
    <w:basedOn w:val="Normal"/>
    <w:next w:val="Normal"/>
    <w:autoRedefine/>
    <w:uiPriority w:val="39"/>
    <w:rsid w:val="00FF74EC"/>
    <w:pPr>
      <w:ind w:left="200"/>
    </w:pPr>
    <w:rPr>
      <w:smallCaps/>
    </w:rPr>
  </w:style>
  <w:style w:type="paragraph" w:styleId="TM3">
    <w:name w:val="toc 3"/>
    <w:basedOn w:val="Normal"/>
    <w:next w:val="Normal"/>
    <w:autoRedefine/>
    <w:rsid w:val="00FF74EC"/>
    <w:pPr>
      <w:ind w:left="400"/>
    </w:pPr>
    <w:rPr>
      <w:i/>
      <w:iCs/>
    </w:rPr>
  </w:style>
  <w:style w:type="paragraph" w:styleId="TM4">
    <w:name w:val="toc 4"/>
    <w:basedOn w:val="Normal"/>
    <w:next w:val="Normal"/>
    <w:autoRedefine/>
    <w:rsid w:val="00FF74EC"/>
    <w:pPr>
      <w:ind w:left="600"/>
    </w:pPr>
    <w:rPr>
      <w:sz w:val="18"/>
      <w:szCs w:val="18"/>
    </w:rPr>
  </w:style>
  <w:style w:type="paragraph" w:styleId="Retraitcorpsdetexte3">
    <w:name w:val="Body Text Indent 3"/>
    <w:basedOn w:val="Normal"/>
    <w:link w:val="Retraitcorpsdetexte3Car"/>
    <w:rsid w:val="00FF74EC"/>
    <w:pPr>
      <w:spacing w:after="120"/>
      <w:ind w:left="283"/>
    </w:pPr>
    <w:rPr>
      <w:rFonts w:ascii="Verdana" w:hAnsi="Verdana"/>
      <w:sz w:val="16"/>
      <w:szCs w:val="16"/>
    </w:rPr>
  </w:style>
  <w:style w:type="character" w:customStyle="1" w:styleId="Retraitcorpsdetexte3Car">
    <w:name w:val="Retrait corps de texte 3 Car"/>
    <w:basedOn w:val="Policepardfaut"/>
    <w:link w:val="Retraitcorpsdetexte3"/>
    <w:rsid w:val="00FF74EC"/>
    <w:rPr>
      <w:rFonts w:ascii="Verdana" w:hAnsi="Verdana"/>
      <w:sz w:val="16"/>
      <w:szCs w:val="16"/>
    </w:rPr>
  </w:style>
  <w:style w:type="paragraph" w:styleId="TM5">
    <w:name w:val="toc 5"/>
    <w:basedOn w:val="Normal"/>
    <w:next w:val="Normal"/>
    <w:rsid w:val="00FF74EC"/>
    <w:pPr>
      <w:ind w:left="800"/>
    </w:pPr>
    <w:rPr>
      <w:sz w:val="18"/>
      <w:szCs w:val="18"/>
    </w:rPr>
  </w:style>
  <w:style w:type="paragraph" w:styleId="TM6">
    <w:name w:val="toc 6"/>
    <w:basedOn w:val="Normal"/>
    <w:next w:val="Normal"/>
    <w:autoRedefine/>
    <w:rsid w:val="00FF74EC"/>
    <w:pPr>
      <w:ind w:left="1000"/>
    </w:pPr>
    <w:rPr>
      <w:sz w:val="18"/>
      <w:szCs w:val="18"/>
    </w:rPr>
  </w:style>
  <w:style w:type="paragraph" w:styleId="TM7">
    <w:name w:val="toc 7"/>
    <w:basedOn w:val="Normal"/>
    <w:next w:val="Normal"/>
    <w:autoRedefine/>
    <w:rsid w:val="00FF74EC"/>
    <w:pPr>
      <w:ind w:left="1200"/>
    </w:pPr>
    <w:rPr>
      <w:sz w:val="18"/>
      <w:szCs w:val="18"/>
    </w:rPr>
  </w:style>
  <w:style w:type="paragraph" w:styleId="TM8">
    <w:name w:val="toc 8"/>
    <w:basedOn w:val="Normal"/>
    <w:next w:val="Normal"/>
    <w:autoRedefine/>
    <w:rsid w:val="007F46EB"/>
    <w:pPr>
      <w:jc w:val="center"/>
    </w:pPr>
    <w:rPr>
      <w:sz w:val="18"/>
      <w:szCs w:val="18"/>
    </w:rPr>
  </w:style>
  <w:style w:type="paragraph" w:styleId="TM9">
    <w:name w:val="toc 9"/>
    <w:basedOn w:val="Normal"/>
    <w:next w:val="Normal"/>
    <w:autoRedefine/>
    <w:rsid w:val="00FF74EC"/>
    <w:pPr>
      <w:ind w:left="1600"/>
    </w:pPr>
    <w:rPr>
      <w:sz w:val="18"/>
      <w:szCs w:val="18"/>
    </w:rPr>
  </w:style>
  <w:style w:type="paragraph" w:styleId="Explorateurdedocuments">
    <w:name w:val="Document Map"/>
    <w:basedOn w:val="Normal"/>
    <w:link w:val="ExplorateurdedocumentsCar"/>
    <w:rsid w:val="00FF74EC"/>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rsid w:val="00FF74EC"/>
    <w:rPr>
      <w:rFonts w:ascii="Tahoma" w:hAnsi="Tahoma" w:cs="Tahoma"/>
      <w:shd w:val="clear" w:color="auto" w:fill="000080"/>
    </w:rPr>
  </w:style>
  <w:style w:type="paragraph" w:customStyle="1" w:styleId="Style1">
    <w:name w:val="Style1"/>
    <w:basedOn w:val="Titre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Corpsdetex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Aucuneliste"/>
    <w:rsid w:val="00FF74EC"/>
    <w:pPr>
      <w:numPr>
        <w:numId w:val="1"/>
      </w:numPr>
    </w:pPr>
  </w:style>
  <w:style w:type="numbering" w:customStyle="1" w:styleId="StyleNumbered1">
    <w:name w:val="Style Numbered1"/>
    <w:basedOn w:val="Aucuneliste"/>
    <w:rsid w:val="00FF74EC"/>
    <w:pPr>
      <w:numPr>
        <w:numId w:val="2"/>
      </w:numPr>
    </w:pPr>
  </w:style>
  <w:style w:type="numbering" w:customStyle="1" w:styleId="StyleNumberedTimesNewRoman">
    <w:name w:val="Style Numbered Times New Roman"/>
    <w:basedOn w:val="Aucuneliste"/>
    <w:rsid w:val="00FF74EC"/>
    <w:pPr>
      <w:numPr>
        <w:numId w:val="3"/>
      </w:numPr>
    </w:pPr>
  </w:style>
  <w:style w:type="paragraph" w:customStyle="1" w:styleId="StyleBodyTextIndent3Verdana12pt">
    <w:name w:val="Style Body Text Indent 3 + Verdana 12 pt"/>
    <w:basedOn w:val="Retraitcorpsdetexte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Corpsdetexte"/>
    <w:rsid w:val="00FF74EC"/>
    <w:rPr>
      <w:b/>
      <w:bCs/>
      <w:color w:val="000000"/>
      <w:sz w:val="20"/>
    </w:rPr>
  </w:style>
  <w:style w:type="paragraph" w:customStyle="1" w:styleId="StyleBodyText12ptBlackLeftLinespacingsingle">
    <w:name w:val="Style Body Text + 12 pt Black Left Line spacing:  single"/>
    <w:basedOn w:val="Corpsdetex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Corpsdetex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Retraitcorpsdetexte">
    <w:name w:val="Body Text Indent"/>
    <w:basedOn w:val="Normal"/>
    <w:link w:val="RetraitcorpsdetexteCar"/>
    <w:rsid w:val="00FF74EC"/>
    <w:pPr>
      <w:spacing w:after="120"/>
      <w:ind w:left="283"/>
    </w:pPr>
    <w:rPr>
      <w:rFonts w:ascii="Verdana" w:hAnsi="Verdana"/>
    </w:rPr>
  </w:style>
  <w:style w:type="character" w:customStyle="1" w:styleId="RetraitcorpsdetexteCar">
    <w:name w:val="Retrait corps de texte Car"/>
    <w:basedOn w:val="Policepardfaut"/>
    <w:link w:val="Retraitcorpsdetexte"/>
    <w:rsid w:val="00FF74EC"/>
    <w:rPr>
      <w:rFonts w:ascii="Verdana" w:hAnsi="Verdana"/>
      <w:szCs w:val="24"/>
    </w:rPr>
  </w:style>
  <w:style w:type="paragraph" w:customStyle="1" w:styleId="JICAHeadline1">
    <w:name w:val="JICA Headline 1"/>
    <w:basedOn w:val="Titre1"/>
    <w:autoRedefine/>
    <w:rsid w:val="00FF74EC"/>
    <w:pPr>
      <w:keepLines w:val="0"/>
      <w:spacing w:before="0"/>
      <w:jc w:val="center"/>
    </w:pPr>
    <w:rPr>
      <w:rFonts w:ascii="Verdana" w:hAnsi="Verdana"/>
      <w:color w:val="auto"/>
      <w:sz w:val="24"/>
      <w:szCs w:val="24"/>
    </w:rPr>
  </w:style>
  <w:style w:type="paragraph" w:styleId="Retraitcorpsdetexte2">
    <w:name w:val="Body Text Indent 2"/>
    <w:basedOn w:val="Normal"/>
    <w:link w:val="Retraitcorpsdetexte2Car"/>
    <w:rsid w:val="00FF74EC"/>
    <w:pPr>
      <w:spacing w:after="120" w:line="480" w:lineRule="auto"/>
      <w:ind w:left="283"/>
    </w:pPr>
    <w:rPr>
      <w:rFonts w:ascii="Verdana" w:hAnsi="Verdana"/>
    </w:rPr>
  </w:style>
  <w:style w:type="character" w:customStyle="1" w:styleId="Retraitcorpsdetexte2Car">
    <w:name w:val="Retrait corps de texte 2 Car"/>
    <w:basedOn w:val="Policepardfaut"/>
    <w:link w:val="Retraitcorpsdetexte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Normalcentr">
    <w:name w:val="Block Text"/>
    <w:basedOn w:val="Normal"/>
    <w:rsid w:val="00FF74EC"/>
    <w:pPr>
      <w:widowControl w:val="0"/>
      <w:tabs>
        <w:tab w:val="left" w:pos="1843"/>
      </w:tabs>
      <w:ind w:left="144" w:right="72"/>
    </w:pPr>
    <w:rPr>
      <w:noProof/>
      <w:snapToGrid w:val="0"/>
    </w:rPr>
  </w:style>
  <w:style w:type="character" w:styleId="Marquedecommentaire">
    <w:name w:val="annotation reference"/>
    <w:rsid w:val="00FF74EC"/>
    <w:rPr>
      <w:sz w:val="16"/>
      <w:szCs w:val="16"/>
    </w:rPr>
  </w:style>
  <w:style w:type="paragraph" w:styleId="Commentaire">
    <w:name w:val="annotation text"/>
    <w:basedOn w:val="Normal"/>
    <w:link w:val="CommentaireCar"/>
    <w:rsid w:val="00FF74EC"/>
    <w:rPr>
      <w:rFonts w:ascii="Verdana" w:hAnsi="Verdana"/>
    </w:rPr>
  </w:style>
  <w:style w:type="character" w:customStyle="1" w:styleId="CommentaireCar">
    <w:name w:val="Commentaire Car"/>
    <w:basedOn w:val="Policepardfaut"/>
    <w:link w:val="Commentaire"/>
    <w:rsid w:val="00FF74EC"/>
    <w:rPr>
      <w:rFonts w:ascii="Verdana" w:hAnsi="Verdana"/>
    </w:rPr>
  </w:style>
  <w:style w:type="paragraph" w:styleId="Objetducommentaire">
    <w:name w:val="annotation subject"/>
    <w:basedOn w:val="Commentaire"/>
    <w:next w:val="Commentaire"/>
    <w:link w:val="ObjetducommentaireCar"/>
    <w:rsid w:val="00FF74EC"/>
    <w:rPr>
      <w:b/>
      <w:bCs/>
    </w:rPr>
  </w:style>
  <w:style w:type="character" w:customStyle="1" w:styleId="ObjetducommentaireCar">
    <w:name w:val="Objet du commentaire Car"/>
    <w:basedOn w:val="CommentaireCar"/>
    <w:link w:val="Objetducommentaire"/>
    <w:rsid w:val="00FF74EC"/>
    <w:rPr>
      <w:rFonts w:ascii="Verdana" w:hAnsi="Verdana"/>
      <w:b/>
      <w:bCs/>
    </w:rPr>
  </w:style>
  <w:style w:type="character" w:styleId="Lienhypertextesuivivisit">
    <w:name w:val="FollowedHyperlink"/>
    <w:rsid w:val="00FF74EC"/>
    <w:rPr>
      <w:color w:val="800080"/>
      <w:u w:val="single"/>
    </w:rPr>
  </w:style>
  <w:style w:type="character" w:customStyle="1" w:styleId="ms-rtefontsize-31">
    <w:name w:val="ms-rtefontsize-31"/>
    <w:basedOn w:val="Policepardfaut"/>
    <w:rsid w:val="004D2436"/>
    <w:rPr>
      <w:sz w:val="24"/>
      <w:szCs w:val="24"/>
    </w:rPr>
  </w:style>
  <w:style w:type="character" w:customStyle="1" w:styleId="ms-rtefontsize-21">
    <w:name w:val="ms-rtefontsize-21"/>
    <w:basedOn w:val="Policepardfau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Adresseexpditeur">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epuce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itre1"/>
    <w:link w:val="HeadingwithnumbersChar"/>
    <w:rsid w:val="00EF0F31"/>
    <w:pPr>
      <w:numPr>
        <w:numId w:val="5"/>
      </w:numPr>
    </w:pPr>
  </w:style>
  <w:style w:type="paragraph" w:customStyle="1" w:styleId="Sub-heading">
    <w:name w:val="Sub-heading"/>
    <w:basedOn w:val="Paragraphedeliste"/>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itre1Car"/>
    <w:link w:val="Headingwithnumbers"/>
    <w:rsid w:val="00EF0F31"/>
    <w:rPr>
      <w:rFonts w:ascii="Arial" w:hAnsi="Arial"/>
      <w:b/>
      <w:bCs/>
      <w:color w:val="5292C9"/>
      <w:sz w:val="28"/>
      <w:szCs w:val="28"/>
      <w:lang w:val="en-US" w:eastAsia="en-US"/>
    </w:rPr>
  </w:style>
  <w:style w:type="paragraph" w:customStyle="1" w:styleId="Subsub-heading">
    <w:name w:val="Sub sub-heading"/>
    <w:basedOn w:val="Paragraphedeliste"/>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aragraphedelisteCar">
    <w:name w:val="Paragraphe de liste Car"/>
    <w:basedOn w:val="Policepardfaut"/>
    <w:link w:val="Paragraphedeliste"/>
    <w:uiPriority w:val="34"/>
    <w:rsid w:val="00EF0F31"/>
    <w:rPr>
      <w:rFonts w:ascii="Calibri" w:eastAsia="Calibri" w:hAnsi="Calibri"/>
      <w:sz w:val="22"/>
      <w:szCs w:val="22"/>
    </w:rPr>
  </w:style>
  <w:style w:type="character" w:customStyle="1" w:styleId="Sub-headingChar">
    <w:name w:val="Sub-heading Char"/>
    <w:basedOn w:val="Paragraphedeliste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aragraphedelisteCar"/>
    <w:link w:val="Subsub-heading"/>
    <w:rsid w:val="001256C4"/>
    <w:rPr>
      <w:rFonts w:ascii="Calibri" w:eastAsia="Calibri" w:hAnsi="Calibri"/>
      <w:spacing w:val="-3"/>
      <w:sz w:val="22"/>
      <w:szCs w:val="22"/>
    </w:rPr>
  </w:style>
  <w:style w:type="paragraph" w:customStyle="1" w:styleId="Sub-sub-sub-heading">
    <w:name w:val="Sub-sub-sub-heading"/>
    <w:basedOn w:val="Paragraphedeliste"/>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aragraphedelisteCar"/>
    <w:link w:val="Sub-sub-sub-heading"/>
    <w:rsid w:val="00A47DA4"/>
    <w:rPr>
      <w:rFonts w:ascii="Calibri" w:eastAsia="Calibri" w:hAnsi="Calibri"/>
      <w:sz w:val="22"/>
      <w:szCs w:val="22"/>
    </w:rPr>
  </w:style>
  <w:style w:type="paragraph" w:customStyle="1" w:styleId="bulletsundersubchapter">
    <w:name w:val="bullets under subchapter"/>
    <w:basedOn w:val="Paragraphedeliste"/>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aragraphedelisteCar"/>
    <w:link w:val="bulletsundersubchapter"/>
    <w:rsid w:val="00D45B03"/>
    <w:rPr>
      <w:rFonts w:ascii="Calibri" w:eastAsia="Calibri" w:hAnsi="Calibri"/>
      <w:spacing w:val="-3"/>
      <w:sz w:val="22"/>
      <w:szCs w:val="22"/>
    </w:rPr>
  </w:style>
  <w:style w:type="character" w:customStyle="1" w:styleId="BankNormalChar">
    <w:name w:val="BankNormal Char"/>
    <w:basedOn w:val="Policepardfau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re">
    <w:name w:val="Title"/>
    <w:basedOn w:val="Normal"/>
    <w:link w:val="TitreCar"/>
    <w:rsid w:val="000F752C"/>
    <w:pPr>
      <w:spacing w:before="240" w:after="60"/>
      <w:jc w:val="center"/>
      <w:outlineLvl w:val="0"/>
    </w:pPr>
    <w:rPr>
      <w:b/>
      <w:bCs/>
      <w:kern w:val="28"/>
      <w:sz w:val="32"/>
      <w:szCs w:val="32"/>
      <w:lang w:val="en-US" w:eastAsia="en-US"/>
    </w:rPr>
  </w:style>
  <w:style w:type="character" w:customStyle="1" w:styleId="TitreCar">
    <w:name w:val="Titre Car"/>
    <w:basedOn w:val="Policepardfaut"/>
    <w:link w:val="Titre"/>
    <w:rsid w:val="000F752C"/>
    <w:rPr>
      <w:b/>
      <w:bCs/>
      <w:kern w:val="28"/>
      <w:sz w:val="32"/>
      <w:szCs w:val="32"/>
      <w:lang w:val="en-US" w:eastAsia="en-US"/>
    </w:rPr>
  </w:style>
  <w:style w:type="paragraph" w:styleId="Sous-titre">
    <w:name w:val="Subtitle"/>
    <w:basedOn w:val="Normal"/>
    <w:link w:val="Sous-titre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ous-titreCar">
    <w:name w:val="Sous-titre Car"/>
    <w:basedOn w:val="Policepardfaut"/>
    <w:link w:val="Sous-titr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Policepardfaut"/>
    <w:link w:val="Boldtitle"/>
    <w:rsid w:val="009807B0"/>
    <w:rPr>
      <w:rFonts w:eastAsia="Calibri"/>
      <w:b/>
    </w:rPr>
  </w:style>
  <w:style w:type="paragraph" w:customStyle="1" w:styleId="Templatetext">
    <w:name w:val="Template text"/>
    <w:basedOn w:val="Titre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Accentuationlgre">
    <w:name w:val="Subtle Emphasis"/>
    <w:basedOn w:val="Policepardfaut"/>
    <w:uiPriority w:val="19"/>
    <w:rsid w:val="000E4448"/>
    <w:rPr>
      <w:i/>
      <w:iCs/>
      <w:color w:val="808080" w:themeColor="text1" w:themeTint="7F"/>
    </w:rPr>
  </w:style>
  <w:style w:type="character" w:customStyle="1" w:styleId="TemplatetextChar">
    <w:name w:val="Template text Char"/>
    <w:basedOn w:val="Titre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aragraphedeliste"/>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aragraphedeliste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itre7Car">
    <w:name w:val="Titre 7 Car"/>
    <w:basedOn w:val="Policepardfaut"/>
    <w:link w:val="Titre7"/>
    <w:semiHidden/>
    <w:rsid w:val="00016AA2"/>
    <w:rPr>
      <w:rFonts w:asciiTheme="majorHAnsi" w:eastAsiaTheme="majorEastAsia" w:hAnsiTheme="majorHAnsi" w:cstheme="majorBidi"/>
      <w:i/>
      <w:iCs/>
      <w:color w:val="404040" w:themeColor="text1" w:themeTint="BF"/>
    </w:rPr>
  </w:style>
  <w:style w:type="paragraph" w:styleId="Retrait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ar"/>
    <w:rsid w:val="00016AA2"/>
    <w:pPr>
      <w:ind w:left="5760"/>
    </w:pPr>
    <w:rPr>
      <w:rFonts w:ascii="Times New Roman" w:hAnsi="Times New Roman" w:cs="Times New Roman"/>
      <w:sz w:val="24"/>
      <w:lang w:eastAsia="en-US"/>
    </w:rPr>
  </w:style>
  <w:style w:type="character" w:customStyle="1" w:styleId="SignatureCar">
    <w:name w:val="Signature Car"/>
    <w:basedOn w:val="Policepardfaut"/>
    <w:link w:val="Signature"/>
    <w:rsid w:val="00016AA2"/>
    <w:rPr>
      <w:rFonts w:ascii="Times New Roman" w:hAnsi="Times New Roman" w:cs="Times New Roman"/>
      <w:sz w:val="24"/>
      <w:lang w:eastAsia="en-US"/>
    </w:rPr>
  </w:style>
  <w:style w:type="paragraph" w:customStyle="1" w:styleId="Headingblue">
    <w:name w:val="Heading blue"/>
    <w:basedOn w:val="En-tte"/>
    <w:link w:val="HeadingblueChar"/>
    <w:qFormat/>
    <w:rsid w:val="00E310CD"/>
    <w:rPr>
      <w:b/>
      <w:color w:val="528CC9"/>
      <w:sz w:val="28"/>
      <w:szCs w:val="28"/>
      <w:lang w:eastAsia="en-US"/>
    </w:rPr>
  </w:style>
  <w:style w:type="character" w:customStyle="1" w:styleId="HeadingblueChar">
    <w:name w:val="Heading blue Char"/>
    <w:basedOn w:val="En-tteCar"/>
    <w:link w:val="Headingblue"/>
    <w:rsid w:val="00E310CD"/>
    <w:rPr>
      <w:b/>
      <w:color w:val="528CC9"/>
      <w:sz w:val="28"/>
      <w:szCs w:val="28"/>
      <w:lang w:eastAsia="en-US"/>
    </w:rPr>
  </w:style>
  <w:style w:type="paragraph" w:styleId="Notedebasdepage">
    <w:name w:val="footnote text"/>
    <w:basedOn w:val="Normal"/>
    <w:link w:val="NotedebasdepageCar"/>
    <w:rsid w:val="00B84538"/>
  </w:style>
  <w:style w:type="character" w:customStyle="1" w:styleId="NotedebasdepageCar">
    <w:name w:val="Note de bas de page Car"/>
    <w:basedOn w:val="Policepardfaut"/>
    <w:link w:val="Notedebasdepage"/>
    <w:rsid w:val="00B84538"/>
  </w:style>
  <w:style w:type="character" w:styleId="Appelnotedebasdep">
    <w:name w:val="footnote reference"/>
    <w:basedOn w:val="Policepardfaut"/>
    <w:rsid w:val="00B84538"/>
    <w:rPr>
      <w:vertAlign w:val="superscript"/>
    </w:rPr>
  </w:style>
  <w:style w:type="paragraph" w:customStyle="1" w:styleId="MarginText">
    <w:name w:val="Margin Text"/>
    <w:basedOn w:val="Corpsdetex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Policepardfau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Policepardfaut"/>
    <w:rsid w:val="0068278F"/>
  </w:style>
  <w:style w:type="paragraph" w:customStyle="1" w:styleId="Headline">
    <w:name w:val="Headline"/>
    <w:basedOn w:val="Titre1"/>
    <w:link w:val="HeadlineChar"/>
    <w:qFormat/>
    <w:rsid w:val="00296C0E"/>
    <w:rPr>
      <w:color w:val="518ECB"/>
    </w:rPr>
  </w:style>
  <w:style w:type="character" w:customStyle="1" w:styleId="HeadlineChar">
    <w:name w:val="Headline Char"/>
    <w:basedOn w:val="Titre1C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itre3Car">
    <w:name w:val="Titre 3 Car"/>
    <w:basedOn w:val="Policepardfaut"/>
    <w:link w:val="Titre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Policepardfau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Policepardfau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478039177">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29545157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749958980">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openxmlformats.org/package/2006/metadata/core-properties"/>
    <ds:schemaRef ds:uri="ca6cafb2-ee4d-4044-ae2b-fa7527dd0389"/>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www.w3.org/XML/1998/namespace"/>
    <ds:schemaRef ds:uri="8d1789be-2b34-414d-b761-149aa1689c70"/>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43E030-4602-40DC-86F2-2D0B077B7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1691</Words>
  <Characters>9644</Characters>
  <Application>Microsoft Office Word</Application>
  <DocSecurity>0</DocSecurity>
  <Lines>80</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11313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Souleima filali</cp:lastModifiedBy>
  <cp:revision>5</cp:revision>
  <cp:lastPrinted>2014-08-19T14:30:00Z</cp:lastPrinted>
  <dcterms:created xsi:type="dcterms:W3CDTF">2019-02-26T14:29:00Z</dcterms:created>
  <dcterms:modified xsi:type="dcterms:W3CDTF">2019-07-18T15:08:00Z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