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9"/>
        <w:gridCol w:w="5023"/>
      </w:tblGrid>
      <w:tr w:rsidR="000004D1" w:rsidTr="000004D1">
        <w:tc>
          <w:tcPr>
            <w:tcW w:w="4219" w:type="dxa"/>
            <w:vAlign w:val="center"/>
          </w:tcPr>
          <w:p w:rsidR="000004D1" w:rsidRDefault="000004D1" w:rsidP="000004D1">
            <w:pPr>
              <w:spacing w:after="60"/>
              <w:rPr>
                <w:rFonts w:asciiTheme="majorBidi" w:hAnsiTheme="majorBidi" w:cstheme="majorBidi"/>
                <w:noProof/>
                <w:lang w:eastAsia="en-GB"/>
              </w:rPr>
            </w:pPr>
            <w:r>
              <w:rPr>
                <w:rFonts w:asciiTheme="majorBidi" w:hAnsiTheme="majorBidi" w:cstheme="majorBidi"/>
                <w:noProof/>
                <w:lang w:val="en-US" w:eastAsia="zh-CN"/>
              </w:rPr>
              <w:drawing>
                <wp:inline distT="0" distB="0" distL="0" distR="0" wp14:anchorId="64C41F86" wp14:editId="52FA3C75">
                  <wp:extent cx="1724188" cy="54346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HO-EN-C-H.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725375" cy="543839"/>
                          </a:xfrm>
                          <a:prstGeom prst="rect">
                            <a:avLst/>
                          </a:prstGeom>
                        </pic:spPr>
                      </pic:pic>
                    </a:graphicData>
                  </a:graphic>
                </wp:inline>
              </w:drawing>
            </w:r>
          </w:p>
        </w:tc>
        <w:tc>
          <w:tcPr>
            <w:tcW w:w="5023" w:type="dxa"/>
            <w:vAlign w:val="center"/>
          </w:tcPr>
          <w:p w:rsidR="000004D1" w:rsidRPr="000004D1" w:rsidRDefault="000004D1" w:rsidP="000004D1">
            <w:pPr>
              <w:spacing w:after="60"/>
              <w:rPr>
                <w:rFonts w:cstheme="minorHAnsi"/>
                <w:b/>
                <w:bCs/>
                <w:noProof/>
                <w:sz w:val="36"/>
                <w:szCs w:val="36"/>
                <w:lang w:eastAsia="en-GB"/>
              </w:rPr>
            </w:pPr>
            <w:r w:rsidRPr="000004D1">
              <w:rPr>
                <w:rFonts w:cstheme="minorHAnsi"/>
                <w:b/>
                <w:bCs/>
                <w:noProof/>
                <w:sz w:val="36"/>
                <w:szCs w:val="36"/>
                <w:lang w:eastAsia="en-GB"/>
              </w:rPr>
              <w:t>CONSULTANCY</w:t>
            </w:r>
            <w:r w:rsidR="001E7D3A">
              <w:rPr>
                <w:rFonts w:cstheme="minorHAnsi"/>
                <w:b/>
                <w:bCs/>
                <w:noProof/>
                <w:sz w:val="36"/>
                <w:szCs w:val="36"/>
                <w:lang w:eastAsia="en-GB"/>
              </w:rPr>
              <w:t xml:space="preserve"> </w:t>
            </w:r>
          </w:p>
        </w:tc>
      </w:tr>
    </w:tbl>
    <w:p w:rsidR="000004D1" w:rsidRPr="000004D1" w:rsidRDefault="000004D1" w:rsidP="000004D1">
      <w:pPr>
        <w:spacing w:after="60" w:line="240" w:lineRule="auto"/>
        <w:jc w:val="center"/>
        <w:rPr>
          <w:b/>
          <w:bCs/>
          <w:sz w:val="16"/>
          <w:szCs w:val="16"/>
        </w:rPr>
      </w:pPr>
    </w:p>
    <w:p w:rsidR="00C05E37" w:rsidRDefault="00C05E37" w:rsidP="00173AF4">
      <w:pPr>
        <w:spacing w:after="60" w:line="240" w:lineRule="auto"/>
        <w:jc w:val="center"/>
        <w:rPr>
          <w:b/>
          <w:bCs/>
          <w:sz w:val="36"/>
          <w:szCs w:val="36"/>
        </w:rPr>
      </w:pPr>
      <w:r w:rsidRPr="00361ACA">
        <w:rPr>
          <w:b/>
          <w:bCs/>
          <w:i/>
          <w:sz w:val="28"/>
          <w:szCs w:val="28"/>
        </w:rPr>
        <w:t xml:space="preserve">                 </w:t>
      </w:r>
      <w:r w:rsidR="00361ACA" w:rsidRPr="00361ACA">
        <w:rPr>
          <w:b/>
          <w:bCs/>
          <w:i/>
          <w:sz w:val="28"/>
          <w:szCs w:val="28"/>
        </w:rPr>
        <w:t>Draft</w:t>
      </w:r>
      <w:r>
        <w:rPr>
          <w:b/>
          <w:bCs/>
          <w:sz w:val="28"/>
          <w:szCs w:val="28"/>
        </w:rPr>
        <w:t xml:space="preserve"> </w:t>
      </w:r>
      <w:r w:rsidR="000004D1" w:rsidRPr="000004D1">
        <w:rPr>
          <w:b/>
          <w:bCs/>
          <w:sz w:val="36"/>
          <w:szCs w:val="36"/>
        </w:rPr>
        <w:t>Terms of Reference</w:t>
      </w:r>
    </w:p>
    <w:p w:rsidR="00C05E37" w:rsidRDefault="00C05E37" w:rsidP="00C05E37">
      <w:pPr>
        <w:spacing w:after="60" w:line="240" w:lineRule="auto"/>
        <w:jc w:val="center"/>
        <w:rPr>
          <w:rFonts w:eastAsia="MS Gothic" w:cstheme="minorHAnsi"/>
        </w:rPr>
      </w:pPr>
    </w:p>
    <w:p w:rsidR="000004D1" w:rsidRPr="000004D1" w:rsidRDefault="000004D1" w:rsidP="00C05E37">
      <w:pPr>
        <w:spacing w:after="60" w:line="240" w:lineRule="auto"/>
        <w:rPr>
          <w:rFonts w:eastAsia="MS Gothic" w:cstheme="minorHAnsi"/>
        </w:rPr>
      </w:pPr>
      <w:r w:rsidRPr="000004D1">
        <w:rPr>
          <w:rFonts w:eastAsia="MS Gothic" w:cstheme="minorHAnsi"/>
        </w:rPr>
        <w:t xml:space="preserve">This </w:t>
      </w:r>
      <w:r w:rsidR="00C05E37">
        <w:rPr>
          <w:rFonts w:eastAsia="MS Gothic" w:cstheme="minorHAnsi"/>
        </w:rPr>
        <w:t>consultancy is requested by</w:t>
      </w:r>
      <w:r w:rsidRPr="000004D1">
        <w:rPr>
          <w:rFonts w:eastAsia="MS Gothic" w:cstheme="minorHAnsi"/>
        </w:rPr>
        <w:t>:</w:t>
      </w:r>
    </w:p>
    <w:tbl>
      <w:tblPr>
        <w:tblStyle w:val="TableGrid"/>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1526"/>
        <w:gridCol w:w="7716"/>
      </w:tblGrid>
      <w:tr w:rsidR="000004D1" w:rsidRPr="000229A7" w:rsidTr="000004D1">
        <w:tc>
          <w:tcPr>
            <w:tcW w:w="1526" w:type="dxa"/>
          </w:tcPr>
          <w:p w:rsidR="000004D1" w:rsidRPr="000229A7" w:rsidRDefault="000004D1" w:rsidP="000004D1">
            <w:pPr>
              <w:spacing w:after="60"/>
              <w:rPr>
                <w:rFonts w:cstheme="minorHAnsi"/>
              </w:rPr>
            </w:pPr>
            <w:r w:rsidRPr="000229A7">
              <w:rPr>
                <w:rFonts w:cstheme="minorHAnsi"/>
              </w:rPr>
              <w:t>Unit:</w:t>
            </w:r>
          </w:p>
        </w:tc>
        <w:tc>
          <w:tcPr>
            <w:tcW w:w="7716" w:type="dxa"/>
          </w:tcPr>
          <w:p w:rsidR="000004D1" w:rsidRPr="000229A7" w:rsidRDefault="005C1DAB" w:rsidP="000004D1">
            <w:pPr>
              <w:spacing w:after="60"/>
              <w:rPr>
                <w:rFonts w:cstheme="minorHAnsi"/>
              </w:rPr>
            </w:pPr>
            <w:r w:rsidRPr="000229A7">
              <w:rPr>
                <w:rFonts w:cstheme="minorHAnsi"/>
              </w:rPr>
              <w:t>Innovation, Access and Use (IAU)</w:t>
            </w:r>
          </w:p>
        </w:tc>
      </w:tr>
      <w:tr w:rsidR="000004D1" w:rsidRPr="000229A7" w:rsidTr="000004D1">
        <w:tc>
          <w:tcPr>
            <w:tcW w:w="1526" w:type="dxa"/>
          </w:tcPr>
          <w:p w:rsidR="000004D1" w:rsidRPr="000229A7" w:rsidRDefault="000004D1" w:rsidP="000004D1">
            <w:pPr>
              <w:spacing w:after="60"/>
              <w:rPr>
                <w:rFonts w:cstheme="minorHAnsi"/>
              </w:rPr>
            </w:pPr>
            <w:r w:rsidRPr="000229A7">
              <w:rPr>
                <w:rFonts w:cstheme="minorHAnsi"/>
              </w:rPr>
              <w:t>Department:</w:t>
            </w:r>
          </w:p>
        </w:tc>
        <w:tc>
          <w:tcPr>
            <w:tcW w:w="7716" w:type="dxa"/>
          </w:tcPr>
          <w:p w:rsidR="000004D1" w:rsidRPr="000229A7" w:rsidRDefault="005C1DAB" w:rsidP="000004D1">
            <w:pPr>
              <w:spacing w:after="60"/>
              <w:rPr>
                <w:rFonts w:cstheme="minorHAnsi"/>
              </w:rPr>
            </w:pPr>
            <w:r w:rsidRPr="000229A7">
              <w:rPr>
                <w:rFonts w:cstheme="minorHAnsi"/>
              </w:rPr>
              <w:t>Essential Medicines and Health Products (EMP)</w:t>
            </w:r>
          </w:p>
        </w:tc>
      </w:tr>
    </w:tbl>
    <w:p w:rsidR="000004D1" w:rsidRDefault="000004D1" w:rsidP="000004D1">
      <w:pPr>
        <w:spacing w:after="60" w:line="240" w:lineRule="auto"/>
        <w:rPr>
          <w:rFonts w:cstheme="minorHAnsi"/>
        </w:rPr>
      </w:pPr>
    </w:p>
    <w:p w:rsidR="000004D1" w:rsidRPr="000004D1" w:rsidRDefault="00DD12DB" w:rsidP="000004D1">
      <w:pPr>
        <w:pStyle w:val="ListParagraph"/>
        <w:numPr>
          <w:ilvl w:val="0"/>
          <w:numId w:val="1"/>
        </w:numPr>
        <w:spacing w:after="60" w:line="240" w:lineRule="auto"/>
        <w:rPr>
          <w:rFonts w:cstheme="minorHAnsi"/>
          <w:b/>
          <w:bCs/>
        </w:rPr>
      </w:pPr>
      <w:r>
        <w:rPr>
          <w:rFonts w:cstheme="minorHAnsi"/>
          <w:b/>
          <w:bCs/>
        </w:rPr>
        <w:t>Purpose of the Consultancy</w:t>
      </w:r>
      <w:r w:rsidR="00E9376C">
        <w:rPr>
          <w:rFonts w:cstheme="minorHAnsi"/>
          <w:b/>
          <w:bCs/>
        </w:rPr>
        <w:t xml:space="preserve"> Roster</w:t>
      </w:r>
    </w:p>
    <w:p w:rsidR="000004D1" w:rsidRPr="00C65C62" w:rsidRDefault="005C1DAB" w:rsidP="00D01B3C">
      <w:pPr>
        <w:rPr>
          <w:rFonts w:cstheme="minorHAnsi"/>
          <w:szCs w:val="20"/>
        </w:rPr>
      </w:pPr>
      <w:r w:rsidRPr="00C65C62">
        <w:rPr>
          <w:rFonts w:cstheme="minorHAnsi"/>
          <w:szCs w:val="20"/>
        </w:rPr>
        <w:t xml:space="preserve">To support the IAU team in the implementation of the </w:t>
      </w:r>
      <w:r w:rsidRPr="00C65C62">
        <w:rPr>
          <w:rFonts w:cstheme="minorHAnsi"/>
          <w:i/>
          <w:iCs/>
          <w:szCs w:val="20"/>
        </w:rPr>
        <w:t>Global Action Plan</w:t>
      </w:r>
      <w:r w:rsidRPr="00C65C62">
        <w:rPr>
          <w:rFonts w:cstheme="minorHAnsi"/>
          <w:szCs w:val="20"/>
        </w:rPr>
        <w:t xml:space="preserve"> on Antimicrobial Resistance</w:t>
      </w:r>
      <w:r w:rsidR="00C122F6">
        <w:rPr>
          <w:rFonts w:cstheme="minorHAnsi"/>
          <w:szCs w:val="20"/>
        </w:rPr>
        <w:t xml:space="preserve">, through supporting national, regional and global initiatives to </w:t>
      </w:r>
      <w:r w:rsidR="00C65C62" w:rsidRPr="00C65C62">
        <w:rPr>
          <w:rFonts w:cstheme="minorHAnsi"/>
          <w:szCs w:val="20"/>
        </w:rPr>
        <w:t>optimize the use of antimicrobials</w:t>
      </w:r>
      <w:r w:rsidR="00C122F6">
        <w:rPr>
          <w:rFonts w:cstheme="minorHAnsi"/>
          <w:szCs w:val="20"/>
        </w:rPr>
        <w:t xml:space="preserve"> across the antimicrobial value chain from research and development to antimicrobial stewardship and awareness raising</w:t>
      </w:r>
      <w:r w:rsidR="001E7D3A" w:rsidRPr="00C65C62">
        <w:rPr>
          <w:rFonts w:cstheme="minorHAnsi"/>
          <w:szCs w:val="20"/>
        </w:rPr>
        <w:t xml:space="preserve">. </w:t>
      </w:r>
    </w:p>
    <w:p w:rsidR="000004D1" w:rsidRDefault="00DD12DB" w:rsidP="000004D1">
      <w:pPr>
        <w:pStyle w:val="ListParagraph"/>
        <w:numPr>
          <w:ilvl w:val="0"/>
          <w:numId w:val="1"/>
        </w:numPr>
        <w:spacing w:after="60" w:line="240" w:lineRule="auto"/>
        <w:rPr>
          <w:rFonts w:cstheme="minorHAnsi"/>
          <w:b/>
          <w:bCs/>
        </w:rPr>
      </w:pPr>
      <w:r>
        <w:rPr>
          <w:rFonts w:cstheme="minorHAnsi"/>
          <w:b/>
          <w:bCs/>
        </w:rPr>
        <w:t>Background</w:t>
      </w:r>
    </w:p>
    <w:p w:rsidR="00A76992" w:rsidRDefault="001E7D3A" w:rsidP="00152547">
      <w:pPr>
        <w:shd w:val="clear" w:color="auto" w:fill="FFFFFF"/>
        <w:ind w:right="300"/>
        <w:textAlignment w:val="baseline"/>
      </w:pPr>
      <w:r>
        <w:rPr>
          <w:lang w:eastAsia="x-none"/>
        </w:rPr>
        <w:t>Antimicrobials resistance is a global public health threat, acknowledged through t</w:t>
      </w:r>
      <w:r w:rsidRPr="000A0308">
        <w:t>he endorsement of the Global Action Plan on</w:t>
      </w:r>
      <w:r>
        <w:t xml:space="preserve"> antimicrobial resistance (AMR)</w:t>
      </w:r>
      <w:r>
        <w:rPr>
          <w:rStyle w:val="FootnoteReference"/>
        </w:rPr>
        <w:footnoteReference w:id="1"/>
      </w:r>
      <w:r>
        <w:t xml:space="preserve"> </w:t>
      </w:r>
      <w:r w:rsidRPr="000A0308">
        <w:t xml:space="preserve">by the World Health Assembly (resolution WHA68.7) in May </w:t>
      </w:r>
      <w:proofErr w:type="gramStart"/>
      <w:r w:rsidRPr="000A0308">
        <w:t>2015,  the</w:t>
      </w:r>
      <w:proofErr w:type="gramEnd"/>
      <w:r w:rsidRPr="000A0308">
        <w:t xml:space="preserve"> Political Declaration of the high-level meeting of the General Assembly on AMR</w:t>
      </w:r>
      <w:r>
        <w:rPr>
          <w:rStyle w:val="FootnoteReference"/>
        </w:rPr>
        <w:footnoteReference w:id="2"/>
      </w:r>
      <w:r w:rsidRPr="000A0308">
        <w:t xml:space="preserve"> in September 2017</w:t>
      </w:r>
      <w:r w:rsidR="00A76992">
        <w:t xml:space="preserve"> as well as the report of the UN</w:t>
      </w:r>
      <w:r w:rsidR="00A76992" w:rsidRPr="00A76992">
        <w:t xml:space="preserve"> Interagency Coordination Group (IACG) on Antimicrobial Resistance</w:t>
      </w:r>
      <w:r w:rsidR="00A76992">
        <w:rPr>
          <w:rStyle w:val="FootnoteReference"/>
        </w:rPr>
        <w:footnoteReference w:id="3"/>
      </w:r>
      <w:r w:rsidR="00152547" w:rsidRPr="006828D9">
        <w:rPr>
          <w:rFonts w:cstheme="minorHAnsi"/>
        </w:rPr>
        <w:t xml:space="preserve">. Objective five of the Global Action Plan </w:t>
      </w:r>
      <w:r w:rsidR="00152547" w:rsidRPr="006828D9">
        <w:t xml:space="preserve">is to </w:t>
      </w:r>
      <w:r w:rsidR="00152547" w:rsidRPr="005E0376">
        <w:t>increase research and development (R&amp;D) for new antibacterial treatments and optimize the use of existing and new antibiotics. Further political commitments to implement the global action plan and foster R&amp;D of new antibiotics was shown at the United Nations General Assembly at its Seventy-First Session in 2016 at a high-level meeting on antimicrobial resistance and more recently in 2017 at the meeting of the Group of 20. In response, in September 2017, WHO released the priority pathogens list including TB to prioritize R&amp;D efforts for new. Coupled with this report, the WHO undertook the first global analysis of a</w:t>
      </w:r>
      <w:r w:rsidR="00152547" w:rsidRPr="005E0376">
        <w:rPr>
          <w:rFonts w:cs="Helvetica"/>
        </w:rPr>
        <w:t>ntibacterial agents in clinical development. The analysis</w:t>
      </w:r>
      <w:r w:rsidR="00152547">
        <w:rPr>
          <w:rFonts w:cs="Helvetica"/>
        </w:rPr>
        <w:t>, that is being undertaken on an annual basis</w:t>
      </w:r>
      <w:r w:rsidR="00152547">
        <w:t xml:space="preserve"> identifies that the current pipeline as being</w:t>
      </w:r>
      <w:r w:rsidR="00152547" w:rsidRPr="005E0376">
        <w:t xml:space="preserve"> insufficient to combat AMR.</w:t>
      </w:r>
      <w:r w:rsidR="00152547">
        <w:t xml:space="preserve"> There is an urgent need to optimize the use of existing antimicrobials in the human and animal sectors. </w:t>
      </w:r>
    </w:p>
    <w:p w:rsidR="005C1DAB" w:rsidRPr="00152547" w:rsidRDefault="00A76992" w:rsidP="00152547">
      <w:pPr>
        <w:shd w:val="clear" w:color="auto" w:fill="FFFFFF"/>
        <w:ind w:right="300"/>
        <w:textAlignment w:val="baseline"/>
        <w:rPr>
          <w:rFonts w:cs="Helvetica"/>
          <w:lang w:eastAsia="zh-CN"/>
        </w:rPr>
      </w:pPr>
      <w:r w:rsidRPr="006828D9">
        <w:rPr>
          <w:rFonts w:cstheme="minorHAnsi"/>
        </w:rPr>
        <w:t xml:space="preserve">Objective </w:t>
      </w:r>
      <w:r>
        <w:rPr>
          <w:rFonts w:cstheme="minorHAnsi"/>
        </w:rPr>
        <w:t>four</w:t>
      </w:r>
      <w:r w:rsidRPr="006828D9">
        <w:rPr>
          <w:rFonts w:cstheme="minorHAnsi"/>
        </w:rPr>
        <w:t xml:space="preserve"> of the Global Action Plan </w:t>
      </w:r>
      <w:r w:rsidRPr="006828D9">
        <w:t xml:space="preserve">is </w:t>
      </w:r>
      <w:r>
        <w:t>to foster appropriate use of antimicrobials. O</w:t>
      </w:r>
      <w:r w:rsidR="00152547">
        <w:t xml:space="preserve">ptimizing the use of antimicrobial requires behaviour change and the implementation of antimicrobial stewardship (AMS). </w:t>
      </w:r>
      <w:r w:rsidR="001E7D3A" w:rsidRPr="002C148B">
        <w:rPr>
          <w:rFonts w:eastAsia="Times New Roman"/>
        </w:rPr>
        <w:t xml:space="preserve">AMS is defined as actions to promote </w:t>
      </w:r>
      <w:r w:rsidR="0063783D">
        <w:rPr>
          <w:rFonts w:eastAsia="Times New Roman"/>
        </w:rPr>
        <w:t xml:space="preserve">the </w:t>
      </w:r>
      <w:r w:rsidR="001E7D3A" w:rsidRPr="002C148B">
        <w:rPr>
          <w:rFonts w:eastAsia="Times New Roman"/>
        </w:rPr>
        <w:t>responsible use of antibiotics</w:t>
      </w:r>
      <w:r w:rsidR="001E7D3A">
        <w:rPr>
          <w:rStyle w:val="FootnoteReference"/>
          <w:rFonts w:eastAsia="Times New Roman"/>
        </w:rPr>
        <w:footnoteReference w:id="4"/>
      </w:r>
      <w:r w:rsidR="001E7D3A" w:rsidRPr="002C148B">
        <w:rPr>
          <w:rFonts w:eastAsia="Times New Roman"/>
        </w:rPr>
        <w:t xml:space="preserve">, and an AMS programme is the coordinated implementation of evidence-based stewardship interventions to promote </w:t>
      </w:r>
      <w:r w:rsidR="0063783D">
        <w:rPr>
          <w:rFonts w:eastAsia="Times New Roman"/>
        </w:rPr>
        <w:t xml:space="preserve">the </w:t>
      </w:r>
      <w:r w:rsidR="001E7D3A" w:rsidRPr="002C148B">
        <w:rPr>
          <w:rFonts w:eastAsia="Times New Roman"/>
        </w:rPr>
        <w:t>responsible use of antibiotics</w:t>
      </w:r>
      <w:r w:rsidR="001E7D3A">
        <w:rPr>
          <w:rStyle w:val="FootnoteReference"/>
          <w:rFonts w:eastAsia="Times New Roman"/>
        </w:rPr>
        <w:footnoteReference w:id="5"/>
      </w:r>
      <w:r w:rsidR="001E7D3A" w:rsidRPr="002C148B">
        <w:rPr>
          <w:rFonts w:eastAsia="Times New Roman"/>
        </w:rPr>
        <w:t xml:space="preserve">. </w:t>
      </w:r>
      <w:r w:rsidR="001E7D3A" w:rsidRPr="00E143DC">
        <w:t xml:space="preserve">Globally, </w:t>
      </w:r>
      <w:r w:rsidR="001E7D3A" w:rsidRPr="000A0308">
        <w:t xml:space="preserve">many countries have developed and are implementing National Action Plans on AMR, in which AMS is often a key priority. </w:t>
      </w:r>
      <w:r w:rsidR="001E7D3A" w:rsidRPr="00AA7669">
        <w:t xml:space="preserve">To meet the increasing need for practical guidance on how to establish and implement effective AMS programmes especially in LMICs, the WHO has developed a </w:t>
      </w:r>
      <w:r w:rsidR="001E7D3A" w:rsidRPr="00AA7669">
        <w:lastRenderedPageBreak/>
        <w:t>practical toolkit for AMS programmes in hospitals in LMICs</w:t>
      </w:r>
      <w:r w:rsidR="00C65C62">
        <w:t xml:space="preserve"> which will need to be rolled out in countries </w:t>
      </w:r>
      <w:r w:rsidR="00152547">
        <w:t xml:space="preserve">through international, regional and country </w:t>
      </w:r>
      <w:r w:rsidR="00A30CC2">
        <w:t>initiatives</w:t>
      </w:r>
      <w:r w:rsidR="00152547">
        <w:t>.</w:t>
      </w:r>
    </w:p>
    <w:p w:rsidR="000004D1" w:rsidRPr="000004D1" w:rsidRDefault="00173AF4" w:rsidP="00173AF4">
      <w:pPr>
        <w:pStyle w:val="ListParagraph"/>
        <w:numPr>
          <w:ilvl w:val="0"/>
          <w:numId w:val="1"/>
        </w:numPr>
        <w:spacing w:after="60" w:line="240" w:lineRule="auto"/>
        <w:rPr>
          <w:rFonts w:cstheme="minorHAnsi"/>
          <w:b/>
          <w:bCs/>
        </w:rPr>
      </w:pPr>
      <w:r>
        <w:rPr>
          <w:rFonts w:cstheme="minorHAnsi"/>
          <w:b/>
          <w:bCs/>
        </w:rPr>
        <w:t xml:space="preserve">Planned timelines: </w:t>
      </w:r>
      <w:r w:rsidR="00152547">
        <w:rPr>
          <w:rFonts w:cstheme="minorHAnsi"/>
        </w:rPr>
        <w:t>6 months full-time</w:t>
      </w:r>
    </w:p>
    <w:p w:rsidR="000004D1" w:rsidRDefault="000004D1" w:rsidP="002B5A93">
      <w:pPr>
        <w:spacing w:after="60" w:line="240" w:lineRule="auto"/>
        <w:rPr>
          <w:rFonts w:cstheme="minorHAnsi"/>
        </w:rPr>
      </w:pPr>
      <w:r>
        <w:rPr>
          <w:rFonts w:cstheme="minorHAnsi"/>
        </w:rPr>
        <w:t xml:space="preserve">Start date:  </w:t>
      </w:r>
      <w:r w:rsidR="00170247">
        <w:rPr>
          <w:rFonts w:cstheme="minorHAnsi"/>
        </w:rPr>
        <w:t>16/09</w:t>
      </w:r>
      <w:r w:rsidR="00D01B3C">
        <w:rPr>
          <w:rFonts w:cstheme="minorHAnsi"/>
        </w:rPr>
        <w:t>/2019</w:t>
      </w:r>
    </w:p>
    <w:p w:rsidR="000004D1" w:rsidRDefault="000004D1" w:rsidP="00173AF4">
      <w:pPr>
        <w:spacing w:after="60" w:line="240" w:lineRule="auto"/>
        <w:rPr>
          <w:rFonts w:cstheme="minorHAnsi"/>
        </w:rPr>
      </w:pPr>
      <w:r>
        <w:rPr>
          <w:rFonts w:cstheme="minorHAnsi"/>
        </w:rPr>
        <w:t xml:space="preserve">End date: </w:t>
      </w:r>
      <w:r w:rsidR="00170247">
        <w:rPr>
          <w:rFonts w:cstheme="minorHAnsi"/>
        </w:rPr>
        <w:t>15</w:t>
      </w:r>
      <w:r w:rsidR="005C1DAB">
        <w:rPr>
          <w:rFonts w:cstheme="minorHAnsi"/>
        </w:rPr>
        <w:t>/</w:t>
      </w:r>
      <w:r w:rsidR="00170247">
        <w:rPr>
          <w:rFonts w:cstheme="minorHAnsi"/>
        </w:rPr>
        <w:t>02</w:t>
      </w:r>
      <w:r w:rsidR="00C65C62">
        <w:rPr>
          <w:rFonts w:cstheme="minorHAnsi"/>
        </w:rPr>
        <w:t>/2020</w:t>
      </w:r>
    </w:p>
    <w:p w:rsidR="006D2AD9" w:rsidRDefault="006D2AD9" w:rsidP="006D2AD9">
      <w:pPr>
        <w:pStyle w:val="ListParagraph"/>
        <w:spacing w:after="60" w:line="240" w:lineRule="auto"/>
        <w:ind w:left="360"/>
        <w:rPr>
          <w:rFonts w:cstheme="minorHAnsi"/>
          <w:b/>
          <w:bCs/>
        </w:rPr>
      </w:pPr>
    </w:p>
    <w:p w:rsidR="000004D1" w:rsidRDefault="00DD12DB" w:rsidP="000004D1">
      <w:pPr>
        <w:pStyle w:val="ListParagraph"/>
        <w:numPr>
          <w:ilvl w:val="0"/>
          <w:numId w:val="1"/>
        </w:numPr>
        <w:spacing w:after="60" w:line="240" w:lineRule="auto"/>
        <w:rPr>
          <w:rFonts w:cstheme="minorHAnsi"/>
          <w:b/>
          <w:bCs/>
        </w:rPr>
      </w:pPr>
      <w:r>
        <w:rPr>
          <w:rFonts w:cstheme="minorHAnsi"/>
          <w:b/>
          <w:bCs/>
        </w:rPr>
        <w:t>Work to be performed</w:t>
      </w:r>
    </w:p>
    <w:p w:rsidR="00C65C62" w:rsidRDefault="00C65C62" w:rsidP="00C65C62">
      <w:pPr>
        <w:spacing w:after="60" w:line="240" w:lineRule="auto"/>
        <w:rPr>
          <w:rFonts w:cstheme="minorHAnsi"/>
          <w:bCs/>
        </w:rPr>
      </w:pPr>
      <w:r w:rsidRPr="00C65C62">
        <w:rPr>
          <w:rFonts w:cstheme="minorHAnsi"/>
          <w:bCs/>
        </w:rPr>
        <w:t xml:space="preserve">Under the supervision of </w:t>
      </w:r>
      <w:r w:rsidR="0063783D">
        <w:rPr>
          <w:rFonts w:cstheme="minorHAnsi"/>
          <w:bCs/>
        </w:rPr>
        <w:t xml:space="preserve">the </w:t>
      </w:r>
      <w:r w:rsidRPr="00C65C62">
        <w:rPr>
          <w:rFonts w:cstheme="minorHAnsi"/>
          <w:bCs/>
        </w:rPr>
        <w:t>IAU unit in W</w:t>
      </w:r>
      <w:r w:rsidR="00A11483">
        <w:rPr>
          <w:rFonts w:cstheme="minorHAnsi"/>
          <w:bCs/>
        </w:rPr>
        <w:t>HO headquarters, the consultant</w:t>
      </w:r>
      <w:r w:rsidRPr="00C65C62">
        <w:rPr>
          <w:rFonts w:cstheme="minorHAnsi"/>
          <w:bCs/>
        </w:rPr>
        <w:t xml:space="preserve"> will perform the following functions: </w:t>
      </w:r>
    </w:p>
    <w:p w:rsidR="00A11483" w:rsidRDefault="00A11483" w:rsidP="00C65C62">
      <w:pPr>
        <w:pStyle w:val="ListParagraph"/>
        <w:numPr>
          <w:ilvl w:val="0"/>
          <w:numId w:val="15"/>
        </w:numPr>
        <w:spacing w:after="60" w:line="240" w:lineRule="auto"/>
        <w:rPr>
          <w:rFonts w:cstheme="minorHAnsi"/>
          <w:bCs/>
        </w:rPr>
      </w:pPr>
      <w:r w:rsidRPr="00A11483">
        <w:rPr>
          <w:rFonts w:cstheme="minorHAnsi"/>
          <w:bCs/>
        </w:rPr>
        <w:t xml:space="preserve">Support the work of the unit in implementing the global action plan on antimicrobial resistance </w:t>
      </w:r>
      <w:proofErr w:type="gramStart"/>
      <w:r w:rsidRPr="00A11483">
        <w:rPr>
          <w:rFonts w:cstheme="minorHAnsi"/>
          <w:bCs/>
        </w:rPr>
        <w:t>in the area of</w:t>
      </w:r>
      <w:proofErr w:type="gramEnd"/>
      <w:r w:rsidRPr="00A11483">
        <w:rPr>
          <w:rFonts w:cstheme="minorHAnsi"/>
          <w:bCs/>
        </w:rPr>
        <w:t xml:space="preserve"> awareness</w:t>
      </w:r>
      <w:r w:rsidR="00A76992">
        <w:rPr>
          <w:rFonts w:cstheme="minorHAnsi"/>
          <w:bCs/>
        </w:rPr>
        <w:t>, behavioural change</w:t>
      </w:r>
      <w:r>
        <w:rPr>
          <w:rFonts w:cstheme="minorHAnsi"/>
          <w:bCs/>
        </w:rPr>
        <w:t xml:space="preserve"> and education, research and development and</w:t>
      </w:r>
      <w:r w:rsidRPr="00A11483">
        <w:rPr>
          <w:rFonts w:cstheme="minorHAnsi"/>
          <w:bCs/>
        </w:rPr>
        <w:t xml:space="preserve"> optimizing</w:t>
      </w:r>
      <w:r>
        <w:rPr>
          <w:rFonts w:cstheme="minorHAnsi"/>
          <w:bCs/>
        </w:rPr>
        <w:t xml:space="preserve"> the</w:t>
      </w:r>
      <w:r w:rsidRPr="00A11483">
        <w:rPr>
          <w:rFonts w:cstheme="minorHAnsi"/>
          <w:bCs/>
        </w:rPr>
        <w:t xml:space="preserve"> </w:t>
      </w:r>
      <w:r>
        <w:rPr>
          <w:rFonts w:cstheme="minorHAnsi"/>
          <w:bCs/>
        </w:rPr>
        <w:t>use of antimicrobials through a One</w:t>
      </w:r>
      <w:r w:rsidR="00A76992">
        <w:rPr>
          <w:rFonts w:cstheme="minorHAnsi"/>
          <w:bCs/>
        </w:rPr>
        <w:t>-</w:t>
      </w:r>
      <w:r>
        <w:rPr>
          <w:rFonts w:cstheme="minorHAnsi"/>
          <w:bCs/>
        </w:rPr>
        <w:t>health approach.</w:t>
      </w:r>
    </w:p>
    <w:p w:rsidR="00A11483" w:rsidRDefault="00A11483" w:rsidP="00C65C62">
      <w:pPr>
        <w:pStyle w:val="ListParagraph"/>
        <w:numPr>
          <w:ilvl w:val="0"/>
          <w:numId w:val="15"/>
        </w:numPr>
        <w:spacing w:after="60" w:line="240" w:lineRule="auto"/>
        <w:rPr>
          <w:rFonts w:cstheme="minorHAnsi"/>
          <w:bCs/>
        </w:rPr>
      </w:pPr>
      <w:r>
        <w:rPr>
          <w:rFonts w:cstheme="minorHAnsi"/>
          <w:bCs/>
        </w:rPr>
        <w:t xml:space="preserve">Liaise between WHO headquarters and WHO regional offices in the organization of regional and country workshops on an integrated approach to optimizing the use of antimicrobials through implementing EML </w:t>
      </w:r>
      <w:proofErr w:type="spellStart"/>
      <w:r>
        <w:rPr>
          <w:rFonts w:cstheme="minorHAnsi"/>
          <w:bCs/>
        </w:rPr>
        <w:t>AWaRe</w:t>
      </w:r>
      <w:proofErr w:type="spellEnd"/>
      <w:r>
        <w:rPr>
          <w:rFonts w:cstheme="minorHAnsi"/>
          <w:bCs/>
        </w:rPr>
        <w:t xml:space="preserve"> categories, antimicrobial stewardship programmes and antimicrobial consumption surveillance.</w:t>
      </w:r>
    </w:p>
    <w:p w:rsidR="00173AF4" w:rsidRDefault="00C122F6" w:rsidP="00173AF4">
      <w:pPr>
        <w:pStyle w:val="ListParagraph"/>
        <w:numPr>
          <w:ilvl w:val="0"/>
          <w:numId w:val="15"/>
        </w:numPr>
        <w:spacing w:after="60" w:line="240" w:lineRule="auto"/>
        <w:rPr>
          <w:rFonts w:cstheme="minorHAnsi"/>
          <w:bCs/>
        </w:rPr>
      </w:pPr>
      <w:r w:rsidRPr="00C122F6">
        <w:rPr>
          <w:rFonts w:cstheme="minorHAnsi"/>
          <w:bCs/>
        </w:rPr>
        <w:t xml:space="preserve">Support the </w:t>
      </w:r>
      <w:r w:rsidR="00A11483">
        <w:rPr>
          <w:rFonts w:cstheme="minorHAnsi"/>
          <w:bCs/>
        </w:rPr>
        <w:t xml:space="preserve">unit in the </w:t>
      </w:r>
      <w:r w:rsidRPr="00C122F6">
        <w:rPr>
          <w:rFonts w:cstheme="minorHAnsi"/>
          <w:bCs/>
        </w:rPr>
        <w:t>preparation</w:t>
      </w:r>
      <w:r w:rsidR="00A11483">
        <w:rPr>
          <w:rFonts w:cstheme="minorHAnsi"/>
          <w:bCs/>
        </w:rPr>
        <w:t xml:space="preserve"> and delivery</w:t>
      </w:r>
      <w:r w:rsidRPr="00C122F6">
        <w:rPr>
          <w:rFonts w:cstheme="minorHAnsi"/>
          <w:bCs/>
        </w:rPr>
        <w:t xml:space="preserve"> of the first WHO partners forum on implementing antimicrobial stewardship programmes</w:t>
      </w:r>
      <w:r w:rsidR="00A11483">
        <w:rPr>
          <w:rFonts w:cstheme="minorHAnsi"/>
          <w:bCs/>
        </w:rPr>
        <w:t xml:space="preserve"> to be held in quarter 1 of 2020. </w:t>
      </w:r>
    </w:p>
    <w:p w:rsidR="00A11483" w:rsidRDefault="00A11483" w:rsidP="00173AF4">
      <w:pPr>
        <w:pStyle w:val="ListParagraph"/>
        <w:numPr>
          <w:ilvl w:val="0"/>
          <w:numId w:val="15"/>
        </w:numPr>
        <w:spacing w:after="60" w:line="240" w:lineRule="auto"/>
        <w:rPr>
          <w:rFonts w:cstheme="minorHAnsi"/>
          <w:bCs/>
        </w:rPr>
      </w:pPr>
      <w:r>
        <w:rPr>
          <w:rFonts w:cstheme="minorHAnsi"/>
          <w:bCs/>
        </w:rPr>
        <w:t>Identify gaps an</w:t>
      </w:r>
      <w:r w:rsidR="001E1C08">
        <w:rPr>
          <w:rFonts w:cstheme="minorHAnsi"/>
          <w:bCs/>
        </w:rPr>
        <w:t xml:space="preserve">d develop additional education and training resources to implement the WHO toolkit on AMS in hospitals in LMICs. </w:t>
      </w:r>
    </w:p>
    <w:p w:rsidR="00A11483" w:rsidRDefault="001E1C08" w:rsidP="00173AF4">
      <w:pPr>
        <w:pStyle w:val="ListParagraph"/>
        <w:numPr>
          <w:ilvl w:val="0"/>
          <w:numId w:val="15"/>
        </w:numPr>
        <w:spacing w:after="60" w:line="240" w:lineRule="auto"/>
        <w:rPr>
          <w:rFonts w:cstheme="minorHAnsi"/>
          <w:bCs/>
        </w:rPr>
      </w:pPr>
      <w:r>
        <w:rPr>
          <w:rFonts w:cstheme="minorHAnsi"/>
          <w:bCs/>
        </w:rPr>
        <w:t xml:space="preserve">Support the unit in research and development priority setting to combat antimicrobial resistance. </w:t>
      </w:r>
    </w:p>
    <w:p w:rsidR="00A11483" w:rsidRDefault="00A11483" w:rsidP="00A11483">
      <w:pPr>
        <w:spacing w:after="60" w:line="240" w:lineRule="auto"/>
        <w:rPr>
          <w:rFonts w:cstheme="minorHAnsi"/>
          <w:bCs/>
        </w:rPr>
      </w:pPr>
    </w:p>
    <w:p w:rsidR="00A11483" w:rsidRPr="00A11483" w:rsidRDefault="00A11483" w:rsidP="00A11483">
      <w:pPr>
        <w:spacing w:after="60" w:line="240" w:lineRule="auto"/>
        <w:rPr>
          <w:rFonts w:cstheme="minorHAnsi"/>
          <w:bCs/>
        </w:rPr>
      </w:pPr>
    </w:p>
    <w:p w:rsidR="000004D1" w:rsidRPr="00116A84" w:rsidRDefault="00116A84" w:rsidP="000004D1">
      <w:pPr>
        <w:pStyle w:val="ListParagraph"/>
        <w:numPr>
          <w:ilvl w:val="0"/>
          <w:numId w:val="1"/>
        </w:numPr>
        <w:spacing w:after="60" w:line="240" w:lineRule="auto"/>
        <w:rPr>
          <w:rFonts w:cstheme="minorHAnsi"/>
          <w:b/>
          <w:bCs/>
        </w:rPr>
      </w:pPr>
      <w:r w:rsidRPr="00116A84">
        <w:rPr>
          <w:rFonts w:cstheme="minorHAnsi"/>
          <w:b/>
          <w:bCs/>
        </w:rPr>
        <w:t>Technical Supervision</w:t>
      </w:r>
    </w:p>
    <w:p w:rsidR="00116A84" w:rsidRDefault="00116A84" w:rsidP="00116A84">
      <w:pPr>
        <w:spacing w:after="60" w:line="240" w:lineRule="auto"/>
        <w:rPr>
          <w:rFonts w:cstheme="minorHAnsi"/>
        </w:rPr>
      </w:pPr>
      <w:r>
        <w:rPr>
          <w:rFonts w:cstheme="minorHAnsi"/>
        </w:rPr>
        <w:t>The selected Consultant</w:t>
      </w:r>
      <w:r w:rsidR="00C65C62">
        <w:rPr>
          <w:rFonts w:cstheme="minorHAnsi"/>
        </w:rPr>
        <w:t>s</w:t>
      </w:r>
      <w:r>
        <w:rPr>
          <w:rFonts w:cstheme="minorHAnsi"/>
        </w:rPr>
        <w:t xml:space="preserve"> will work on the supervision of:</w:t>
      </w:r>
    </w:p>
    <w:tbl>
      <w:tblPr>
        <w:tblStyle w:val="TableGrid"/>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2208"/>
        <w:gridCol w:w="4020"/>
        <w:gridCol w:w="848"/>
        <w:gridCol w:w="2665"/>
      </w:tblGrid>
      <w:tr w:rsidR="00116A84" w:rsidRPr="000229A7" w:rsidTr="00116A84">
        <w:tc>
          <w:tcPr>
            <w:tcW w:w="2235" w:type="dxa"/>
          </w:tcPr>
          <w:p w:rsidR="00116A84" w:rsidRPr="000229A7" w:rsidRDefault="00116A84" w:rsidP="009B5DE0">
            <w:pPr>
              <w:spacing w:after="60"/>
              <w:rPr>
                <w:rFonts w:cstheme="minorHAnsi"/>
              </w:rPr>
            </w:pPr>
            <w:r w:rsidRPr="000229A7">
              <w:rPr>
                <w:rFonts w:cstheme="minorHAnsi"/>
              </w:rPr>
              <w:t xml:space="preserve">Responsible Officer: </w:t>
            </w:r>
          </w:p>
        </w:tc>
        <w:tc>
          <w:tcPr>
            <w:tcW w:w="4110" w:type="dxa"/>
          </w:tcPr>
          <w:p w:rsidR="00116A84" w:rsidRPr="000229A7" w:rsidRDefault="005C1DAB" w:rsidP="005C1DAB">
            <w:pPr>
              <w:spacing w:after="60"/>
              <w:rPr>
                <w:rFonts w:cstheme="minorHAnsi"/>
              </w:rPr>
            </w:pPr>
            <w:r w:rsidRPr="000229A7">
              <w:rPr>
                <w:rFonts w:cstheme="minorHAnsi"/>
              </w:rPr>
              <w:t>Sarah Paulin, Technical Officer, EMP, IAU</w:t>
            </w:r>
          </w:p>
          <w:p w:rsidR="00C65C62" w:rsidRPr="000229A7" w:rsidRDefault="00C65C62" w:rsidP="005C1DAB">
            <w:pPr>
              <w:spacing w:after="60"/>
              <w:rPr>
                <w:rFonts w:cstheme="minorHAnsi"/>
              </w:rPr>
            </w:pPr>
          </w:p>
        </w:tc>
        <w:tc>
          <w:tcPr>
            <w:tcW w:w="851" w:type="dxa"/>
          </w:tcPr>
          <w:p w:rsidR="00116A84" w:rsidRPr="000229A7" w:rsidRDefault="00116A84" w:rsidP="009B5DE0">
            <w:pPr>
              <w:spacing w:after="60"/>
              <w:rPr>
                <w:rFonts w:cstheme="minorHAnsi"/>
              </w:rPr>
            </w:pPr>
            <w:r w:rsidRPr="000229A7">
              <w:rPr>
                <w:rFonts w:cstheme="minorHAnsi"/>
              </w:rPr>
              <w:t>Email:</w:t>
            </w:r>
          </w:p>
        </w:tc>
        <w:tc>
          <w:tcPr>
            <w:tcW w:w="2693" w:type="dxa"/>
          </w:tcPr>
          <w:p w:rsidR="00116A84" w:rsidRPr="000229A7" w:rsidRDefault="0063783D" w:rsidP="009B5DE0">
            <w:pPr>
              <w:spacing w:after="60"/>
              <w:rPr>
                <w:rFonts w:cstheme="minorHAnsi"/>
              </w:rPr>
            </w:pPr>
            <w:hyperlink r:id="rId9" w:history="1">
              <w:r w:rsidR="00C65C62" w:rsidRPr="000229A7">
                <w:rPr>
                  <w:rStyle w:val="Hyperlink"/>
                  <w:rFonts w:cstheme="minorHAnsi"/>
                </w:rPr>
                <w:t>paulins@who.int</w:t>
              </w:r>
            </w:hyperlink>
          </w:p>
          <w:p w:rsidR="00C65C62" w:rsidRPr="000229A7" w:rsidRDefault="00C65C62" w:rsidP="00C65C62">
            <w:pPr>
              <w:spacing w:after="60"/>
              <w:rPr>
                <w:rFonts w:cstheme="minorHAnsi"/>
              </w:rPr>
            </w:pPr>
          </w:p>
        </w:tc>
      </w:tr>
      <w:tr w:rsidR="00116A84" w:rsidRPr="000229A7" w:rsidTr="00116A84">
        <w:tc>
          <w:tcPr>
            <w:tcW w:w="2235" w:type="dxa"/>
          </w:tcPr>
          <w:p w:rsidR="00116A84" w:rsidRPr="000229A7" w:rsidRDefault="00116A84" w:rsidP="00116A84">
            <w:pPr>
              <w:spacing w:after="60"/>
              <w:rPr>
                <w:rFonts w:cstheme="minorHAnsi"/>
              </w:rPr>
            </w:pPr>
            <w:r w:rsidRPr="000229A7">
              <w:rPr>
                <w:rFonts w:cstheme="minorHAnsi"/>
              </w:rPr>
              <w:t>Manager:</w:t>
            </w:r>
          </w:p>
        </w:tc>
        <w:tc>
          <w:tcPr>
            <w:tcW w:w="4110" w:type="dxa"/>
          </w:tcPr>
          <w:p w:rsidR="00116A84" w:rsidRPr="000229A7" w:rsidRDefault="005C1DAB" w:rsidP="005C1DAB">
            <w:pPr>
              <w:spacing w:after="60"/>
              <w:rPr>
                <w:rFonts w:cstheme="minorHAnsi"/>
              </w:rPr>
            </w:pPr>
            <w:r w:rsidRPr="000229A7">
              <w:rPr>
                <w:rFonts w:cstheme="minorHAnsi"/>
              </w:rPr>
              <w:t>Peter Beyer, Senior Advisor, EMP, IAU</w:t>
            </w:r>
          </w:p>
        </w:tc>
        <w:tc>
          <w:tcPr>
            <w:tcW w:w="851" w:type="dxa"/>
          </w:tcPr>
          <w:p w:rsidR="00116A84" w:rsidRPr="000229A7" w:rsidRDefault="00116A84" w:rsidP="009B5DE0">
            <w:pPr>
              <w:spacing w:after="60"/>
              <w:rPr>
                <w:rFonts w:cstheme="minorHAnsi"/>
              </w:rPr>
            </w:pPr>
            <w:r w:rsidRPr="000229A7">
              <w:rPr>
                <w:rFonts w:cstheme="minorHAnsi"/>
              </w:rPr>
              <w:t>Email:</w:t>
            </w:r>
          </w:p>
        </w:tc>
        <w:tc>
          <w:tcPr>
            <w:tcW w:w="2693" w:type="dxa"/>
          </w:tcPr>
          <w:p w:rsidR="00C65C62" w:rsidRPr="000229A7" w:rsidRDefault="0063783D" w:rsidP="00C65C62">
            <w:pPr>
              <w:spacing w:after="60"/>
              <w:rPr>
                <w:rFonts w:cstheme="minorHAnsi"/>
              </w:rPr>
            </w:pPr>
            <w:hyperlink r:id="rId10" w:history="1">
              <w:r w:rsidR="00C65C62" w:rsidRPr="000229A7">
                <w:rPr>
                  <w:rStyle w:val="Hyperlink"/>
                  <w:rFonts w:cstheme="minorHAnsi"/>
                </w:rPr>
                <w:t>beyerp@who.int</w:t>
              </w:r>
            </w:hyperlink>
          </w:p>
        </w:tc>
      </w:tr>
    </w:tbl>
    <w:p w:rsidR="00116A84" w:rsidRDefault="00116A84" w:rsidP="00116A84">
      <w:pPr>
        <w:spacing w:after="60" w:line="240" w:lineRule="auto"/>
        <w:rPr>
          <w:rFonts w:cstheme="minorHAnsi"/>
        </w:rPr>
      </w:pPr>
    </w:p>
    <w:p w:rsidR="00116A84" w:rsidRPr="009439E6" w:rsidRDefault="00116A84" w:rsidP="00116A84">
      <w:pPr>
        <w:pStyle w:val="ListParagraph"/>
        <w:numPr>
          <w:ilvl w:val="0"/>
          <w:numId w:val="1"/>
        </w:numPr>
        <w:spacing w:after="60" w:line="240" w:lineRule="auto"/>
        <w:rPr>
          <w:rFonts w:cstheme="minorHAnsi"/>
          <w:b/>
          <w:bCs/>
        </w:rPr>
      </w:pPr>
      <w:r w:rsidRPr="009439E6">
        <w:rPr>
          <w:rFonts w:cstheme="minorHAnsi"/>
          <w:b/>
          <w:bCs/>
        </w:rPr>
        <w:t>Specific requirements</w:t>
      </w:r>
    </w:p>
    <w:p w:rsidR="00116A84" w:rsidRDefault="00116A84" w:rsidP="00116A84">
      <w:pPr>
        <w:tabs>
          <w:tab w:val="left" w:pos="2663"/>
        </w:tabs>
        <w:spacing w:after="60" w:line="240" w:lineRule="auto"/>
        <w:rPr>
          <w:rFonts w:cstheme="minorHAnsi"/>
        </w:rPr>
      </w:pPr>
      <w:r w:rsidRPr="00116A84">
        <w:rPr>
          <w:rFonts w:cstheme="minorHAnsi"/>
          <w:u w:val="single"/>
        </w:rPr>
        <w:t>Qualifications required</w:t>
      </w:r>
      <w:r>
        <w:rPr>
          <w:rFonts w:cstheme="minorHAnsi"/>
        </w:rPr>
        <w:t>:</w:t>
      </w:r>
      <w:r>
        <w:rPr>
          <w:rFonts w:cstheme="minorHAnsi"/>
        </w:rPr>
        <w:tab/>
      </w:r>
    </w:p>
    <w:p w:rsidR="00170247" w:rsidRPr="00170247" w:rsidRDefault="00170247" w:rsidP="005A28DB">
      <w:pPr>
        <w:pStyle w:val="ListParagraph"/>
        <w:numPr>
          <w:ilvl w:val="0"/>
          <w:numId w:val="10"/>
        </w:numPr>
        <w:spacing w:after="60" w:line="240" w:lineRule="auto"/>
        <w:ind w:left="284" w:hanging="284"/>
        <w:rPr>
          <w:rFonts w:cstheme="minorHAnsi"/>
        </w:rPr>
      </w:pPr>
      <w:bookmarkStart w:id="0" w:name="_Hlk5097950"/>
      <w:r>
        <w:t>M.Sc</w:t>
      </w:r>
      <w:r w:rsidR="005A28DB" w:rsidRPr="005A28DB">
        <w:t>.</w:t>
      </w:r>
      <w:r>
        <w:t xml:space="preserve"> in biomedical sciences, microbiology,</w:t>
      </w:r>
      <w:r w:rsidRPr="00170247">
        <w:t xml:space="preserve"> </w:t>
      </w:r>
      <w:r>
        <w:t xml:space="preserve">medicine, pharmacy or </w:t>
      </w:r>
      <w:r w:rsidR="0063783D">
        <w:t>an</w:t>
      </w:r>
      <w:r>
        <w:t xml:space="preserve">other relevant area specific </w:t>
      </w:r>
      <w:bookmarkEnd w:id="0"/>
      <w:r>
        <w:t>to antimicrobial resistance</w:t>
      </w:r>
    </w:p>
    <w:p w:rsidR="00116A84" w:rsidRPr="00170247" w:rsidRDefault="00116A84" w:rsidP="00170247">
      <w:pPr>
        <w:spacing w:after="60" w:line="240" w:lineRule="auto"/>
        <w:rPr>
          <w:rFonts w:cstheme="minorHAnsi"/>
        </w:rPr>
      </w:pPr>
      <w:r w:rsidRPr="00170247">
        <w:rPr>
          <w:rFonts w:cstheme="minorHAnsi"/>
          <w:u w:val="single"/>
        </w:rPr>
        <w:t>Experience required</w:t>
      </w:r>
      <w:r w:rsidRPr="00170247">
        <w:rPr>
          <w:rFonts w:cstheme="minorHAnsi"/>
        </w:rPr>
        <w:t>:</w:t>
      </w:r>
    </w:p>
    <w:p w:rsidR="001E1C08" w:rsidRDefault="001E1C08" w:rsidP="001E1C08">
      <w:pPr>
        <w:pStyle w:val="ListParagraph"/>
        <w:numPr>
          <w:ilvl w:val="0"/>
          <w:numId w:val="10"/>
        </w:numPr>
        <w:spacing w:after="60" w:line="240" w:lineRule="auto"/>
        <w:ind w:left="284" w:hanging="284"/>
      </w:pPr>
      <w:bookmarkStart w:id="1" w:name="_Hlk5097925"/>
      <w:r w:rsidRPr="00D00B4E">
        <w:t xml:space="preserve">At least </w:t>
      </w:r>
      <w:r>
        <w:t>3</w:t>
      </w:r>
      <w:r w:rsidRPr="00D00B4E">
        <w:t xml:space="preserve"> years of relevant experience </w:t>
      </w:r>
      <w:proofErr w:type="gramStart"/>
      <w:r w:rsidRPr="00D00B4E">
        <w:t>in the area of</w:t>
      </w:r>
      <w:proofErr w:type="gramEnd"/>
      <w:r w:rsidRPr="00D00B4E">
        <w:t xml:space="preserve"> </w:t>
      </w:r>
      <w:r>
        <w:t>antimicrobial resistance, antimicrobial stewardship</w:t>
      </w:r>
      <w:r w:rsidR="00170247">
        <w:t>,</w:t>
      </w:r>
      <w:r>
        <w:t xml:space="preserve"> rational use of medicines</w:t>
      </w:r>
      <w:r w:rsidR="00170247">
        <w:t xml:space="preserve"> or </w:t>
      </w:r>
      <w:r w:rsidR="0063783D">
        <w:t>an</w:t>
      </w:r>
      <w:r w:rsidR="00170247">
        <w:t>other related field</w:t>
      </w:r>
      <w:r w:rsidRPr="00D00B4E">
        <w:t>.</w:t>
      </w:r>
    </w:p>
    <w:p w:rsidR="00170247" w:rsidRDefault="00170247" w:rsidP="00170247">
      <w:pPr>
        <w:pStyle w:val="ListParagraph"/>
        <w:numPr>
          <w:ilvl w:val="0"/>
          <w:numId w:val="10"/>
        </w:numPr>
        <w:spacing w:after="60" w:line="240" w:lineRule="auto"/>
        <w:ind w:left="284" w:hanging="284"/>
      </w:pPr>
      <w:r>
        <w:t>Experience working in an international context desirable</w:t>
      </w:r>
    </w:p>
    <w:p w:rsidR="000C4017" w:rsidRPr="00170247" w:rsidRDefault="001E1C08" w:rsidP="00170247">
      <w:pPr>
        <w:pStyle w:val="ListParagraph"/>
        <w:numPr>
          <w:ilvl w:val="0"/>
          <w:numId w:val="10"/>
        </w:numPr>
        <w:spacing w:after="60" w:line="240" w:lineRule="auto"/>
        <w:ind w:left="284" w:hanging="284"/>
      </w:pPr>
      <w:r w:rsidRPr="00170247">
        <w:rPr>
          <w:rFonts w:cstheme="minorHAnsi"/>
        </w:rPr>
        <w:t xml:space="preserve">Good </w:t>
      </w:r>
      <w:r w:rsidR="000C4017" w:rsidRPr="00170247">
        <w:rPr>
          <w:rFonts w:cstheme="minorHAnsi"/>
        </w:rPr>
        <w:t>knowle</w:t>
      </w:r>
      <w:r w:rsidR="00170247">
        <w:rPr>
          <w:rFonts w:cstheme="minorHAnsi"/>
        </w:rPr>
        <w:t>dge of antimicrobial resistance and its risk factors</w:t>
      </w:r>
    </w:p>
    <w:p w:rsidR="00E9376C" w:rsidRPr="000C4017" w:rsidRDefault="00E9376C" w:rsidP="000C4017">
      <w:pPr>
        <w:pStyle w:val="ListParagraph"/>
        <w:numPr>
          <w:ilvl w:val="0"/>
          <w:numId w:val="10"/>
        </w:numPr>
        <w:spacing w:after="0" w:line="240" w:lineRule="auto"/>
        <w:ind w:left="360"/>
        <w:rPr>
          <w:rFonts w:cstheme="minorHAnsi"/>
          <w:lang w:val="en-US"/>
        </w:rPr>
      </w:pPr>
      <w:r w:rsidRPr="000C4017">
        <w:rPr>
          <w:rFonts w:cstheme="minorHAnsi"/>
          <w:lang w:val="en-US"/>
        </w:rPr>
        <w:t>Ability to work independently and in a team</w:t>
      </w:r>
    </w:p>
    <w:p w:rsidR="00E9376C" w:rsidRPr="000C4017" w:rsidRDefault="00E9376C" w:rsidP="000C4017">
      <w:pPr>
        <w:pStyle w:val="ListParagraph"/>
        <w:numPr>
          <w:ilvl w:val="0"/>
          <w:numId w:val="10"/>
        </w:numPr>
        <w:spacing w:after="0" w:line="240" w:lineRule="auto"/>
        <w:ind w:left="360"/>
        <w:rPr>
          <w:rFonts w:cstheme="minorHAnsi"/>
          <w:lang w:val="en-US"/>
        </w:rPr>
      </w:pPr>
      <w:r w:rsidRPr="000C4017">
        <w:rPr>
          <w:rFonts w:cstheme="minorHAnsi"/>
          <w:lang w:val="en-US"/>
        </w:rPr>
        <w:t>Ability to work under press</w:t>
      </w:r>
      <w:r w:rsidR="000C4017">
        <w:rPr>
          <w:rFonts w:cstheme="minorHAnsi"/>
          <w:lang w:val="en-US"/>
        </w:rPr>
        <w:t>ure with conflicting priorities</w:t>
      </w:r>
    </w:p>
    <w:p w:rsidR="00E9376C" w:rsidRPr="000C4017" w:rsidRDefault="00E9376C" w:rsidP="000C4017">
      <w:pPr>
        <w:pStyle w:val="ListParagraph"/>
        <w:numPr>
          <w:ilvl w:val="0"/>
          <w:numId w:val="10"/>
        </w:numPr>
        <w:spacing w:after="0" w:line="240" w:lineRule="auto"/>
        <w:ind w:left="360"/>
        <w:rPr>
          <w:rFonts w:cstheme="minorHAnsi"/>
          <w:lang w:val="en-US"/>
        </w:rPr>
      </w:pPr>
      <w:r w:rsidRPr="000C4017">
        <w:rPr>
          <w:rFonts w:cstheme="minorHAnsi"/>
          <w:lang w:val="en-US"/>
        </w:rPr>
        <w:t>Excellent interpersonal and communication skills</w:t>
      </w:r>
    </w:p>
    <w:p w:rsidR="00E9376C" w:rsidRPr="000C4017" w:rsidRDefault="00E9376C" w:rsidP="000C4017">
      <w:pPr>
        <w:pStyle w:val="ListParagraph"/>
        <w:numPr>
          <w:ilvl w:val="0"/>
          <w:numId w:val="10"/>
        </w:numPr>
        <w:spacing w:after="0" w:line="240" w:lineRule="auto"/>
        <w:ind w:left="360"/>
        <w:rPr>
          <w:rFonts w:cstheme="minorHAnsi"/>
          <w:lang w:val="en-US"/>
        </w:rPr>
      </w:pPr>
      <w:r w:rsidRPr="000C4017">
        <w:rPr>
          <w:rFonts w:cstheme="minorHAnsi"/>
          <w:lang w:val="en-US"/>
        </w:rPr>
        <w:t>Computer literacy (Word, Excel, power point etc.)</w:t>
      </w:r>
    </w:p>
    <w:bookmarkEnd w:id="1"/>
    <w:p w:rsidR="000C4017" w:rsidRPr="000C4017" w:rsidRDefault="000C4017" w:rsidP="000C4017">
      <w:pPr>
        <w:pStyle w:val="ListParagraph"/>
        <w:spacing w:after="0" w:line="240" w:lineRule="auto"/>
        <w:rPr>
          <w:rFonts w:asciiTheme="majorBidi" w:hAnsiTheme="majorBidi" w:cstheme="majorBidi"/>
          <w:lang w:val="en-US"/>
        </w:rPr>
      </w:pPr>
    </w:p>
    <w:p w:rsidR="00116A84" w:rsidRDefault="004B7773" w:rsidP="00116A84">
      <w:pPr>
        <w:spacing w:after="60" w:line="240" w:lineRule="auto"/>
        <w:rPr>
          <w:rFonts w:cstheme="minorHAnsi"/>
        </w:rPr>
      </w:pPr>
      <w:r w:rsidRPr="009439E6">
        <w:rPr>
          <w:rFonts w:cstheme="minorHAnsi"/>
          <w:u w:val="single"/>
        </w:rPr>
        <w:t>Language requirements</w:t>
      </w:r>
      <w:r>
        <w:rPr>
          <w:rFonts w:cstheme="minorHAnsi"/>
        </w:rPr>
        <w:t>:</w:t>
      </w:r>
    </w:p>
    <w:p w:rsidR="009439E6" w:rsidRPr="000C4017" w:rsidRDefault="005C1DAB" w:rsidP="005C1DAB">
      <w:pPr>
        <w:pStyle w:val="ListParagraph"/>
        <w:numPr>
          <w:ilvl w:val="0"/>
          <w:numId w:val="12"/>
        </w:numPr>
        <w:spacing w:after="60" w:line="240" w:lineRule="auto"/>
        <w:ind w:left="284" w:hanging="284"/>
        <w:rPr>
          <w:rFonts w:cstheme="minorHAnsi"/>
        </w:rPr>
      </w:pPr>
      <w:bookmarkStart w:id="2" w:name="_Hlk5097983"/>
      <w:r w:rsidRPr="000C4017">
        <w:rPr>
          <w:rFonts w:cstheme="minorHAnsi"/>
        </w:rPr>
        <w:t>English – proficient (reading, writing, speaking)</w:t>
      </w:r>
    </w:p>
    <w:bookmarkEnd w:id="2"/>
    <w:p w:rsidR="005C1DAB" w:rsidRPr="005C1DAB" w:rsidRDefault="005C1DAB" w:rsidP="005C1DAB">
      <w:pPr>
        <w:pStyle w:val="ListParagraph"/>
        <w:spacing w:after="60" w:line="240" w:lineRule="auto"/>
        <w:rPr>
          <w:rFonts w:cstheme="minorHAnsi"/>
          <w:sz w:val="20"/>
          <w:szCs w:val="20"/>
        </w:rPr>
      </w:pPr>
    </w:p>
    <w:p w:rsidR="00DD12DB" w:rsidRPr="00C65C62" w:rsidRDefault="00DD12DB" w:rsidP="00DD12DB">
      <w:pPr>
        <w:pStyle w:val="ListParagraph"/>
        <w:numPr>
          <w:ilvl w:val="0"/>
          <w:numId w:val="1"/>
        </w:numPr>
        <w:spacing w:after="60" w:line="240" w:lineRule="auto"/>
        <w:rPr>
          <w:rFonts w:cstheme="minorHAnsi"/>
          <w:b/>
          <w:bCs/>
        </w:rPr>
      </w:pPr>
      <w:r w:rsidRPr="00C65C62">
        <w:rPr>
          <w:rFonts w:cstheme="minorHAnsi"/>
          <w:b/>
          <w:bCs/>
        </w:rPr>
        <w:t>Place of assignment</w:t>
      </w:r>
    </w:p>
    <w:p w:rsidR="005C1DAB" w:rsidRPr="00C65C62" w:rsidRDefault="00C122F6" w:rsidP="005C1DAB">
      <w:pPr>
        <w:spacing w:after="60"/>
        <w:rPr>
          <w:rFonts w:cstheme="minorHAnsi"/>
        </w:rPr>
      </w:pPr>
      <w:r>
        <w:rPr>
          <w:rFonts w:cstheme="minorHAnsi"/>
        </w:rPr>
        <w:t>Geneva, Switzerland</w:t>
      </w:r>
    </w:p>
    <w:p w:rsidR="00B62B08" w:rsidRPr="00C65C62" w:rsidRDefault="00B62B08" w:rsidP="00B62B08">
      <w:pPr>
        <w:pStyle w:val="ListParagraph"/>
        <w:numPr>
          <w:ilvl w:val="0"/>
          <w:numId w:val="1"/>
        </w:numPr>
        <w:spacing w:after="60" w:line="240" w:lineRule="auto"/>
        <w:rPr>
          <w:rFonts w:cstheme="minorHAnsi"/>
        </w:rPr>
      </w:pPr>
      <w:r w:rsidRPr="00C65C62">
        <w:rPr>
          <w:rFonts w:cstheme="minorHAnsi"/>
          <w:b/>
          <w:bCs/>
        </w:rPr>
        <w:lastRenderedPageBreak/>
        <w:t>Medical clearance</w:t>
      </w:r>
      <w:r w:rsidRPr="00C65C62">
        <w:rPr>
          <w:rFonts w:cstheme="minorHAnsi"/>
        </w:rPr>
        <w:t xml:space="preserve"> </w:t>
      </w:r>
    </w:p>
    <w:p w:rsidR="00B62B08" w:rsidRPr="00C65C62" w:rsidRDefault="00B62B08" w:rsidP="00B62B08">
      <w:pPr>
        <w:spacing w:after="60" w:line="240" w:lineRule="auto"/>
        <w:rPr>
          <w:rFonts w:cstheme="minorHAnsi"/>
        </w:rPr>
      </w:pPr>
      <w:r w:rsidRPr="00C65C62">
        <w:rPr>
          <w:rFonts w:cstheme="minorHAnsi"/>
        </w:rPr>
        <w:t>The selected Consultant will be expected to provide a medical certificate of fitness for work.</w:t>
      </w:r>
    </w:p>
    <w:p w:rsidR="00DD12DB" w:rsidRPr="00C65C62" w:rsidRDefault="00DD12DB" w:rsidP="00DD12DB">
      <w:pPr>
        <w:pStyle w:val="ListParagraph"/>
        <w:numPr>
          <w:ilvl w:val="0"/>
          <w:numId w:val="1"/>
        </w:numPr>
        <w:spacing w:after="60" w:line="240" w:lineRule="auto"/>
        <w:rPr>
          <w:rFonts w:cstheme="minorHAnsi"/>
          <w:b/>
          <w:bCs/>
        </w:rPr>
      </w:pPr>
      <w:r w:rsidRPr="00C65C62">
        <w:rPr>
          <w:rFonts w:cstheme="minorHAnsi"/>
          <w:b/>
          <w:bCs/>
        </w:rPr>
        <w:t>Travel</w:t>
      </w:r>
    </w:p>
    <w:p w:rsidR="00DD12DB" w:rsidRPr="00C65C62" w:rsidRDefault="00C65C62" w:rsidP="00C65C62">
      <w:pPr>
        <w:spacing w:after="60" w:line="240" w:lineRule="auto"/>
        <w:rPr>
          <w:rFonts w:cstheme="minorHAnsi"/>
        </w:rPr>
      </w:pPr>
      <w:r w:rsidRPr="00C65C62">
        <w:rPr>
          <w:rFonts w:cstheme="minorHAnsi"/>
        </w:rPr>
        <w:t xml:space="preserve">Dependent on </w:t>
      </w:r>
      <w:r w:rsidR="0063783D">
        <w:rPr>
          <w:rFonts w:cstheme="minorHAnsi"/>
        </w:rPr>
        <w:t xml:space="preserve">the </w:t>
      </w:r>
      <w:r w:rsidRPr="00C65C62">
        <w:rPr>
          <w:rFonts w:cstheme="minorHAnsi"/>
        </w:rPr>
        <w:t>specific assignment of the consultancy</w:t>
      </w:r>
    </w:p>
    <w:p w:rsidR="00C65C62" w:rsidRDefault="00C65C62" w:rsidP="00C65C62">
      <w:pPr>
        <w:spacing w:after="60" w:line="240" w:lineRule="auto"/>
        <w:rPr>
          <w:rFonts w:cstheme="minorHAnsi"/>
        </w:rPr>
      </w:pPr>
    </w:p>
    <w:p w:rsidR="009E5FD1" w:rsidRPr="00E9376C" w:rsidRDefault="00E9376C" w:rsidP="00C05E37">
      <w:pPr>
        <w:spacing w:after="60" w:line="240" w:lineRule="auto"/>
        <w:rPr>
          <w:rFonts w:cstheme="minorHAnsi"/>
          <w:iCs/>
        </w:rPr>
      </w:pPr>
      <w:r>
        <w:rPr>
          <w:rFonts w:cstheme="minorHAnsi"/>
          <w:iCs/>
        </w:rPr>
        <w:t>If travel is required, a</w:t>
      </w:r>
      <w:r w:rsidR="009E5FD1" w:rsidRPr="00E9376C">
        <w:rPr>
          <w:rFonts w:cstheme="minorHAnsi"/>
          <w:iCs/>
        </w:rPr>
        <w:t xml:space="preserve">ll </w:t>
      </w:r>
      <w:r w:rsidR="009E5FD1" w:rsidRPr="00E9376C">
        <w:rPr>
          <w:rFonts w:cstheme="minorHAnsi"/>
          <w:b/>
          <w:bCs/>
          <w:iCs/>
        </w:rPr>
        <w:t>travel arrangements</w:t>
      </w:r>
      <w:r w:rsidR="009E5FD1" w:rsidRPr="00E9376C">
        <w:rPr>
          <w:rFonts w:cstheme="minorHAnsi"/>
          <w:iCs/>
        </w:rPr>
        <w:t xml:space="preserve"> will be made by WHO – WHO will not be responsible for tickets purchased by the Consultant without the express, prior authorization of WHO. While on </w:t>
      </w:r>
      <w:r w:rsidR="0063783D">
        <w:rPr>
          <w:rFonts w:cstheme="minorHAnsi"/>
          <w:iCs/>
        </w:rPr>
        <w:t xml:space="preserve">a </w:t>
      </w:r>
      <w:r w:rsidR="009E5FD1" w:rsidRPr="00E9376C">
        <w:rPr>
          <w:rFonts w:cstheme="minorHAnsi"/>
          <w:iCs/>
        </w:rPr>
        <w:t xml:space="preserve">mission under the terms of this consultancy, the Consultant will receive </w:t>
      </w:r>
      <w:r w:rsidR="009E5FD1" w:rsidRPr="00E9376C">
        <w:rPr>
          <w:rFonts w:cstheme="minorHAnsi"/>
          <w:b/>
          <w:bCs/>
          <w:iCs/>
        </w:rPr>
        <w:t>subsistence allowance</w:t>
      </w:r>
      <w:r w:rsidR="00C05E37" w:rsidRPr="00E9376C">
        <w:rPr>
          <w:rFonts w:cstheme="minorHAnsi"/>
          <w:iCs/>
        </w:rPr>
        <w:t>.</w:t>
      </w:r>
    </w:p>
    <w:p w:rsidR="009E5FD1" w:rsidRPr="00E9376C" w:rsidRDefault="009E5FD1" w:rsidP="009E5FD1">
      <w:pPr>
        <w:spacing w:after="60" w:line="240" w:lineRule="auto"/>
        <w:rPr>
          <w:rFonts w:cstheme="minorHAnsi"/>
          <w:iCs/>
        </w:rPr>
      </w:pPr>
      <w:r w:rsidRPr="00E9376C">
        <w:rPr>
          <w:rFonts w:cstheme="minorHAnsi"/>
          <w:iCs/>
        </w:rPr>
        <w:t xml:space="preserve">Visas requirements: it is the consultant’s responsibility to fulfil </w:t>
      </w:r>
      <w:r w:rsidRPr="00E9376C">
        <w:rPr>
          <w:rFonts w:cstheme="minorHAnsi"/>
          <w:b/>
          <w:bCs/>
          <w:iCs/>
        </w:rPr>
        <w:t>visa requirements</w:t>
      </w:r>
      <w:r w:rsidR="0063783D">
        <w:rPr>
          <w:rFonts w:cstheme="minorHAnsi"/>
          <w:iCs/>
        </w:rPr>
        <w:t xml:space="preserve"> and ask for </w:t>
      </w:r>
      <w:bookmarkStart w:id="3" w:name="_GoBack"/>
      <w:bookmarkEnd w:id="3"/>
      <w:r w:rsidR="0063783D">
        <w:rPr>
          <w:rFonts w:cstheme="minorHAnsi"/>
          <w:iCs/>
        </w:rPr>
        <w:t xml:space="preserve">a </w:t>
      </w:r>
      <w:r w:rsidRPr="00E9376C">
        <w:rPr>
          <w:rFonts w:cstheme="minorHAnsi"/>
          <w:iCs/>
        </w:rPr>
        <w:t>visa support letter(s) if needed.</w:t>
      </w:r>
    </w:p>
    <w:p w:rsidR="009E5FD1" w:rsidRPr="00E9376C" w:rsidRDefault="009E5FD1" w:rsidP="009E5FD1">
      <w:pPr>
        <w:spacing w:after="60" w:line="240" w:lineRule="auto"/>
        <w:rPr>
          <w:rFonts w:cstheme="minorHAnsi"/>
        </w:rPr>
      </w:pPr>
    </w:p>
    <w:p w:rsidR="00544172" w:rsidRPr="00E9376C" w:rsidRDefault="00E9376C" w:rsidP="00E9376C">
      <w:pPr>
        <w:pStyle w:val="ListParagraph"/>
        <w:numPr>
          <w:ilvl w:val="0"/>
          <w:numId w:val="1"/>
        </w:numPr>
        <w:spacing w:after="60" w:line="240" w:lineRule="auto"/>
        <w:rPr>
          <w:rFonts w:cstheme="minorHAnsi"/>
          <w:b/>
        </w:rPr>
      </w:pPr>
      <w:r w:rsidRPr="00E9376C">
        <w:rPr>
          <w:rFonts w:cstheme="minorHAnsi"/>
          <w:b/>
        </w:rPr>
        <w:t>Additional information</w:t>
      </w:r>
    </w:p>
    <w:p w:rsidR="00E9376C" w:rsidRDefault="00E9376C" w:rsidP="00E9376C">
      <w:pPr>
        <w:spacing w:after="60" w:line="240" w:lineRule="auto"/>
        <w:rPr>
          <w:rFonts w:cstheme="minorHAnsi"/>
        </w:rPr>
      </w:pPr>
      <w:r w:rsidRPr="00E9376C">
        <w:rPr>
          <w:rFonts w:cstheme="minorHAnsi"/>
        </w:rPr>
        <w:t>The consultant daily rates will be based on the WHO consultant rates</w:t>
      </w:r>
      <w:r w:rsidR="00C122F6">
        <w:rPr>
          <w:rFonts w:cstheme="minorHAnsi"/>
        </w:rPr>
        <w:t xml:space="preserve"> for P2/P3</w:t>
      </w:r>
      <w:r w:rsidRPr="00E9376C">
        <w:rPr>
          <w:rFonts w:cstheme="minorHAnsi"/>
        </w:rPr>
        <w:t>.</w:t>
      </w:r>
    </w:p>
    <w:p w:rsidR="005A28DB" w:rsidRDefault="005A28DB" w:rsidP="00E9376C">
      <w:pPr>
        <w:spacing w:after="60" w:line="240" w:lineRule="auto"/>
        <w:rPr>
          <w:rFonts w:cstheme="minorHAnsi"/>
        </w:rPr>
      </w:pPr>
    </w:p>
    <w:p w:rsidR="005A28DB" w:rsidRPr="005A28DB" w:rsidRDefault="005A28DB" w:rsidP="005A28DB">
      <w:pPr>
        <w:rPr>
          <w:rFonts w:cstheme="minorHAnsi"/>
          <w:b/>
        </w:rPr>
      </w:pPr>
      <w:r w:rsidRPr="005A28DB">
        <w:rPr>
          <w:rFonts w:cstheme="minorHAnsi"/>
          <w:b/>
        </w:rPr>
        <w:t>Please submit</w:t>
      </w:r>
      <w:r w:rsidR="000229A7">
        <w:rPr>
          <w:rFonts w:cstheme="minorHAnsi"/>
          <w:b/>
        </w:rPr>
        <w:t xml:space="preserve"> the</w:t>
      </w:r>
      <w:r w:rsidRPr="005A28DB">
        <w:rPr>
          <w:rFonts w:cstheme="minorHAnsi"/>
          <w:b/>
        </w:rPr>
        <w:t xml:space="preserve"> following documents to </w:t>
      </w:r>
      <w:hyperlink r:id="rId11" w:history="1">
        <w:r w:rsidRPr="005A28DB">
          <w:rPr>
            <w:rStyle w:val="Hyperlink"/>
            <w:rFonts w:cstheme="minorHAnsi"/>
            <w:b/>
          </w:rPr>
          <w:t>iauinfo@who.int</w:t>
        </w:r>
      </w:hyperlink>
      <w:r w:rsidRPr="005A28DB">
        <w:rPr>
          <w:rFonts w:cstheme="minorHAnsi"/>
          <w:b/>
        </w:rPr>
        <w:t xml:space="preserve"> by</w:t>
      </w:r>
      <w:r w:rsidR="00152547">
        <w:rPr>
          <w:rFonts w:cstheme="minorHAnsi"/>
          <w:b/>
        </w:rPr>
        <w:t xml:space="preserve"> </w:t>
      </w:r>
      <w:r w:rsidR="00477957">
        <w:rPr>
          <w:rFonts w:cstheme="minorHAnsi"/>
          <w:b/>
        </w:rPr>
        <w:t xml:space="preserve">19 </w:t>
      </w:r>
      <w:r w:rsidR="00152547">
        <w:rPr>
          <w:rFonts w:cstheme="minorHAnsi"/>
          <w:b/>
        </w:rPr>
        <w:t>July</w:t>
      </w:r>
      <w:r w:rsidRPr="005A28DB">
        <w:rPr>
          <w:rFonts w:cstheme="minorHAnsi"/>
          <w:b/>
        </w:rPr>
        <w:t xml:space="preserve"> 2019 </w:t>
      </w:r>
      <w:r w:rsidR="000229A7">
        <w:rPr>
          <w:rFonts w:cstheme="minorHAnsi"/>
          <w:b/>
        </w:rPr>
        <w:t>17.00 Geneva time.</w:t>
      </w:r>
    </w:p>
    <w:p w:rsidR="005A28DB" w:rsidRPr="005A28DB" w:rsidRDefault="005A28DB" w:rsidP="005A28DB">
      <w:pPr>
        <w:numPr>
          <w:ilvl w:val="0"/>
          <w:numId w:val="17"/>
        </w:numPr>
        <w:spacing w:after="0" w:line="240" w:lineRule="auto"/>
        <w:rPr>
          <w:rFonts w:eastAsia="Times New Roman" w:cstheme="minorHAnsi"/>
        </w:rPr>
      </w:pPr>
      <w:r w:rsidRPr="005A28DB">
        <w:rPr>
          <w:rFonts w:eastAsia="Times New Roman" w:cstheme="minorHAnsi"/>
        </w:rPr>
        <w:t>Expression of interest (cover letter) that includes proposed consultancy fee (per day) and availability</w:t>
      </w:r>
    </w:p>
    <w:p w:rsidR="005A28DB" w:rsidRPr="005A28DB" w:rsidRDefault="006D2AD9" w:rsidP="005A28DB">
      <w:pPr>
        <w:numPr>
          <w:ilvl w:val="0"/>
          <w:numId w:val="17"/>
        </w:numPr>
        <w:spacing w:after="0" w:line="240" w:lineRule="auto"/>
        <w:rPr>
          <w:rFonts w:eastAsia="Times New Roman" w:cstheme="minorHAnsi"/>
        </w:rPr>
      </w:pPr>
      <w:r>
        <w:rPr>
          <w:rFonts w:eastAsia="Times New Roman" w:cstheme="minorHAnsi"/>
        </w:rPr>
        <w:t xml:space="preserve">WHO </w:t>
      </w:r>
      <w:proofErr w:type="spellStart"/>
      <w:r>
        <w:rPr>
          <w:rFonts w:eastAsia="Times New Roman" w:cstheme="minorHAnsi"/>
        </w:rPr>
        <w:t>S</w:t>
      </w:r>
      <w:r w:rsidR="005A28DB" w:rsidRPr="005A28DB">
        <w:rPr>
          <w:rFonts w:eastAsia="Times New Roman" w:cstheme="minorHAnsi"/>
        </w:rPr>
        <w:t>tellis</w:t>
      </w:r>
      <w:proofErr w:type="spellEnd"/>
      <w:r w:rsidR="005A28DB" w:rsidRPr="005A28DB">
        <w:rPr>
          <w:rFonts w:eastAsia="Times New Roman" w:cstheme="minorHAnsi"/>
        </w:rPr>
        <w:t xml:space="preserve"> profile or CV</w:t>
      </w:r>
    </w:p>
    <w:p w:rsidR="005A28DB" w:rsidRPr="005A28DB" w:rsidRDefault="005A28DB" w:rsidP="005A28DB">
      <w:pPr>
        <w:numPr>
          <w:ilvl w:val="0"/>
          <w:numId w:val="17"/>
        </w:numPr>
        <w:spacing w:after="0" w:line="240" w:lineRule="auto"/>
        <w:rPr>
          <w:rFonts w:eastAsia="Times New Roman" w:cstheme="minorHAnsi"/>
        </w:rPr>
      </w:pPr>
      <w:r w:rsidRPr="005A28DB">
        <w:rPr>
          <w:rFonts w:eastAsia="Times New Roman" w:cstheme="minorHAnsi"/>
        </w:rPr>
        <w:t>Please note that the application may be closed before the indicated closing date if a sufficient number of applications are received</w:t>
      </w:r>
    </w:p>
    <w:p w:rsidR="005A28DB" w:rsidRDefault="005A28DB" w:rsidP="005A28DB">
      <w:pPr>
        <w:numPr>
          <w:ilvl w:val="0"/>
          <w:numId w:val="17"/>
        </w:numPr>
        <w:spacing w:after="0" w:line="240" w:lineRule="auto"/>
        <w:rPr>
          <w:rFonts w:cstheme="minorHAnsi"/>
        </w:rPr>
      </w:pPr>
      <w:r w:rsidRPr="005A28DB">
        <w:rPr>
          <w:rFonts w:eastAsia="Times New Roman" w:cstheme="minorHAnsi"/>
        </w:rPr>
        <w:t xml:space="preserve">Only the successful candidates will be contacted </w:t>
      </w:r>
    </w:p>
    <w:p w:rsidR="000229A7" w:rsidRPr="000229A7" w:rsidRDefault="000229A7" w:rsidP="000229A7">
      <w:pPr>
        <w:spacing w:after="0" w:line="240" w:lineRule="auto"/>
        <w:ind w:left="720"/>
        <w:rPr>
          <w:rFonts w:cstheme="minorHAnsi"/>
        </w:rPr>
      </w:pPr>
    </w:p>
    <w:p w:rsidR="005A28DB" w:rsidRPr="00FF71A5" w:rsidRDefault="005A28DB" w:rsidP="005A28DB">
      <w:pPr>
        <w:spacing w:after="0" w:line="240" w:lineRule="auto"/>
        <w:rPr>
          <w:rFonts w:ascii="Times New Roman" w:hAnsi="Times New Roman"/>
        </w:rPr>
      </w:pPr>
    </w:p>
    <w:p w:rsidR="005A28DB" w:rsidRPr="00E9376C" w:rsidRDefault="005A28DB" w:rsidP="00E9376C">
      <w:pPr>
        <w:spacing w:after="60" w:line="240" w:lineRule="auto"/>
        <w:rPr>
          <w:rFonts w:cstheme="minorHAnsi"/>
        </w:rPr>
      </w:pPr>
    </w:p>
    <w:p w:rsidR="00544172" w:rsidRDefault="00544172" w:rsidP="009E5FD1">
      <w:pPr>
        <w:spacing w:after="60" w:line="240" w:lineRule="auto"/>
        <w:rPr>
          <w:rFonts w:cstheme="minorHAnsi"/>
        </w:rPr>
      </w:pPr>
    </w:p>
    <w:sectPr w:rsidR="00544172" w:rsidSect="000004D1">
      <w:footerReference w:type="default" r:id="rId12"/>
      <w:pgSz w:w="11906" w:h="16838"/>
      <w:pgMar w:top="1134" w:right="1021" w:bottom="102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105FE" w:rsidRDefault="00B105FE" w:rsidP="00116345">
      <w:pPr>
        <w:spacing w:after="0" w:line="240" w:lineRule="auto"/>
      </w:pPr>
      <w:r>
        <w:separator/>
      </w:r>
    </w:p>
  </w:endnote>
  <w:endnote w:type="continuationSeparator" w:id="0">
    <w:p w:rsidR="00B105FE" w:rsidRDefault="00B105FE" w:rsidP="001163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 w:name="Helvetica">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16345" w:rsidRDefault="00116345" w:rsidP="00051998">
    <w:pPr>
      <w:pStyle w:val="Footer"/>
      <w:jc w:val="right"/>
      <w:rPr>
        <w:b/>
        <w:bCs/>
        <w:color w:val="808080" w:themeColor="background1" w:themeShade="80"/>
        <w:sz w:val="14"/>
        <w:szCs w:val="14"/>
      </w:rPr>
    </w:pPr>
    <w:r w:rsidRPr="00116345">
      <w:rPr>
        <w:b/>
        <w:bCs/>
        <w:color w:val="808080" w:themeColor="background1" w:themeShade="80"/>
        <w:sz w:val="14"/>
        <w:szCs w:val="14"/>
      </w:rPr>
      <w:t>Consultants_TermsOfReferenceTemplate_Version</w:t>
    </w:r>
    <w:r w:rsidR="00051998">
      <w:rPr>
        <w:b/>
        <w:bCs/>
        <w:color w:val="808080" w:themeColor="background1" w:themeShade="80"/>
        <w:sz w:val="14"/>
        <w:szCs w:val="14"/>
      </w:rPr>
      <w:t>2</w:t>
    </w:r>
    <w:r w:rsidRPr="00116345">
      <w:rPr>
        <w:b/>
        <w:bCs/>
        <w:color w:val="808080" w:themeColor="background1" w:themeShade="80"/>
        <w:sz w:val="14"/>
        <w:szCs w:val="14"/>
      </w:rPr>
      <w:t>_201</w:t>
    </w:r>
    <w:r w:rsidR="00051998">
      <w:rPr>
        <w:b/>
        <w:bCs/>
        <w:color w:val="808080" w:themeColor="background1" w:themeShade="80"/>
        <w:sz w:val="14"/>
        <w:szCs w:val="14"/>
      </w:rPr>
      <w:t>60329</w:t>
    </w:r>
    <w:r>
      <w:rPr>
        <w:b/>
        <w:bCs/>
        <w:color w:val="808080" w:themeColor="background1" w:themeShade="80"/>
        <w:sz w:val="14"/>
        <w:szCs w:val="14"/>
      </w:rPr>
      <w:t xml:space="preserve">  </w:t>
    </w:r>
  </w:p>
  <w:p w:rsidR="00116345" w:rsidRPr="00116345" w:rsidRDefault="00116345" w:rsidP="00116345">
    <w:pPr>
      <w:pStyle w:val="Footer"/>
      <w:jc w:val="right"/>
      <w:rPr>
        <w:b/>
        <w:bCs/>
        <w:color w:val="808080" w:themeColor="background1" w:themeShade="80"/>
        <w:sz w:val="14"/>
        <w:szCs w:val="14"/>
      </w:rPr>
    </w:pPr>
    <w:r w:rsidRPr="00116345">
      <w:rPr>
        <w:b/>
        <w:bCs/>
        <w:color w:val="808080" w:themeColor="background1" w:themeShade="80"/>
        <w:spacing w:val="60"/>
        <w:sz w:val="14"/>
        <w:szCs w:val="14"/>
      </w:rPr>
      <w:t>Page</w:t>
    </w:r>
    <w:r w:rsidRPr="00116345">
      <w:rPr>
        <w:b/>
        <w:bCs/>
        <w:color w:val="808080" w:themeColor="background1" w:themeShade="80"/>
        <w:sz w:val="14"/>
        <w:szCs w:val="14"/>
      </w:rPr>
      <w:t xml:space="preserve"> | </w:t>
    </w:r>
    <w:r w:rsidRPr="00116345">
      <w:rPr>
        <w:b/>
        <w:bCs/>
        <w:color w:val="808080" w:themeColor="background1" w:themeShade="80"/>
        <w:sz w:val="14"/>
        <w:szCs w:val="14"/>
      </w:rPr>
      <w:fldChar w:fldCharType="begin"/>
    </w:r>
    <w:r w:rsidRPr="00116345">
      <w:rPr>
        <w:b/>
        <w:bCs/>
        <w:color w:val="808080" w:themeColor="background1" w:themeShade="80"/>
        <w:sz w:val="14"/>
        <w:szCs w:val="14"/>
      </w:rPr>
      <w:instrText xml:space="preserve"> PAGE   \* MERGEFORMAT </w:instrText>
    </w:r>
    <w:r w:rsidRPr="00116345">
      <w:rPr>
        <w:b/>
        <w:bCs/>
        <w:color w:val="808080" w:themeColor="background1" w:themeShade="80"/>
        <w:sz w:val="14"/>
        <w:szCs w:val="14"/>
      </w:rPr>
      <w:fldChar w:fldCharType="separate"/>
    </w:r>
    <w:r w:rsidR="00C95A05">
      <w:rPr>
        <w:b/>
        <w:bCs/>
        <w:noProof/>
        <w:color w:val="808080" w:themeColor="background1" w:themeShade="80"/>
        <w:sz w:val="14"/>
        <w:szCs w:val="14"/>
      </w:rPr>
      <w:t>2</w:t>
    </w:r>
    <w:r w:rsidRPr="00116345">
      <w:rPr>
        <w:b/>
        <w:bCs/>
        <w:noProof/>
        <w:color w:val="808080" w:themeColor="background1" w:themeShade="80"/>
        <w:sz w:val="14"/>
        <w:szCs w:val="14"/>
      </w:rPr>
      <w:fldChar w:fldCharType="end"/>
    </w:r>
  </w:p>
  <w:p w:rsidR="00116345" w:rsidRDefault="0011634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105FE" w:rsidRDefault="00B105FE" w:rsidP="00116345">
      <w:pPr>
        <w:spacing w:after="0" w:line="240" w:lineRule="auto"/>
      </w:pPr>
      <w:r>
        <w:separator/>
      </w:r>
    </w:p>
  </w:footnote>
  <w:footnote w:type="continuationSeparator" w:id="0">
    <w:p w:rsidR="00B105FE" w:rsidRDefault="00B105FE" w:rsidP="00116345">
      <w:pPr>
        <w:spacing w:after="0" w:line="240" w:lineRule="auto"/>
      </w:pPr>
      <w:r>
        <w:continuationSeparator/>
      </w:r>
    </w:p>
  </w:footnote>
  <w:footnote w:id="1">
    <w:p w:rsidR="001E7D3A" w:rsidRPr="00CC241B" w:rsidRDefault="001E7D3A" w:rsidP="001E7D3A">
      <w:pPr>
        <w:pStyle w:val="FootnoteText"/>
        <w:rPr>
          <w:rFonts w:asciiTheme="majorHAnsi" w:hAnsiTheme="majorHAnsi"/>
          <w:sz w:val="18"/>
          <w:szCs w:val="18"/>
        </w:rPr>
      </w:pPr>
      <w:r w:rsidRPr="00091AD4">
        <w:rPr>
          <w:rStyle w:val="FootnoteReference"/>
          <w:rFonts w:asciiTheme="majorHAnsi" w:hAnsiTheme="majorHAnsi"/>
          <w:sz w:val="18"/>
          <w:szCs w:val="18"/>
        </w:rPr>
        <w:footnoteRef/>
      </w:r>
      <w:r w:rsidRPr="00091AD4">
        <w:rPr>
          <w:rFonts w:asciiTheme="majorHAnsi" w:hAnsiTheme="majorHAnsi"/>
          <w:sz w:val="18"/>
          <w:szCs w:val="18"/>
        </w:rPr>
        <w:t xml:space="preserve"> Global Action Plan on Antimicrobial </w:t>
      </w:r>
      <w:r w:rsidRPr="00CC241B">
        <w:rPr>
          <w:rFonts w:asciiTheme="majorHAnsi" w:hAnsiTheme="majorHAnsi"/>
          <w:sz w:val="18"/>
          <w:szCs w:val="18"/>
        </w:rPr>
        <w:t xml:space="preserve">Resistance. </w:t>
      </w:r>
      <w:r w:rsidRPr="0030056C">
        <w:rPr>
          <w:rFonts w:asciiTheme="majorHAnsi" w:hAnsiTheme="majorHAnsi"/>
          <w:sz w:val="18"/>
          <w:szCs w:val="18"/>
        </w:rPr>
        <w:t>Geneva: World Health Organization; 2015</w:t>
      </w:r>
    </w:p>
  </w:footnote>
  <w:footnote w:id="2">
    <w:p w:rsidR="001E7D3A" w:rsidRPr="00091AD4" w:rsidRDefault="001E7D3A" w:rsidP="001E7D3A">
      <w:pPr>
        <w:pStyle w:val="FootnoteText"/>
        <w:rPr>
          <w:rFonts w:asciiTheme="majorHAnsi" w:hAnsiTheme="majorHAnsi"/>
          <w:sz w:val="18"/>
          <w:szCs w:val="18"/>
        </w:rPr>
      </w:pPr>
      <w:r w:rsidRPr="0030056C">
        <w:rPr>
          <w:rStyle w:val="FootnoteReference"/>
          <w:rFonts w:asciiTheme="majorHAnsi" w:hAnsiTheme="majorHAnsi"/>
          <w:sz w:val="18"/>
          <w:szCs w:val="18"/>
        </w:rPr>
        <w:footnoteRef/>
      </w:r>
      <w:r w:rsidRPr="0030056C">
        <w:rPr>
          <w:rStyle w:val="FootnoteReference"/>
        </w:rPr>
        <w:t xml:space="preserve"> </w:t>
      </w:r>
      <w:r w:rsidRPr="0030056C">
        <w:rPr>
          <w:rFonts w:asciiTheme="majorHAnsi" w:hAnsiTheme="majorHAnsi"/>
          <w:sz w:val="18"/>
          <w:szCs w:val="18"/>
        </w:rPr>
        <w:t>Political Declaration of the High-Level Meeting of the General Assembly on Antimicrobial Resistance. New York: United Nations; 2016</w:t>
      </w:r>
    </w:p>
  </w:footnote>
  <w:footnote w:id="3">
    <w:p w:rsidR="00A76992" w:rsidRPr="0063783D" w:rsidRDefault="00A76992">
      <w:pPr>
        <w:pStyle w:val="FootnoteText"/>
      </w:pPr>
      <w:r>
        <w:rPr>
          <w:rStyle w:val="FootnoteReference"/>
        </w:rPr>
        <w:footnoteRef/>
      </w:r>
      <w:r w:rsidRPr="0063783D">
        <w:t xml:space="preserve"> </w:t>
      </w:r>
      <w:r w:rsidRPr="0063783D">
        <w:t>https://www.who.int/antimicrobial-resistance/interagency-coordination-group/en/</w:t>
      </w:r>
    </w:p>
  </w:footnote>
  <w:footnote w:id="4">
    <w:p w:rsidR="001E7D3A" w:rsidRPr="00091AD4" w:rsidRDefault="001E7D3A" w:rsidP="001E7D3A">
      <w:pPr>
        <w:pStyle w:val="FootnoteText"/>
        <w:rPr>
          <w:rFonts w:asciiTheme="majorHAnsi" w:hAnsiTheme="majorHAnsi"/>
          <w:sz w:val="18"/>
          <w:szCs w:val="18"/>
        </w:rPr>
      </w:pPr>
      <w:r w:rsidRPr="0030056C">
        <w:rPr>
          <w:rStyle w:val="FootnoteReference"/>
          <w:rFonts w:asciiTheme="majorHAnsi" w:hAnsiTheme="majorHAnsi"/>
          <w:sz w:val="18"/>
          <w:szCs w:val="18"/>
        </w:rPr>
        <w:footnoteRef/>
      </w:r>
      <w:r w:rsidRPr="0063783D">
        <w:rPr>
          <w:rStyle w:val="FootnoteReference"/>
        </w:rPr>
        <w:t xml:space="preserve"> </w:t>
      </w:r>
      <w:r w:rsidRPr="0063783D">
        <w:rPr>
          <w:rFonts w:asciiTheme="majorHAnsi" w:hAnsiTheme="majorHAnsi"/>
          <w:sz w:val="18"/>
          <w:szCs w:val="18"/>
        </w:rPr>
        <w:t xml:space="preserve">Dyar et al. </w:t>
      </w:r>
      <w:r w:rsidRPr="00091AD4">
        <w:rPr>
          <w:rFonts w:asciiTheme="majorHAnsi" w:hAnsiTheme="majorHAnsi"/>
          <w:sz w:val="18"/>
          <w:szCs w:val="18"/>
        </w:rPr>
        <w:t xml:space="preserve">What is antimicrobial stewardship? </w:t>
      </w:r>
      <w:proofErr w:type="spellStart"/>
      <w:r w:rsidRPr="00091AD4">
        <w:rPr>
          <w:rFonts w:asciiTheme="majorHAnsi" w:hAnsiTheme="majorHAnsi"/>
          <w:sz w:val="18"/>
          <w:szCs w:val="18"/>
        </w:rPr>
        <w:t>Clin</w:t>
      </w:r>
      <w:proofErr w:type="spellEnd"/>
      <w:r w:rsidRPr="00091AD4">
        <w:rPr>
          <w:rFonts w:asciiTheme="majorHAnsi" w:hAnsiTheme="majorHAnsi"/>
          <w:sz w:val="18"/>
          <w:szCs w:val="18"/>
        </w:rPr>
        <w:t xml:space="preserve"> </w:t>
      </w:r>
      <w:proofErr w:type="spellStart"/>
      <w:r w:rsidRPr="00091AD4">
        <w:rPr>
          <w:rFonts w:asciiTheme="majorHAnsi" w:hAnsiTheme="majorHAnsi"/>
          <w:sz w:val="18"/>
          <w:szCs w:val="18"/>
        </w:rPr>
        <w:t>Micorbiol</w:t>
      </w:r>
      <w:proofErr w:type="spellEnd"/>
      <w:r w:rsidRPr="00091AD4">
        <w:rPr>
          <w:rFonts w:asciiTheme="majorHAnsi" w:hAnsiTheme="majorHAnsi"/>
          <w:sz w:val="18"/>
          <w:szCs w:val="18"/>
        </w:rPr>
        <w:t xml:space="preserve"> In</w:t>
      </w:r>
      <w:r>
        <w:rPr>
          <w:rFonts w:asciiTheme="majorHAnsi" w:hAnsiTheme="majorHAnsi"/>
          <w:sz w:val="18"/>
          <w:szCs w:val="18"/>
        </w:rPr>
        <w:t>fect 2017;</w:t>
      </w:r>
      <w:r w:rsidRPr="00091AD4">
        <w:rPr>
          <w:rFonts w:asciiTheme="majorHAnsi" w:hAnsiTheme="majorHAnsi"/>
          <w:sz w:val="18"/>
          <w:szCs w:val="18"/>
        </w:rPr>
        <w:t xml:space="preserve"> </w:t>
      </w:r>
      <w:proofErr w:type="spellStart"/>
      <w:r w:rsidRPr="0030056C">
        <w:rPr>
          <w:rFonts w:asciiTheme="majorHAnsi" w:hAnsiTheme="majorHAnsi"/>
          <w:sz w:val="18"/>
          <w:szCs w:val="18"/>
        </w:rPr>
        <w:t>doi</w:t>
      </w:r>
      <w:proofErr w:type="spellEnd"/>
      <w:r w:rsidRPr="0030056C">
        <w:rPr>
          <w:rFonts w:asciiTheme="majorHAnsi" w:hAnsiTheme="majorHAnsi"/>
          <w:sz w:val="18"/>
          <w:szCs w:val="18"/>
        </w:rPr>
        <w:t>: 10.1016/j.cmi.2017.08.026</w:t>
      </w:r>
    </w:p>
  </w:footnote>
  <w:footnote w:id="5">
    <w:p w:rsidR="001E7D3A" w:rsidRPr="00091AD4" w:rsidRDefault="001E7D3A" w:rsidP="001E7D3A">
      <w:pPr>
        <w:pStyle w:val="FootnoteText"/>
        <w:rPr>
          <w:rFonts w:asciiTheme="majorHAnsi" w:hAnsiTheme="majorHAnsi"/>
          <w:sz w:val="18"/>
          <w:szCs w:val="18"/>
        </w:rPr>
      </w:pPr>
      <w:r w:rsidRPr="0030056C">
        <w:rPr>
          <w:rStyle w:val="FootnoteReference"/>
          <w:rFonts w:asciiTheme="majorHAnsi" w:hAnsiTheme="majorHAnsi"/>
          <w:sz w:val="18"/>
          <w:szCs w:val="18"/>
        </w:rPr>
        <w:footnoteRef/>
      </w:r>
      <w:r w:rsidRPr="0030056C">
        <w:rPr>
          <w:rStyle w:val="FootnoteReference"/>
        </w:rPr>
        <w:t xml:space="preserve"> </w:t>
      </w:r>
      <w:proofErr w:type="spellStart"/>
      <w:r w:rsidRPr="00091AD4">
        <w:rPr>
          <w:rFonts w:asciiTheme="majorHAnsi" w:hAnsiTheme="majorHAnsi"/>
          <w:sz w:val="18"/>
          <w:szCs w:val="18"/>
        </w:rPr>
        <w:t>Dellit</w:t>
      </w:r>
      <w:proofErr w:type="spellEnd"/>
      <w:r w:rsidRPr="00091AD4">
        <w:rPr>
          <w:rFonts w:asciiTheme="majorHAnsi" w:hAnsiTheme="majorHAnsi"/>
          <w:sz w:val="18"/>
          <w:szCs w:val="18"/>
        </w:rPr>
        <w:t xml:space="preserve"> TH et al. IDSA/ SHEA Guidelines for developing an institutional program to enhance antimicrobial stewardship. </w:t>
      </w:r>
      <w:proofErr w:type="spellStart"/>
      <w:r w:rsidRPr="00091AD4">
        <w:rPr>
          <w:rFonts w:asciiTheme="majorHAnsi" w:hAnsiTheme="majorHAnsi"/>
          <w:sz w:val="18"/>
          <w:szCs w:val="18"/>
        </w:rPr>
        <w:t>Clin</w:t>
      </w:r>
      <w:proofErr w:type="spellEnd"/>
      <w:r w:rsidRPr="00091AD4">
        <w:rPr>
          <w:rFonts w:asciiTheme="majorHAnsi" w:hAnsiTheme="majorHAnsi"/>
          <w:sz w:val="18"/>
          <w:szCs w:val="18"/>
        </w:rPr>
        <w:t xml:space="preserve"> Infect Dis 2007</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0F7CEF"/>
    <w:multiLevelType w:val="hybridMultilevel"/>
    <w:tmpl w:val="5B3ED7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C419C0"/>
    <w:multiLevelType w:val="hybridMultilevel"/>
    <w:tmpl w:val="1FA420C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0B8170F"/>
    <w:multiLevelType w:val="hybridMultilevel"/>
    <w:tmpl w:val="8F88F8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93B1ACD"/>
    <w:multiLevelType w:val="hybridMultilevel"/>
    <w:tmpl w:val="C06472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D5A1114"/>
    <w:multiLevelType w:val="hybridMultilevel"/>
    <w:tmpl w:val="2056E9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38F2371"/>
    <w:multiLevelType w:val="hybridMultilevel"/>
    <w:tmpl w:val="A5005AF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3E840A59"/>
    <w:multiLevelType w:val="hybridMultilevel"/>
    <w:tmpl w:val="66F89086"/>
    <w:lvl w:ilvl="0" w:tplc="08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059458D"/>
    <w:multiLevelType w:val="hybridMultilevel"/>
    <w:tmpl w:val="D18699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60856BC"/>
    <w:multiLevelType w:val="hybridMultilevel"/>
    <w:tmpl w:val="79ECE20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51586DF6"/>
    <w:multiLevelType w:val="hybridMultilevel"/>
    <w:tmpl w:val="141CC47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8614A5B"/>
    <w:multiLevelType w:val="hybridMultilevel"/>
    <w:tmpl w:val="CFD6BADE"/>
    <w:lvl w:ilvl="0" w:tplc="08090001">
      <w:start w:val="1"/>
      <w:numFmt w:val="bullet"/>
      <w:lvlText w:val=""/>
      <w:lvlJc w:val="left"/>
      <w:pPr>
        <w:ind w:left="-981" w:hanging="360"/>
      </w:pPr>
      <w:rPr>
        <w:rFonts w:ascii="Symbol" w:hAnsi="Symbol" w:hint="default"/>
      </w:rPr>
    </w:lvl>
    <w:lvl w:ilvl="1" w:tplc="08090003" w:tentative="1">
      <w:start w:val="1"/>
      <w:numFmt w:val="bullet"/>
      <w:lvlText w:val="o"/>
      <w:lvlJc w:val="left"/>
      <w:pPr>
        <w:ind w:left="-261" w:hanging="360"/>
      </w:pPr>
      <w:rPr>
        <w:rFonts w:ascii="Courier New" w:hAnsi="Courier New" w:cs="Courier New" w:hint="default"/>
      </w:rPr>
    </w:lvl>
    <w:lvl w:ilvl="2" w:tplc="08090005" w:tentative="1">
      <w:start w:val="1"/>
      <w:numFmt w:val="bullet"/>
      <w:lvlText w:val=""/>
      <w:lvlJc w:val="left"/>
      <w:pPr>
        <w:ind w:left="459" w:hanging="360"/>
      </w:pPr>
      <w:rPr>
        <w:rFonts w:ascii="Wingdings" w:hAnsi="Wingdings" w:hint="default"/>
      </w:rPr>
    </w:lvl>
    <w:lvl w:ilvl="3" w:tplc="08090001" w:tentative="1">
      <w:start w:val="1"/>
      <w:numFmt w:val="bullet"/>
      <w:lvlText w:val=""/>
      <w:lvlJc w:val="left"/>
      <w:pPr>
        <w:ind w:left="1179" w:hanging="360"/>
      </w:pPr>
      <w:rPr>
        <w:rFonts w:ascii="Symbol" w:hAnsi="Symbol" w:hint="default"/>
      </w:rPr>
    </w:lvl>
    <w:lvl w:ilvl="4" w:tplc="08090003" w:tentative="1">
      <w:start w:val="1"/>
      <w:numFmt w:val="bullet"/>
      <w:lvlText w:val="o"/>
      <w:lvlJc w:val="left"/>
      <w:pPr>
        <w:ind w:left="1899" w:hanging="360"/>
      </w:pPr>
      <w:rPr>
        <w:rFonts w:ascii="Courier New" w:hAnsi="Courier New" w:cs="Courier New" w:hint="default"/>
      </w:rPr>
    </w:lvl>
    <w:lvl w:ilvl="5" w:tplc="08090005" w:tentative="1">
      <w:start w:val="1"/>
      <w:numFmt w:val="bullet"/>
      <w:lvlText w:val=""/>
      <w:lvlJc w:val="left"/>
      <w:pPr>
        <w:ind w:left="2619" w:hanging="360"/>
      </w:pPr>
      <w:rPr>
        <w:rFonts w:ascii="Wingdings" w:hAnsi="Wingdings" w:hint="default"/>
      </w:rPr>
    </w:lvl>
    <w:lvl w:ilvl="6" w:tplc="08090001" w:tentative="1">
      <w:start w:val="1"/>
      <w:numFmt w:val="bullet"/>
      <w:lvlText w:val=""/>
      <w:lvlJc w:val="left"/>
      <w:pPr>
        <w:ind w:left="3339" w:hanging="360"/>
      </w:pPr>
      <w:rPr>
        <w:rFonts w:ascii="Symbol" w:hAnsi="Symbol" w:hint="default"/>
      </w:rPr>
    </w:lvl>
    <w:lvl w:ilvl="7" w:tplc="08090003" w:tentative="1">
      <w:start w:val="1"/>
      <w:numFmt w:val="bullet"/>
      <w:lvlText w:val="o"/>
      <w:lvlJc w:val="left"/>
      <w:pPr>
        <w:ind w:left="4059" w:hanging="360"/>
      </w:pPr>
      <w:rPr>
        <w:rFonts w:ascii="Courier New" w:hAnsi="Courier New" w:cs="Courier New" w:hint="default"/>
      </w:rPr>
    </w:lvl>
    <w:lvl w:ilvl="8" w:tplc="08090005" w:tentative="1">
      <w:start w:val="1"/>
      <w:numFmt w:val="bullet"/>
      <w:lvlText w:val=""/>
      <w:lvlJc w:val="left"/>
      <w:pPr>
        <w:ind w:left="4779" w:hanging="360"/>
      </w:pPr>
      <w:rPr>
        <w:rFonts w:ascii="Wingdings" w:hAnsi="Wingdings" w:hint="default"/>
      </w:rPr>
    </w:lvl>
  </w:abstractNum>
  <w:abstractNum w:abstractNumId="11" w15:restartNumberingAfterBreak="0">
    <w:nsid w:val="6BF73003"/>
    <w:multiLevelType w:val="hybridMultilevel"/>
    <w:tmpl w:val="62F81EF8"/>
    <w:lvl w:ilvl="0" w:tplc="68A0306A">
      <w:start w:val="1"/>
      <w:numFmt w:val="decimal"/>
      <w:lvlText w:val="%1."/>
      <w:lvlJc w:val="left"/>
      <w:pPr>
        <w:ind w:left="720" w:hanging="360"/>
      </w:pPr>
      <w:rPr>
        <w:b/>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6E6143F3"/>
    <w:multiLevelType w:val="hybridMultilevel"/>
    <w:tmpl w:val="FF3419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72F97B9C"/>
    <w:multiLevelType w:val="hybridMultilevel"/>
    <w:tmpl w:val="FA9AA8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36C3FBD"/>
    <w:multiLevelType w:val="hybridMultilevel"/>
    <w:tmpl w:val="CC764486"/>
    <w:lvl w:ilvl="0" w:tplc="68A0306A">
      <w:start w:val="1"/>
      <w:numFmt w:val="decimal"/>
      <w:lvlText w:val="%1."/>
      <w:lvlJc w:val="left"/>
      <w:pPr>
        <w:ind w:left="360" w:hanging="360"/>
      </w:pPr>
      <w:rPr>
        <w:b/>
        <w:bCs/>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5" w15:restartNumberingAfterBreak="0">
    <w:nsid w:val="78BF0F02"/>
    <w:multiLevelType w:val="hybridMultilevel"/>
    <w:tmpl w:val="035649A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78D42E50"/>
    <w:multiLevelType w:val="hybridMultilevel"/>
    <w:tmpl w:val="5232A16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7D950548"/>
    <w:multiLevelType w:val="hybridMultilevel"/>
    <w:tmpl w:val="9C3C2318"/>
    <w:lvl w:ilvl="0" w:tplc="08090001">
      <w:start w:val="1"/>
      <w:numFmt w:val="bullet"/>
      <w:lvlText w:val=""/>
      <w:lvlJc w:val="left"/>
      <w:pPr>
        <w:ind w:left="720" w:hanging="360"/>
      </w:pPr>
      <w:rPr>
        <w:rFonts w:ascii="Symbol" w:hAnsi="Symbol" w:hint="default"/>
      </w:rPr>
    </w:lvl>
    <w:lvl w:ilvl="1" w:tplc="D134319A">
      <w:start w:val="3"/>
      <w:numFmt w:val="bullet"/>
      <w:lvlText w:val="•"/>
      <w:lvlJc w:val="left"/>
      <w:pPr>
        <w:ind w:left="1800" w:hanging="720"/>
      </w:pPr>
      <w:rPr>
        <w:rFonts w:ascii="Arial" w:eastAsia="Times New Roman" w:hAnsi="Arial" w:cs="Arial"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abstractNumId w:val="14"/>
  </w:num>
  <w:num w:numId="2">
    <w:abstractNumId w:val="16"/>
  </w:num>
  <w:num w:numId="3">
    <w:abstractNumId w:val="8"/>
  </w:num>
  <w:num w:numId="4">
    <w:abstractNumId w:val="1"/>
  </w:num>
  <w:num w:numId="5">
    <w:abstractNumId w:val="15"/>
  </w:num>
  <w:num w:numId="6">
    <w:abstractNumId w:val="5"/>
  </w:num>
  <w:num w:numId="7">
    <w:abstractNumId w:val="11"/>
  </w:num>
  <w:num w:numId="8">
    <w:abstractNumId w:val="3"/>
  </w:num>
  <w:num w:numId="9">
    <w:abstractNumId w:val="0"/>
  </w:num>
  <w:num w:numId="10">
    <w:abstractNumId w:val="13"/>
  </w:num>
  <w:num w:numId="11">
    <w:abstractNumId w:val="10"/>
  </w:num>
  <w:num w:numId="12">
    <w:abstractNumId w:val="2"/>
  </w:num>
  <w:num w:numId="13">
    <w:abstractNumId w:val="4"/>
  </w:num>
  <w:num w:numId="14">
    <w:abstractNumId w:val="7"/>
  </w:num>
  <w:num w:numId="15">
    <w:abstractNumId w:val="12"/>
  </w:num>
  <w:num w:numId="16">
    <w:abstractNumId w:val="9"/>
  </w:num>
  <w:num w:numId="17">
    <w:abstractNumId w:val="17"/>
  </w:num>
  <w:num w:numId="1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hideSpellingErrors/>
  <w:hideGrammaticalErrors/>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0tDAzNzQ0MDQzMrU0M7FU0lEKTi0uzszPAykwqgUAgqDEtCwAAAA="/>
  </w:docVars>
  <w:rsids>
    <w:rsidRoot w:val="000004D1"/>
    <w:rsid w:val="000004D1"/>
    <w:rsid w:val="000229A7"/>
    <w:rsid w:val="00044831"/>
    <w:rsid w:val="00051998"/>
    <w:rsid w:val="000C4017"/>
    <w:rsid w:val="00114DCC"/>
    <w:rsid w:val="00116345"/>
    <w:rsid w:val="00116A84"/>
    <w:rsid w:val="00152547"/>
    <w:rsid w:val="00170247"/>
    <w:rsid w:val="00173AF4"/>
    <w:rsid w:val="001E1C08"/>
    <w:rsid w:val="001E7D3A"/>
    <w:rsid w:val="002B5A93"/>
    <w:rsid w:val="003345D1"/>
    <w:rsid w:val="00361ACA"/>
    <w:rsid w:val="003D7C02"/>
    <w:rsid w:val="003E37BD"/>
    <w:rsid w:val="00477957"/>
    <w:rsid w:val="004B5B76"/>
    <w:rsid w:val="004B7773"/>
    <w:rsid w:val="004E35BA"/>
    <w:rsid w:val="00544172"/>
    <w:rsid w:val="005A28DB"/>
    <w:rsid w:val="005C1DAB"/>
    <w:rsid w:val="0063783D"/>
    <w:rsid w:val="006D2AD9"/>
    <w:rsid w:val="006F337D"/>
    <w:rsid w:val="00776931"/>
    <w:rsid w:val="00795363"/>
    <w:rsid w:val="007A17C0"/>
    <w:rsid w:val="007A21A2"/>
    <w:rsid w:val="007B1A21"/>
    <w:rsid w:val="009439E6"/>
    <w:rsid w:val="009E5FD1"/>
    <w:rsid w:val="00A11483"/>
    <w:rsid w:val="00A1764C"/>
    <w:rsid w:val="00A30CC2"/>
    <w:rsid w:val="00A41380"/>
    <w:rsid w:val="00A76992"/>
    <w:rsid w:val="00AF20FC"/>
    <w:rsid w:val="00B105FE"/>
    <w:rsid w:val="00B62B08"/>
    <w:rsid w:val="00C05E37"/>
    <w:rsid w:val="00C122F6"/>
    <w:rsid w:val="00C34B59"/>
    <w:rsid w:val="00C65C62"/>
    <w:rsid w:val="00C95A05"/>
    <w:rsid w:val="00D01B3C"/>
    <w:rsid w:val="00D17763"/>
    <w:rsid w:val="00DD12DB"/>
    <w:rsid w:val="00E9376C"/>
    <w:rsid w:val="00E960D3"/>
    <w:rsid w:val="00EB5484"/>
    <w:rsid w:val="00F900CD"/>
    <w:rsid w:val="00FB7873"/>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057E24A"/>
  <w15:docId w15:val="{A749E989-2DA5-4F48-82D5-FA4E6A3376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004D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04D1"/>
    <w:rPr>
      <w:rFonts w:ascii="Tahoma" w:hAnsi="Tahoma" w:cs="Tahoma"/>
      <w:sz w:val="16"/>
      <w:szCs w:val="16"/>
    </w:rPr>
  </w:style>
  <w:style w:type="table" w:styleId="TableGrid">
    <w:name w:val="Table Grid"/>
    <w:basedOn w:val="TableNormal"/>
    <w:uiPriority w:val="59"/>
    <w:rsid w:val="000004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004D1"/>
    <w:pPr>
      <w:ind w:left="720"/>
      <w:contextualSpacing/>
    </w:pPr>
  </w:style>
  <w:style w:type="paragraph" w:styleId="Header">
    <w:name w:val="header"/>
    <w:basedOn w:val="Normal"/>
    <w:link w:val="HeaderChar"/>
    <w:uiPriority w:val="99"/>
    <w:unhideWhenUsed/>
    <w:rsid w:val="00116345"/>
    <w:pPr>
      <w:tabs>
        <w:tab w:val="center" w:pos="4513"/>
        <w:tab w:val="right" w:pos="9026"/>
      </w:tabs>
      <w:spacing w:after="0" w:line="240" w:lineRule="auto"/>
    </w:pPr>
  </w:style>
  <w:style w:type="character" w:customStyle="1" w:styleId="HeaderChar">
    <w:name w:val="Header Char"/>
    <w:basedOn w:val="DefaultParagraphFont"/>
    <w:link w:val="Header"/>
    <w:uiPriority w:val="99"/>
    <w:rsid w:val="00116345"/>
  </w:style>
  <w:style w:type="paragraph" w:styleId="Footer">
    <w:name w:val="footer"/>
    <w:basedOn w:val="Normal"/>
    <w:link w:val="FooterChar"/>
    <w:uiPriority w:val="99"/>
    <w:unhideWhenUsed/>
    <w:rsid w:val="00116345"/>
    <w:pPr>
      <w:tabs>
        <w:tab w:val="center" w:pos="4513"/>
        <w:tab w:val="right" w:pos="9026"/>
      </w:tabs>
      <w:spacing w:after="0" w:line="240" w:lineRule="auto"/>
    </w:pPr>
  </w:style>
  <w:style w:type="character" w:customStyle="1" w:styleId="FooterChar">
    <w:name w:val="Footer Char"/>
    <w:basedOn w:val="DefaultParagraphFont"/>
    <w:link w:val="Footer"/>
    <w:uiPriority w:val="99"/>
    <w:rsid w:val="00116345"/>
  </w:style>
  <w:style w:type="paragraph" w:styleId="FootnoteText">
    <w:name w:val="footnote text"/>
    <w:basedOn w:val="Normal"/>
    <w:link w:val="FootnoteTextChar"/>
    <w:uiPriority w:val="99"/>
    <w:semiHidden/>
    <w:unhideWhenUsed/>
    <w:rsid w:val="001E7D3A"/>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E7D3A"/>
    <w:rPr>
      <w:sz w:val="20"/>
      <w:szCs w:val="20"/>
    </w:rPr>
  </w:style>
  <w:style w:type="character" w:styleId="FootnoteReference">
    <w:name w:val="footnote reference"/>
    <w:basedOn w:val="DefaultParagraphFont"/>
    <w:uiPriority w:val="99"/>
    <w:semiHidden/>
    <w:unhideWhenUsed/>
    <w:rsid w:val="001E7D3A"/>
    <w:rPr>
      <w:vertAlign w:val="superscript"/>
    </w:rPr>
  </w:style>
  <w:style w:type="character" w:styleId="Hyperlink">
    <w:name w:val="Hyperlink"/>
    <w:basedOn w:val="DefaultParagraphFont"/>
    <w:uiPriority w:val="99"/>
    <w:unhideWhenUsed/>
    <w:rsid w:val="00C65C62"/>
    <w:rPr>
      <w:color w:val="0000FF" w:themeColor="hyperlink"/>
      <w:u w:val="single"/>
    </w:rPr>
  </w:style>
  <w:style w:type="character" w:styleId="UnresolvedMention">
    <w:name w:val="Unresolved Mention"/>
    <w:basedOn w:val="DefaultParagraphFont"/>
    <w:uiPriority w:val="99"/>
    <w:semiHidden/>
    <w:unhideWhenUsed/>
    <w:rsid w:val="00C65C62"/>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auinfo@who.int" TargetMode="External"/><Relationship Id="rId5" Type="http://schemas.openxmlformats.org/officeDocument/2006/relationships/webSettings" Target="webSettings.xml"/><Relationship Id="rId10" Type="http://schemas.openxmlformats.org/officeDocument/2006/relationships/hyperlink" Target="mailto:beyerp@who.int" TargetMode="External"/><Relationship Id="rId4" Type="http://schemas.openxmlformats.org/officeDocument/2006/relationships/settings" Target="settings.xml"/><Relationship Id="rId9" Type="http://schemas.openxmlformats.org/officeDocument/2006/relationships/hyperlink" Target="mailto:paulins@who.int"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99CD99-056D-4A1D-B3B2-828E4EEA1F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97</TotalTime>
  <Pages>3</Pages>
  <Words>932</Words>
  <Characters>5317</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World Health Organization</Company>
  <LinksUpToDate>false</LinksUpToDate>
  <CharactersWithSpaces>6237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PACQUETET, Elise</dc:creator>
  <cp:lastModifiedBy>KOTUR CORLISS, Sandra</cp:lastModifiedBy>
  <cp:revision>4</cp:revision>
  <cp:lastPrinted>2018-04-09T13:53:00Z</cp:lastPrinted>
  <dcterms:created xsi:type="dcterms:W3CDTF">2019-06-07T07:28:00Z</dcterms:created>
  <dcterms:modified xsi:type="dcterms:W3CDTF">2019-06-11T12:25:00Z</dcterms:modified>
</cp:coreProperties>
</file>