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4DCDE0" w14:textId="539B21F0" w:rsidR="00432A8F" w:rsidRDefault="00CE7B99" w:rsidP="00A609C5">
      <w:pPr>
        <w:pStyle w:val="Heading1"/>
      </w:pPr>
      <w:r>
        <w:t>Appel d’offre (individuel ou institutionnel) : C</w:t>
      </w:r>
      <w:r w:rsidR="005210C1" w:rsidRPr="007A6742">
        <w:t>onsultation pour</w:t>
      </w:r>
      <w:r w:rsidR="005D634F" w:rsidRPr="007A6742">
        <w:t xml:space="preserve"> </w:t>
      </w:r>
      <w:r w:rsidR="00676D5C" w:rsidRPr="007A6742">
        <w:t>l’amélioration de la prise en charge du jeune enfant dans les Etablissements d’accueil de la Petite Enfance (EPE)</w:t>
      </w:r>
      <w:bookmarkStart w:id="0" w:name="_Toc318763966"/>
      <w:bookmarkStart w:id="1" w:name="_Toc486943933"/>
    </w:p>
    <w:p w14:paraId="4B9E3019" w14:textId="4AC0AA30" w:rsidR="00432A8F" w:rsidRPr="00432A8F" w:rsidRDefault="008D3570" w:rsidP="00432A8F">
      <w:pPr>
        <w:pStyle w:val="Heading2"/>
      </w:pPr>
      <w:r w:rsidRPr="007A6742">
        <w:t>Contexte</w:t>
      </w:r>
      <w:bookmarkEnd w:id="0"/>
      <w:bookmarkEnd w:id="1"/>
    </w:p>
    <w:p w14:paraId="47D9BE54" w14:textId="683FED83" w:rsidR="00C329D1" w:rsidRPr="007A6742" w:rsidRDefault="006F35E0" w:rsidP="000E79FA">
      <w:pPr>
        <w:rPr>
          <w:rFonts w:asciiTheme="minorBidi" w:hAnsiTheme="minorBidi" w:cstheme="minorBidi"/>
        </w:rPr>
      </w:pPr>
      <w:r w:rsidRPr="007A6742">
        <w:t xml:space="preserve">Les </w:t>
      </w:r>
      <w:r w:rsidRPr="007A6742">
        <w:rPr>
          <w:color w:val="000000" w:themeColor="text1"/>
        </w:rPr>
        <w:t xml:space="preserve">Etablissements et centres d’accueil de la Petite Enfance (EPE), </w:t>
      </w:r>
      <w:r w:rsidRPr="007A6742">
        <w:t>placés sous</w:t>
      </w:r>
      <w:r w:rsidR="000E79FA" w:rsidRPr="007A6742">
        <w:t xml:space="preserve"> </w:t>
      </w:r>
      <w:r w:rsidR="007A3256" w:rsidRPr="007A6742">
        <w:t xml:space="preserve">le contrôle </w:t>
      </w:r>
      <w:r w:rsidR="007A3256" w:rsidRPr="007A6742">
        <w:rPr>
          <w:rFonts w:hint="cs"/>
          <w:rtl/>
        </w:rPr>
        <w:t xml:space="preserve"> </w:t>
      </w:r>
      <w:r w:rsidRPr="007A6742">
        <w:t xml:space="preserve"> </w:t>
      </w:r>
      <w:r w:rsidR="007A3256" w:rsidRPr="007A6742">
        <w:t xml:space="preserve">des services </w:t>
      </w:r>
      <w:r w:rsidR="00C66071" w:rsidRPr="007A6742">
        <w:t>déconcentrés du</w:t>
      </w:r>
      <w:r w:rsidRPr="007A6742">
        <w:t xml:space="preserve"> Ministère de la Solidarité, de la Famille et de la Condition de la Femme (MSNFCF) ont</w:t>
      </w:r>
      <w:r w:rsidRPr="007A6742">
        <w:rPr>
          <w:rFonts w:asciiTheme="minorBidi" w:hAnsiTheme="minorBidi" w:cstheme="minorBidi"/>
        </w:rPr>
        <w:t xml:space="preserve"> pour mission générale de veiller à la santé, à la sécurité, au </w:t>
      </w:r>
      <w:r w:rsidR="00C92705" w:rsidRPr="007A6742">
        <w:rPr>
          <w:rFonts w:asciiTheme="minorBidi" w:hAnsiTheme="minorBidi" w:cstheme="minorBidi"/>
        </w:rPr>
        <w:t>bien-</w:t>
      </w:r>
      <w:r w:rsidR="00C92705" w:rsidRPr="007A6742">
        <w:rPr>
          <w:rFonts w:asciiTheme="minorBidi" w:hAnsiTheme="minorBidi" w:cstheme="minorBidi"/>
          <w:color w:val="000000" w:themeColor="text1"/>
        </w:rPr>
        <w:t>être et au développement des</w:t>
      </w:r>
      <w:r w:rsidRPr="007A6742">
        <w:rPr>
          <w:rFonts w:asciiTheme="minorBidi" w:hAnsiTheme="minorBidi" w:cstheme="minorBidi"/>
          <w:color w:val="000000" w:themeColor="text1"/>
        </w:rPr>
        <w:t xml:space="preserve"> jeune</w:t>
      </w:r>
      <w:r w:rsidR="00C92705" w:rsidRPr="007A6742">
        <w:rPr>
          <w:rFonts w:asciiTheme="minorBidi" w:hAnsiTheme="minorBidi" w:cstheme="minorBidi"/>
          <w:color w:val="000000" w:themeColor="text1"/>
        </w:rPr>
        <w:t>s</w:t>
      </w:r>
      <w:r w:rsidRPr="007A6742">
        <w:rPr>
          <w:rFonts w:asciiTheme="minorBidi" w:hAnsiTheme="minorBidi" w:cstheme="minorBidi"/>
          <w:color w:val="000000" w:themeColor="text1"/>
        </w:rPr>
        <w:t xml:space="preserve"> enfant</w:t>
      </w:r>
      <w:r w:rsidR="00C92705" w:rsidRPr="007A6742">
        <w:rPr>
          <w:rFonts w:asciiTheme="minorBidi" w:hAnsiTheme="minorBidi" w:cstheme="minorBidi"/>
          <w:color w:val="000000" w:themeColor="text1"/>
        </w:rPr>
        <w:t>s</w:t>
      </w:r>
      <w:r w:rsidRPr="007A6742">
        <w:rPr>
          <w:rFonts w:asciiTheme="minorBidi" w:hAnsiTheme="minorBidi" w:cstheme="minorBidi"/>
          <w:color w:val="000000" w:themeColor="text1"/>
        </w:rPr>
        <w:t xml:space="preserve"> de </w:t>
      </w:r>
      <w:r w:rsidR="00BE421C">
        <w:rPr>
          <w:rFonts w:asciiTheme="minorBidi" w:hAnsiTheme="minorBidi" w:cstheme="minorBidi"/>
          <w:color w:val="000000" w:themeColor="text1"/>
        </w:rPr>
        <w:t xml:space="preserve">moins de cinq ans. Les EPE sont </w:t>
      </w:r>
      <w:proofErr w:type="gramStart"/>
      <w:r w:rsidR="00C92705" w:rsidRPr="007A6742">
        <w:rPr>
          <w:rFonts w:asciiTheme="minorBidi" w:hAnsiTheme="minorBidi" w:cstheme="minorBidi"/>
          <w:color w:val="000000" w:themeColor="text1"/>
        </w:rPr>
        <w:t>régulés</w:t>
      </w:r>
      <w:proofErr w:type="gramEnd"/>
      <w:r w:rsidRPr="007A6742">
        <w:rPr>
          <w:rFonts w:asciiTheme="minorBidi" w:hAnsiTheme="minorBidi" w:cstheme="minorBidi"/>
          <w:color w:val="000000" w:themeColor="text1"/>
        </w:rPr>
        <w:t xml:space="preserve"> conformément au </w:t>
      </w:r>
      <w:hyperlink r:id="rId8" w:history="1">
        <w:r w:rsidRPr="004D37B5">
          <w:rPr>
            <w:rStyle w:val="Hyperlink"/>
            <w:rFonts w:asciiTheme="minorBidi" w:hAnsiTheme="minorBidi" w:cstheme="minorBidi"/>
          </w:rPr>
          <w:t>Décret exécutif</w:t>
        </w:r>
        <w:r w:rsidRPr="004D37B5">
          <w:rPr>
            <w:rStyle w:val="Hyperlink"/>
            <w:rFonts w:asciiTheme="minorBidi" w:hAnsiTheme="minorBidi" w:cstheme="minorBidi"/>
            <w:vertAlign w:val="superscript"/>
          </w:rPr>
          <w:footnoteReference w:id="1"/>
        </w:r>
        <w:r w:rsidRPr="004D37B5">
          <w:rPr>
            <w:rStyle w:val="Hyperlink"/>
            <w:rFonts w:asciiTheme="minorBidi" w:hAnsiTheme="minorBidi" w:cstheme="minorBidi"/>
          </w:rPr>
          <w:t xml:space="preserve"> N°08-287</w:t>
        </w:r>
      </w:hyperlink>
      <w:r w:rsidRPr="007A6742">
        <w:rPr>
          <w:rFonts w:asciiTheme="minorBidi" w:hAnsiTheme="minorBidi" w:cstheme="minorBidi"/>
          <w:color w:val="000000" w:themeColor="text1"/>
        </w:rPr>
        <w:t xml:space="preserve"> </w:t>
      </w:r>
      <w:r w:rsidR="004D37B5">
        <w:rPr>
          <w:rFonts w:asciiTheme="minorBidi" w:hAnsiTheme="minorBidi" w:cstheme="minorBidi"/>
          <w:color w:val="000000" w:themeColor="text1"/>
        </w:rPr>
        <w:t xml:space="preserve">du 17 septembre 2008 </w:t>
      </w:r>
      <w:r w:rsidRPr="007A6742">
        <w:rPr>
          <w:rFonts w:asciiTheme="minorBidi" w:hAnsiTheme="minorBidi" w:cstheme="minorBidi"/>
          <w:color w:val="000000" w:themeColor="text1"/>
        </w:rPr>
        <w:t>fixant le</w:t>
      </w:r>
      <w:r w:rsidR="00C92705" w:rsidRPr="007A6742">
        <w:rPr>
          <w:rFonts w:asciiTheme="minorBidi" w:hAnsiTheme="minorBidi" w:cstheme="minorBidi"/>
          <w:color w:val="000000" w:themeColor="text1"/>
        </w:rPr>
        <w:t>ur condition de création</w:t>
      </w:r>
      <w:r w:rsidR="00C92705" w:rsidRPr="004D37B5">
        <w:rPr>
          <w:rFonts w:asciiTheme="minorBidi" w:hAnsiTheme="minorBidi" w:cstheme="minorBidi"/>
          <w:b/>
        </w:rPr>
        <w:t xml:space="preserve">, </w:t>
      </w:r>
      <w:r w:rsidR="00C92705" w:rsidRPr="004D37B5">
        <w:rPr>
          <w:rFonts w:asciiTheme="minorBidi" w:hAnsiTheme="minorBidi" w:cstheme="minorBidi"/>
        </w:rPr>
        <w:t xml:space="preserve">leur </w:t>
      </w:r>
      <w:r w:rsidRPr="004D37B5">
        <w:rPr>
          <w:rFonts w:asciiTheme="minorBidi" w:hAnsiTheme="minorBidi" w:cstheme="minorBidi"/>
        </w:rPr>
        <w:t>organisation, le</w:t>
      </w:r>
      <w:r w:rsidR="00C92705" w:rsidRPr="004D37B5">
        <w:rPr>
          <w:rFonts w:asciiTheme="minorBidi" w:hAnsiTheme="minorBidi" w:cstheme="minorBidi"/>
        </w:rPr>
        <w:t>ur</w:t>
      </w:r>
      <w:r w:rsidRPr="004D37B5">
        <w:rPr>
          <w:rFonts w:asciiTheme="minorBidi" w:hAnsiTheme="minorBidi" w:cstheme="minorBidi"/>
        </w:rPr>
        <w:t xml:space="preserve"> fonctionnement et le</w:t>
      </w:r>
      <w:r w:rsidR="00C92705" w:rsidRPr="004D37B5">
        <w:rPr>
          <w:rFonts w:asciiTheme="minorBidi" w:hAnsiTheme="minorBidi" w:cstheme="minorBidi"/>
        </w:rPr>
        <w:t>ur</w:t>
      </w:r>
      <w:r w:rsidRPr="004D37B5">
        <w:rPr>
          <w:rFonts w:asciiTheme="minorBidi" w:hAnsiTheme="minorBidi" w:cstheme="minorBidi"/>
        </w:rPr>
        <w:t xml:space="preserve"> contrôle.</w:t>
      </w:r>
      <w:r w:rsidR="00524815">
        <w:rPr>
          <w:rFonts w:asciiTheme="minorBidi" w:hAnsiTheme="minorBidi" w:cstheme="minorBidi"/>
        </w:rPr>
        <w:t xml:space="preserve"> En 2018, le nombre des EPE sur le territoire national</w:t>
      </w:r>
      <w:r w:rsidRPr="004D37B5">
        <w:rPr>
          <w:rFonts w:asciiTheme="minorBidi" w:hAnsiTheme="minorBidi" w:cstheme="minorBidi"/>
        </w:rPr>
        <w:t xml:space="preserve"> </w:t>
      </w:r>
      <w:r w:rsidR="00524815">
        <w:rPr>
          <w:rFonts w:asciiTheme="minorBidi" w:hAnsiTheme="minorBidi" w:cstheme="minorBidi"/>
        </w:rPr>
        <w:t xml:space="preserve">a atteint </w:t>
      </w:r>
      <w:r w:rsidR="004D37B5" w:rsidRPr="004D37B5">
        <w:rPr>
          <w:rFonts w:asciiTheme="minorBidi" w:hAnsiTheme="minorBidi" w:cstheme="minorBidi"/>
        </w:rPr>
        <w:t>2,4</w:t>
      </w:r>
      <w:r w:rsidR="00524815">
        <w:rPr>
          <w:rFonts w:asciiTheme="minorBidi" w:hAnsiTheme="minorBidi" w:cstheme="minorBidi"/>
        </w:rPr>
        <w:t>52</w:t>
      </w:r>
      <w:r w:rsidR="00556E87" w:rsidRPr="004D37B5">
        <w:rPr>
          <w:rFonts w:asciiTheme="minorBidi" w:hAnsiTheme="minorBidi" w:cstheme="minorBidi"/>
        </w:rPr>
        <w:t xml:space="preserve"> EPE </w:t>
      </w:r>
      <w:r w:rsidR="00556E87" w:rsidRPr="007A6742">
        <w:rPr>
          <w:rFonts w:asciiTheme="minorBidi" w:hAnsiTheme="minorBidi" w:cstheme="minorBidi"/>
          <w:color w:val="000000" w:themeColor="text1"/>
        </w:rPr>
        <w:t xml:space="preserve">qui comprennent </w:t>
      </w:r>
      <w:r w:rsidR="00556E87" w:rsidRPr="007A6742">
        <w:rPr>
          <w:color w:val="000000" w:themeColor="text1"/>
        </w:rPr>
        <w:t>i</w:t>
      </w:r>
      <w:r w:rsidRPr="007A6742">
        <w:rPr>
          <w:color w:val="000000" w:themeColor="text1"/>
        </w:rPr>
        <w:t>) l</w:t>
      </w:r>
      <w:r w:rsidR="00676D5C" w:rsidRPr="007A6742">
        <w:rPr>
          <w:color w:val="000000" w:themeColor="text1"/>
        </w:rPr>
        <w:t>es crèches qui accueillent de façon régulière des enfants âgés de 3 mois à 3 ans</w:t>
      </w:r>
      <w:r w:rsidRPr="007A6742">
        <w:rPr>
          <w:color w:val="000000" w:themeColor="text1"/>
        </w:rPr>
        <w:t xml:space="preserve">, </w:t>
      </w:r>
      <w:r w:rsidR="00556E87" w:rsidRPr="007A6742">
        <w:rPr>
          <w:color w:val="000000" w:themeColor="text1"/>
        </w:rPr>
        <w:t>ii</w:t>
      </w:r>
      <w:r w:rsidRPr="007A6742">
        <w:rPr>
          <w:color w:val="000000" w:themeColor="text1"/>
        </w:rPr>
        <w:t>) l</w:t>
      </w:r>
      <w:r w:rsidR="00676D5C" w:rsidRPr="007A6742">
        <w:rPr>
          <w:color w:val="000000" w:themeColor="text1"/>
        </w:rPr>
        <w:t xml:space="preserve">es jardins d’enfants qui accueillent de façon régulière des </w:t>
      </w:r>
      <w:r w:rsidR="00676D5C" w:rsidRPr="007A6742">
        <w:t>enfants âgés de 3 mois et plus</w:t>
      </w:r>
      <w:r w:rsidRPr="007A6742">
        <w:t xml:space="preserve">, </w:t>
      </w:r>
      <w:r w:rsidR="00556E87" w:rsidRPr="007A6742">
        <w:t>iii</w:t>
      </w:r>
      <w:r w:rsidRPr="007A6742">
        <w:t>) l</w:t>
      </w:r>
      <w:r w:rsidR="00676D5C" w:rsidRPr="007A6742">
        <w:t>es établissements « multi-accueil » qui s’adaptent aux besoins des parents (accueil régulier ou accueil occasionnel).</w:t>
      </w:r>
      <w:r w:rsidR="00BE421C">
        <w:t xml:space="preserve"> </w:t>
      </w:r>
      <w:r w:rsidR="006E70B0" w:rsidRPr="007A6742">
        <w:t>Leur r</w:t>
      </w:r>
      <w:r w:rsidR="00702DFD" w:rsidRPr="007A6742">
        <w:t>ôle</w:t>
      </w:r>
      <w:r w:rsidR="006E70B0" w:rsidRPr="007A6742">
        <w:t xml:space="preserve"> est d’</w:t>
      </w:r>
      <w:r w:rsidR="00C9123C" w:rsidRPr="007A6742">
        <w:rPr>
          <w:rFonts w:asciiTheme="minorBidi" w:hAnsiTheme="minorBidi" w:cstheme="minorBidi"/>
        </w:rPr>
        <w:t>assurer</w:t>
      </w:r>
      <w:r w:rsidR="00AB4DE7" w:rsidRPr="007A6742">
        <w:rPr>
          <w:rFonts w:asciiTheme="minorBidi" w:hAnsiTheme="minorBidi" w:cstheme="minorBidi"/>
        </w:rPr>
        <w:t xml:space="preserve"> l’accueil </w:t>
      </w:r>
      <w:r w:rsidR="00C92705" w:rsidRPr="007A6742">
        <w:rPr>
          <w:rFonts w:asciiTheme="minorBidi" w:hAnsiTheme="minorBidi" w:cstheme="minorBidi"/>
        </w:rPr>
        <w:t>des enfants</w:t>
      </w:r>
      <w:r w:rsidR="00AB4DE7" w:rsidRPr="007A6742">
        <w:rPr>
          <w:rFonts w:asciiTheme="minorBidi" w:hAnsiTheme="minorBidi" w:cstheme="minorBidi"/>
        </w:rPr>
        <w:t xml:space="preserve"> </w:t>
      </w:r>
      <w:r w:rsidR="002F203C" w:rsidRPr="007A6742">
        <w:rPr>
          <w:rFonts w:asciiTheme="minorBidi" w:hAnsiTheme="minorBidi" w:cstheme="minorBidi"/>
        </w:rPr>
        <w:t>en organisant</w:t>
      </w:r>
      <w:r w:rsidR="00AB4DE7" w:rsidRPr="007A6742">
        <w:rPr>
          <w:rFonts w:asciiTheme="minorBidi" w:hAnsiTheme="minorBidi" w:cstheme="minorBidi"/>
        </w:rPr>
        <w:t xml:space="preserve"> des ac</w:t>
      </w:r>
      <w:r w:rsidR="00C9123C" w:rsidRPr="007A6742">
        <w:rPr>
          <w:rFonts w:asciiTheme="minorBidi" w:hAnsiTheme="minorBidi" w:cstheme="minorBidi"/>
        </w:rPr>
        <w:t>tivités destinées à favoriser leur éducation, leur éveil et leur</w:t>
      </w:r>
      <w:r w:rsidR="00AB4DE7" w:rsidRPr="007A6742">
        <w:rPr>
          <w:rFonts w:asciiTheme="minorBidi" w:hAnsiTheme="minorBidi" w:cstheme="minorBidi"/>
        </w:rPr>
        <w:t xml:space="preserve"> socialisation</w:t>
      </w:r>
      <w:r w:rsidR="002C2FFB" w:rsidRPr="007A6742">
        <w:rPr>
          <w:rFonts w:asciiTheme="minorBidi" w:hAnsiTheme="minorBidi" w:cstheme="minorBidi"/>
        </w:rPr>
        <w:t xml:space="preserve">, </w:t>
      </w:r>
      <w:r w:rsidR="006E70B0" w:rsidRPr="007A6742">
        <w:rPr>
          <w:rFonts w:asciiTheme="minorBidi" w:hAnsiTheme="minorBidi" w:cstheme="minorBidi"/>
        </w:rPr>
        <w:t xml:space="preserve">de </w:t>
      </w:r>
      <w:r w:rsidR="00AB4DE7" w:rsidRPr="007A6742">
        <w:rPr>
          <w:rFonts w:asciiTheme="minorBidi" w:hAnsiTheme="minorBidi" w:cstheme="minorBidi"/>
        </w:rPr>
        <w:t>concourir à la prise en charge précoce et à l’intégration soc</w:t>
      </w:r>
      <w:r w:rsidR="00C9510C" w:rsidRPr="007A6742">
        <w:rPr>
          <w:rFonts w:asciiTheme="minorBidi" w:hAnsiTheme="minorBidi" w:cstheme="minorBidi"/>
        </w:rPr>
        <w:t xml:space="preserve">iale des enfants en situation de </w:t>
      </w:r>
      <w:r w:rsidR="00AB4DE7" w:rsidRPr="007A6742">
        <w:rPr>
          <w:rFonts w:asciiTheme="minorBidi" w:hAnsiTheme="minorBidi" w:cstheme="minorBidi"/>
        </w:rPr>
        <w:t>handicap ou atteints d’une</w:t>
      </w:r>
      <w:r w:rsidR="00C66071" w:rsidRPr="007A6742">
        <w:rPr>
          <w:rFonts w:asciiTheme="minorBidi" w:hAnsiTheme="minorBidi" w:cstheme="minorBidi"/>
        </w:rPr>
        <w:t xml:space="preserve"> maladie chronique</w:t>
      </w:r>
      <w:r w:rsidR="002C2FFB" w:rsidRPr="007A6742">
        <w:rPr>
          <w:rFonts w:asciiTheme="minorBidi" w:hAnsiTheme="minorBidi" w:cstheme="minorBidi"/>
        </w:rPr>
        <w:t xml:space="preserve"> invalidante,</w:t>
      </w:r>
      <w:r w:rsidR="00C66071" w:rsidRPr="007A6742">
        <w:rPr>
          <w:rFonts w:asciiTheme="minorBidi" w:hAnsiTheme="minorBidi" w:cstheme="minorBidi"/>
        </w:rPr>
        <w:t xml:space="preserve"> </w:t>
      </w:r>
      <w:r w:rsidR="006E70B0" w:rsidRPr="007A6742">
        <w:rPr>
          <w:rFonts w:asciiTheme="minorBidi" w:hAnsiTheme="minorBidi" w:cstheme="minorBidi"/>
        </w:rPr>
        <w:t>d’</w:t>
      </w:r>
      <w:r w:rsidR="00AB4DE7" w:rsidRPr="007A6742">
        <w:rPr>
          <w:rFonts w:asciiTheme="minorBidi" w:hAnsiTheme="minorBidi" w:cstheme="minorBidi"/>
        </w:rPr>
        <w:t>aider les parents dans l’éducation de leurs enfants et leur permettre de conc</w:t>
      </w:r>
      <w:r w:rsidR="006E70B0" w:rsidRPr="007A6742">
        <w:rPr>
          <w:rFonts w:asciiTheme="minorBidi" w:hAnsiTheme="minorBidi" w:cstheme="minorBidi"/>
        </w:rPr>
        <w:t xml:space="preserve">ilier leur vie familiale, professionnelle et </w:t>
      </w:r>
      <w:r w:rsidR="00AB4DE7" w:rsidRPr="007A6742">
        <w:rPr>
          <w:rFonts w:asciiTheme="minorBidi" w:hAnsiTheme="minorBidi" w:cstheme="minorBidi"/>
        </w:rPr>
        <w:t>social</w:t>
      </w:r>
      <w:r w:rsidR="002C2FFB" w:rsidRPr="007A6742">
        <w:rPr>
          <w:rFonts w:asciiTheme="minorBidi" w:hAnsiTheme="minorBidi" w:cstheme="minorBidi"/>
        </w:rPr>
        <w:t>e</w:t>
      </w:r>
      <w:r w:rsidR="00C66071" w:rsidRPr="007A6742">
        <w:rPr>
          <w:rFonts w:asciiTheme="minorBidi" w:hAnsiTheme="minorBidi" w:cstheme="minorBidi"/>
        </w:rPr>
        <w:t>.</w:t>
      </w:r>
      <w:r w:rsidR="00242860" w:rsidRPr="007A6742">
        <w:rPr>
          <w:rFonts w:asciiTheme="minorBidi" w:hAnsiTheme="minorBidi" w:cstheme="minorBidi"/>
        </w:rPr>
        <w:t xml:space="preserve"> </w:t>
      </w:r>
      <w:r w:rsidR="00C66071" w:rsidRPr="007A6742">
        <w:rPr>
          <w:rFonts w:asciiTheme="minorBidi" w:hAnsiTheme="minorBidi" w:cstheme="minorBidi"/>
        </w:rPr>
        <w:t>L</w:t>
      </w:r>
      <w:r w:rsidR="00242860" w:rsidRPr="007A6742">
        <w:rPr>
          <w:rFonts w:asciiTheme="minorBidi" w:hAnsiTheme="minorBidi" w:cstheme="minorBidi"/>
        </w:rPr>
        <w:t xml:space="preserve">es professionnels </w:t>
      </w:r>
      <w:r w:rsidR="004D37B5">
        <w:rPr>
          <w:rFonts w:asciiTheme="minorBidi" w:hAnsiTheme="minorBidi" w:cstheme="minorBidi"/>
        </w:rPr>
        <w:t>travaillant</w:t>
      </w:r>
      <w:r w:rsidR="00242860" w:rsidRPr="007A6742">
        <w:rPr>
          <w:rFonts w:asciiTheme="minorBidi" w:hAnsiTheme="minorBidi" w:cstheme="minorBidi"/>
        </w:rPr>
        <w:t xml:space="preserve"> dans les EPE</w:t>
      </w:r>
      <w:r w:rsidR="00524815">
        <w:rPr>
          <w:rFonts w:asciiTheme="minorBidi" w:hAnsiTheme="minorBidi" w:cstheme="minorBidi"/>
        </w:rPr>
        <w:t xml:space="preserve"> (12</w:t>
      </w:r>
      <w:r w:rsidR="009C7D9C">
        <w:rPr>
          <w:rFonts w:asciiTheme="minorBidi" w:hAnsiTheme="minorBidi" w:cstheme="minorBidi"/>
        </w:rPr>
        <w:t>.8</w:t>
      </w:r>
      <w:bookmarkStart w:id="2" w:name="_GoBack"/>
      <w:bookmarkEnd w:id="2"/>
      <w:r w:rsidR="00524815">
        <w:rPr>
          <w:rFonts w:asciiTheme="minorBidi" w:hAnsiTheme="minorBidi" w:cstheme="minorBidi"/>
        </w:rPr>
        <w:t>96 personnes)</w:t>
      </w:r>
      <w:r w:rsidR="00242860" w:rsidRPr="007A6742">
        <w:rPr>
          <w:rFonts w:asciiTheme="minorBidi" w:hAnsiTheme="minorBidi" w:cstheme="minorBidi"/>
        </w:rPr>
        <w:t xml:space="preserve"> sont </w:t>
      </w:r>
      <w:r w:rsidR="004D37B5">
        <w:rPr>
          <w:rFonts w:asciiTheme="minorBidi" w:hAnsiTheme="minorBidi" w:cstheme="minorBidi"/>
        </w:rPr>
        <w:t>nombreux et divers</w:t>
      </w:r>
      <w:r w:rsidR="00C66071" w:rsidRPr="007A6742">
        <w:rPr>
          <w:rFonts w:asciiTheme="minorBidi" w:hAnsiTheme="minorBidi" w:cstheme="minorBidi"/>
        </w:rPr>
        <w:t xml:space="preserve"> </w:t>
      </w:r>
      <w:r w:rsidR="00BE421C">
        <w:rPr>
          <w:rFonts w:asciiTheme="minorBidi" w:hAnsiTheme="minorBidi" w:cstheme="minorBidi"/>
        </w:rPr>
        <w:t>dont</w:t>
      </w:r>
      <w:r w:rsidR="00C66071" w:rsidRPr="007A6742">
        <w:rPr>
          <w:rFonts w:asciiTheme="minorBidi" w:hAnsiTheme="minorBidi" w:cstheme="minorBidi"/>
        </w:rPr>
        <w:t xml:space="preserve"> les directeurs, les éducateurs, les médecins, les aides </w:t>
      </w:r>
      <w:r w:rsidR="007A6742" w:rsidRPr="007A6742">
        <w:rPr>
          <w:rFonts w:asciiTheme="minorBidi" w:hAnsiTheme="minorBidi" w:cstheme="minorBidi"/>
        </w:rPr>
        <w:t>éducateurs, les</w:t>
      </w:r>
      <w:r w:rsidR="00C66071" w:rsidRPr="007A6742">
        <w:rPr>
          <w:rFonts w:asciiTheme="minorBidi" w:hAnsiTheme="minorBidi" w:cstheme="minorBidi"/>
        </w:rPr>
        <w:t xml:space="preserve"> assistants, les psychologues, les professeurs des activités multiples tels que musique, sport, théâtre, dessin, et danse, les cuisinières, les femmes de ménages et les gardiens.</w:t>
      </w:r>
      <w:r w:rsidR="00BE421C">
        <w:rPr>
          <w:rFonts w:asciiTheme="minorBidi" w:hAnsiTheme="minorBidi" w:cstheme="minorBidi"/>
        </w:rPr>
        <w:t xml:space="preserve"> </w:t>
      </w:r>
      <w:r w:rsidR="00C66071" w:rsidRPr="007A6742">
        <w:rPr>
          <w:rFonts w:asciiTheme="minorBidi" w:hAnsiTheme="minorBidi" w:cstheme="minorBidi"/>
        </w:rPr>
        <w:t>P</w:t>
      </w:r>
      <w:r w:rsidR="00242860" w:rsidRPr="007A6742">
        <w:rPr>
          <w:rFonts w:asciiTheme="minorBidi" w:hAnsiTheme="minorBidi" w:cstheme="minorBidi"/>
        </w:rPr>
        <w:t>our</w:t>
      </w:r>
      <w:r w:rsidR="000E79FA" w:rsidRPr="007A6742">
        <w:rPr>
          <w:rFonts w:asciiTheme="minorBidi" w:hAnsiTheme="minorBidi" w:cstheme="minorBidi"/>
        </w:rPr>
        <w:t xml:space="preserve"> le premier semestre </w:t>
      </w:r>
      <w:r w:rsidR="00C66071" w:rsidRPr="007A6742">
        <w:rPr>
          <w:rFonts w:asciiTheme="minorBidi" w:hAnsiTheme="minorBidi" w:cstheme="minorBidi"/>
        </w:rPr>
        <w:t>de l’année</w:t>
      </w:r>
      <w:r w:rsidR="00242860" w:rsidRPr="007A6742">
        <w:rPr>
          <w:rFonts w:asciiTheme="minorBidi" w:hAnsiTheme="minorBidi" w:cstheme="minorBidi"/>
        </w:rPr>
        <w:t xml:space="preserve"> 2018, le nombre d’enfant</w:t>
      </w:r>
      <w:r w:rsidR="00B545AD" w:rsidRPr="007A6742">
        <w:rPr>
          <w:rFonts w:asciiTheme="minorBidi" w:hAnsiTheme="minorBidi" w:cstheme="minorBidi"/>
        </w:rPr>
        <w:t>s</w:t>
      </w:r>
      <w:r w:rsidR="00242860" w:rsidRPr="007A6742">
        <w:rPr>
          <w:rFonts w:asciiTheme="minorBidi" w:hAnsiTheme="minorBidi" w:cstheme="minorBidi"/>
        </w:rPr>
        <w:t xml:space="preserve"> accueillis </w:t>
      </w:r>
      <w:r w:rsidR="006A4561">
        <w:rPr>
          <w:rFonts w:asciiTheme="minorBidi" w:hAnsiTheme="minorBidi" w:cstheme="minorBidi"/>
        </w:rPr>
        <w:t xml:space="preserve">a été </w:t>
      </w:r>
      <w:r w:rsidR="00242860" w:rsidRPr="007A6742">
        <w:rPr>
          <w:rFonts w:asciiTheme="minorBidi" w:hAnsiTheme="minorBidi" w:cstheme="minorBidi"/>
        </w:rPr>
        <w:t>de 147</w:t>
      </w:r>
      <w:r w:rsidR="00BE421C">
        <w:rPr>
          <w:rFonts w:asciiTheme="minorBidi" w:hAnsiTheme="minorBidi" w:cstheme="minorBidi"/>
        </w:rPr>
        <w:t>,</w:t>
      </w:r>
      <w:r w:rsidR="00242860" w:rsidRPr="007A6742">
        <w:rPr>
          <w:rFonts w:asciiTheme="minorBidi" w:hAnsiTheme="minorBidi" w:cstheme="minorBidi"/>
        </w:rPr>
        <w:t>596 dont 1294 enfant</w:t>
      </w:r>
      <w:r w:rsidR="00B545AD" w:rsidRPr="007A6742">
        <w:rPr>
          <w:rFonts w:asciiTheme="minorBidi" w:hAnsiTheme="minorBidi" w:cstheme="minorBidi"/>
        </w:rPr>
        <w:t>s</w:t>
      </w:r>
      <w:r w:rsidR="00242860" w:rsidRPr="007A6742">
        <w:rPr>
          <w:rFonts w:asciiTheme="minorBidi" w:hAnsiTheme="minorBidi" w:cstheme="minorBidi"/>
        </w:rPr>
        <w:t xml:space="preserve"> </w:t>
      </w:r>
      <w:r w:rsidR="00BE421C">
        <w:rPr>
          <w:rFonts w:asciiTheme="minorBidi" w:hAnsiTheme="minorBidi" w:cstheme="minorBidi"/>
        </w:rPr>
        <w:t>vivant avec un handicap</w:t>
      </w:r>
      <w:r w:rsidR="00C66071" w:rsidRPr="007A6742">
        <w:rPr>
          <w:rFonts w:asciiTheme="minorBidi" w:hAnsiTheme="minorBidi" w:cstheme="minorBidi"/>
        </w:rPr>
        <w:t xml:space="preserve">. </w:t>
      </w:r>
      <w:r w:rsidR="000E79FA" w:rsidRPr="007A6742">
        <w:rPr>
          <w:rFonts w:asciiTheme="minorBidi" w:hAnsiTheme="minorBidi" w:cstheme="minorBidi"/>
          <w:color w:val="000000" w:themeColor="text1"/>
        </w:rPr>
        <w:t>Un</w:t>
      </w:r>
      <w:r w:rsidR="00556E87" w:rsidRPr="007A6742">
        <w:rPr>
          <w:rFonts w:asciiTheme="minorBidi" w:hAnsiTheme="minorBidi" w:cstheme="minorBidi"/>
          <w:color w:val="000000" w:themeColor="text1"/>
        </w:rPr>
        <w:t xml:space="preserve"> nouveau décret est </w:t>
      </w:r>
      <w:r w:rsidR="006E70B0" w:rsidRPr="007A6742">
        <w:rPr>
          <w:rFonts w:asciiTheme="minorBidi" w:hAnsiTheme="minorBidi" w:cstheme="minorBidi"/>
          <w:color w:val="000000" w:themeColor="text1"/>
        </w:rPr>
        <w:t xml:space="preserve">par ailleurs </w:t>
      </w:r>
      <w:r w:rsidR="00556E87" w:rsidRPr="007A6742">
        <w:rPr>
          <w:rFonts w:asciiTheme="minorBidi" w:hAnsiTheme="minorBidi" w:cstheme="minorBidi"/>
          <w:color w:val="000000" w:themeColor="text1"/>
        </w:rPr>
        <w:t>en cours d’élaboration</w:t>
      </w:r>
      <w:r w:rsidR="00BE421C">
        <w:rPr>
          <w:rFonts w:asciiTheme="minorBidi" w:hAnsiTheme="minorBidi" w:cstheme="minorBidi"/>
          <w:color w:val="000000" w:themeColor="text1"/>
        </w:rPr>
        <w:t>, en vue</w:t>
      </w:r>
      <w:r w:rsidR="00C66071" w:rsidRPr="007A6742">
        <w:rPr>
          <w:rFonts w:asciiTheme="minorBidi" w:hAnsiTheme="minorBidi" w:cstheme="minorBidi"/>
          <w:color w:val="000000" w:themeColor="text1"/>
        </w:rPr>
        <w:t xml:space="preserve"> : </w:t>
      </w:r>
      <w:r w:rsidR="00C66071" w:rsidRPr="007A6742">
        <w:rPr>
          <w:rFonts w:asciiTheme="minorBidi" w:hAnsiTheme="minorBidi" w:cstheme="minorBidi"/>
        </w:rPr>
        <w:t xml:space="preserve">1- </w:t>
      </w:r>
      <w:r w:rsidR="00BE421C">
        <w:rPr>
          <w:rFonts w:asciiTheme="minorBidi" w:hAnsiTheme="minorBidi" w:cstheme="minorBidi"/>
        </w:rPr>
        <w:t>d’</w:t>
      </w:r>
      <w:r w:rsidR="00B545AD" w:rsidRPr="007A6742">
        <w:rPr>
          <w:rFonts w:asciiTheme="minorBidi" w:hAnsiTheme="minorBidi" w:cstheme="minorBidi"/>
        </w:rPr>
        <w:t xml:space="preserve">améliorer la qualité de la prise en charge des enfants accueillis  au sein des établissements notamment la prise en charge médicale et psychologique </w:t>
      </w:r>
      <w:r w:rsidR="00C66071" w:rsidRPr="007A6742">
        <w:rPr>
          <w:rFonts w:asciiTheme="minorBidi" w:hAnsiTheme="minorBidi" w:cstheme="minorBidi"/>
        </w:rPr>
        <w:t>à</w:t>
      </w:r>
      <w:r w:rsidR="00B545AD" w:rsidRPr="007A6742">
        <w:rPr>
          <w:rFonts w:asciiTheme="minorBidi" w:hAnsiTheme="minorBidi" w:cstheme="minorBidi"/>
        </w:rPr>
        <w:t xml:space="preserve"> travers l’obligation des </w:t>
      </w:r>
      <w:r w:rsidR="00EA1295" w:rsidRPr="007A6742">
        <w:rPr>
          <w:rFonts w:asciiTheme="minorBidi" w:hAnsiTheme="minorBidi" w:cstheme="minorBidi"/>
        </w:rPr>
        <w:t>établissements</w:t>
      </w:r>
      <w:r w:rsidR="00B545AD" w:rsidRPr="007A6742">
        <w:rPr>
          <w:rFonts w:asciiTheme="minorBidi" w:hAnsiTheme="minorBidi" w:cstheme="minorBidi"/>
        </w:rPr>
        <w:t xml:space="preserve"> à</w:t>
      </w:r>
      <w:r w:rsidR="00EA1295" w:rsidRPr="007A6742">
        <w:rPr>
          <w:rFonts w:asciiTheme="minorBidi" w:hAnsiTheme="minorBidi" w:cstheme="minorBidi"/>
        </w:rPr>
        <w:t xml:space="preserve">  assurer un contrôle médical  régulier au profit des enfants accueillis, en cas de nécessité</w:t>
      </w:r>
      <w:r w:rsidR="006A4561">
        <w:rPr>
          <w:rFonts w:asciiTheme="minorBidi" w:hAnsiTheme="minorBidi" w:cstheme="minorBidi"/>
        </w:rPr>
        <w:t>,</w:t>
      </w:r>
      <w:r w:rsidR="00EA1295" w:rsidRPr="007A6742">
        <w:rPr>
          <w:rFonts w:asciiTheme="minorBidi" w:hAnsiTheme="minorBidi" w:cstheme="minorBidi"/>
        </w:rPr>
        <w:t xml:space="preserve"> un contrôle psychologique</w:t>
      </w:r>
      <w:r w:rsidR="00C66071" w:rsidRPr="007A6742">
        <w:rPr>
          <w:rFonts w:asciiTheme="minorBidi" w:hAnsiTheme="minorBidi" w:cstheme="minorBidi"/>
        </w:rPr>
        <w:t xml:space="preserve"> </w:t>
      </w:r>
      <w:r w:rsidR="00EA1295" w:rsidRPr="007A6742">
        <w:rPr>
          <w:rFonts w:asciiTheme="minorBidi" w:hAnsiTheme="minorBidi" w:cstheme="minorBidi"/>
        </w:rPr>
        <w:t>clinicien ou orthophoniste</w:t>
      </w:r>
      <w:r w:rsidR="00D063A0" w:rsidRPr="007A6742">
        <w:rPr>
          <w:rFonts w:asciiTheme="minorBidi" w:hAnsiTheme="minorBidi" w:cstheme="minorBidi"/>
        </w:rPr>
        <w:t> ;</w:t>
      </w:r>
      <w:r w:rsidR="00BE421C">
        <w:rPr>
          <w:rFonts w:asciiTheme="minorBidi" w:hAnsiTheme="minorBidi" w:cstheme="minorBidi"/>
        </w:rPr>
        <w:t xml:space="preserve"> </w:t>
      </w:r>
      <w:r w:rsidR="00D063A0" w:rsidRPr="007A6742">
        <w:rPr>
          <w:rFonts w:asciiTheme="minorBidi" w:hAnsiTheme="minorBidi" w:cstheme="minorBidi"/>
        </w:rPr>
        <w:t xml:space="preserve">2- </w:t>
      </w:r>
      <w:r w:rsidR="00BE421C">
        <w:rPr>
          <w:rFonts w:asciiTheme="minorBidi" w:hAnsiTheme="minorBidi" w:cstheme="minorBidi"/>
        </w:rPr>
        <w:t>d’unifier l</w:t>
      </w:r>
      <w:r w:rsidR="00BE421C" w:rsidRPr="007A6742">
        <w:rPr>
          <w:rFonts w:asciiTheme="minorBidi" w:hAnsiTheme="minorBidi" w:cstheme="minorBidi"/>
        </w:rPr>
        <w:t>es programmes p</w:t>
      </w:r>
      <w:r w:rsidR="00BE421C">
        <w:rPr>
          <w:rFonts w:asciiTheme="minorBidi" w:hAnsiTheme="minorBidi" w:cstheme="minorBidi"/>
        </w:rPr>
        <w:t>édagogiques à tous les établissements afin d’assurer l’apprentissage des</w:t>
      </w:r>
      <w:r w:rsidR="00D063A0" w:rsidRPr="007A6742">
        <w:rPr>
          <w:rFonts w:asciiTheme="minorBidi" w:hAnsiTheme="minorBidi" w:cstheme="minorBidi"/>
        </w:rPr>
        <w:t xml:space="preserve"> enfants accueillis </w:t>
      </w:r>
      <w:r w:rsidR="00BE421C">
        <w:rPr>
          <w:rFonts w:asciiTheme="minorBidi" w:hAnsiTheme="minorBidi" w:cstheme="minorBidi"/>
        </w:rPr>
        <w:t>sur les valeurs sociales,</w:t>
      </w:r>
      <w:r w:rsidR="00D063A0" w:rsidRPr="007A6742">
        <w:rPr>
          <w:rFonts w:asciiTheme="minorBidi" w:hAnsiTheme="minorBidi" w:cstheme="minorBidi"/>
        </w:rPr>
        <w:t xml:space="preserve"> les principes nationaux et</w:t>
      </w:r>
      <w:r w:rsidR="00BE421C">
        <w:rPr>
          <w:rFonts w:asciiTheme="minorBidi" w:hAnsiTheme="minorBidi" w:cstheme="minorBidi"/>
        </w:rPr>
        <w:t xml:space="preserve"> religieux, </w:t>
      </w:r>
      <w:r w:rsidR="003D0F01" w:rsidRPr="007A6742">
        <w:rPr>
          <w:rFonts w:asciiTheme="minorBidi" w:hAnsiTheme="minorBidi" w:cstheme="minorBidi"/>
        </w:rPr>
        <w:t xml:space="preserve">3- </w:t>
      </w:r>
      <w:r w:rsidR="00BE421C">
        <w:rPr>
          <w:rFonts w:asciiTheme="minorBidi" w:hAnsiTheme="minorBidi" w:cstheme="minorBidi"/>
        </w:rPr>
        <w:t>de s</w:t>
      </w:r>
      <w:r w:rsidR="003D0F01" w:rsidRPr="007A6742">
        <w:rPr>
          <w:rFonts w:asciiTheme="minorBidi" w:hAnsiTheme="minorBidi" w:cstheme="minorBidi"/>
        </w:rPr>
        <w:t xml:space="preserve">implifier les </w:t>
      </w:r>
      <w:r w:rsidR="00C329D1" w:rsidRPr="007A6742">
        <w:rPr>
          <w:rFonts w:asciiTheme="minorBidi" w:hAnsiTheme="minorBidi" w:cstheme="minorBidi"/>
        </w:rPr>
        <w:t>procédures</w:t>
      </w:r>
      <w:r w:rsidR="003D0F01" w:rsidRPr="007A6742">
        <w:rPr>
          <w:rFonts w:asciiTheme="minorBidi" w:hAnsiTheme="minorBidi" w:cstheme="minorBidi"/>
        </w:rPr>
        <w:t xml:space="preserve"> administrative</w:t>
      </w:r>
      <w:r w:rsidR="00BE421C">
        <w:rPr>
          <w:rFonts w:asciiTheme="minorBidi" w:hAnsiTheme="minorBidi" w:cstheme="minorBidi"/>
        </w:rPr>
        <w:t>s</w:t>
      </w:r>
      <w:r w:rsidR="00C329D1" w:rsidRPr="007A6742">
        <w:rPr>
          <w:rFonts w:asciiTheme="minorBidi" w:hAnsiTheme="minorBidi" w:cstheme="minorBidi"/>
        </w:rPr>
        <w:t>,</w:t>
      </w:r>
      <w:r w:rsidR="002F203C" w:rsidRPr="007A6742">
        <w:rPr>
          <w:rFonts w:asciiTheme="minorBidi" w:hAnsiTheme="minorBidi" w:cstheme="minorBidi"/>
        </w:rPr>
        <w:t xml:space="preserve"> </w:t>
      </w:r>
      <w:r w:rsidR="00BE421C">
        <w:rPr>
          <w:rFonts w:asciiTheme="minorBidi" w:hAnsiTheme="minorBidi" w:cstheme="minorBidi"/>
        </w:rPr>
        <w:t>4- de r</w:t>
      </w:r>
      <w:r w:rsidR="00C329D1" w:rsidRPr="007A6742">
        <w:rPr>
          <w:rFonts w:asciiTheme="minorBidi" w:hAnsiTheme="minorBidi" w:cstheme="minorBidi"/>
        </w:rPr>
        <w:t>éduire les délais consacrés à l’étude d</w:t>
      </w:r>
      <w:r w:rsidR="00881BFF">
        <w:rPr>
          <w:rFonts w:asciiTheme="minorBidi" w:hAnsiTheme="minorBidi" w:cstheme="minorBidi"/>
        </w:rPr>
        <w:t>es</w:t>
      </w:r>
      <w:r w:rsidR="00C329D1" w:rsidRPr="007A6742">
        <w:rPr>
          <w:rFonts w:asciiTheme="minorBidi" w:hAnsiTheme="minorBidi" w:cstheme="minorBidi"/>
        </w:rPr>
        <w:t xml:space="preserve"> dossier</w:t>
      </w:r>
      <w:r w:rsidR="00881BFF">
        <w:rPr>
          <w:rFonts w:asciiTheme="minorBidi" w:hAnsiTheme="minorBidi" w:cstheme="minorBidi"/>
        </w:rPr>
        <w:t>s</w:t>
      </w:r>
      <w:r w:rsidR="00C329D1" w:rsidRPr="007A6742">
        <w:rPr>
          <w:rFonts w:asciiTheme="minorBidi" w:hAnsiTheme="minorBidi" w:cstheme="minorBidi"/>
        </w:rPr>
        <w:t xml:space="preserve"> administratif et technique et simplifier </w:t>
      </w:r>
      <w:r w:rsidR="002F203C" w:rsidRPr="007A6742">
        <w:rPr>
          <w:rFonts w:asciiTheme="minorBidi" w:hAnsiTheme="minorBidi" w:cstheme="minorBidi"/>
        </w:rPr>
        <w:t>d</w:t>
      </w:r>
      <w:r w:rsidR="00C329D1" w:rsidRPr="007A6742">
        <w:rPr>
          <w:rFonts w:asciiTheme="minorBidi" w:hAnsiTheme="minorBidi" w:cstheme="minorBidi"/>
        </w:rPr>
        <w:t>es procédures</w:t>
      </w:r>
      <w:r w:rsidR="00BE421C">
        <w:rPr>
          <w:rFonts w:asciiTheme="minorBidi" w:hAnsiTheme="minorBidi" w:cstheme="minorBidi"/>
        </w:rPr>
        <w:t>,</w:t>
      </w:r>
      <w:r w:rsidR="002F203C" w:rsidRPr="007A6742">
        <w:rPr>
          <w:rFonts w:asciiTheme="minorBidi" w:hAnsiTheme="minorBidi" w:cstheme="minorBidi"/>
        </w:rPr>
        <w:t xml:space="preserve"> </w:t>
      </w:r>
      <w:r w:rsidR="00C329D1" w:rsidRPr="007A6742">
        <w:rPr>
          <w:rFonts w:asciiTheme="minorBidi" w:hAnsiTheme="minorBidi" w:cstheme="minorBidi"/>
        </w:rPr>
        <w:t xml:space="preserve">5- </w:t>
      </w:r>
      <w:r w:rsidR="00BE421C">
        <w:rPr>
          <w:rFonts w:asciiTheme="minorBidi" w:hAnsiTheme="minorBidi" w:cstheme="minorBidi"/>
        </w:rPr>
        <w:t>de r</w:t>
      </w:r>
      <w:r w:rsidR="00C329D1" w:rsidRPr="007A6742">
        <w:rPr>
          <w:rFonts w:asciiTheme="minorBidi" w:hAnsiTheme="minorBidi" w:cstheme="minorBidi"/>
        </w:rPr>
        <w:t>enforcer le contrôle</w:t>
      </w:r>
      <w:r w:rsidR="00BE421C">
        <w:rPr>
          <w:rFonts w:asciiTheme="minorBidi" w:hAnsiTheme="minorBidi" w:cstheme="minorBidi"/>
        </w:rPr>
        <w:t xml:space="preserve"> et la prise de décision</w:t>
      </w:r>
      <w:r w:rsidR="00C329D1" w:rsidRPr="007A6742">
        <w:rPr>
          <w:rFonts w:asciiTheme="minorBidi" w:hAnsiTheme="minorBidi" w:cstheme="minorBidi"/>
        </w:rPr>
        <w:t xml:space="preserve"> </w:t>
      </w:r>
      <w:r w:rsidR="00BE421C">
        <w:rPr>
          <w:rFonts w:asciiTheme="minorBidi" w:hAnsiTheme="minorBidi" w:cstheme="minorBidi"/>
        </w:rPr>
        <w:t>en cas de constatation</w:t>
      </w:r>
      <w:r w:rsidR="00C329D1" w:rsidRPr="007A6742">
        <w:rPr>
          <w:rFonts w:asciiTheme="minorBidi" w:hAnsiTheme="minorBidi" w:cstheme="minorBidi"/>
        </w:rPr>
        <w:t xml:space="preserve"> </w:t>
      </w:r>
      <w:r w:rsidR="00BE421C">
        <w:rPr>
          <w:rFonts w:asciiTheme="minorBidi" w:hAnsiTheme="minorBidi" w:cstheme="minorBidi"/>
        </w:rPr>
        <w:t>d’irrégularité ou de manquement prouvé</w:t>
      </w:r>
      <w:r w:rsidR="002F203C" w:rsidRPr="007A6742">
        <w:rPr>
          <w:rFonts w:asciiTheme="minorBidi" w:hAnsiTheme="minorBidi" w:cstheme="minorBidi"/>
        </w:rPr>
        <w:t>.</w:t>
      </w:r>
    </w:p>
    <w:p w14:paraId="076787AB" w14:textId="77777777" w:rsidR="00BE421C" w:rsidRDefault="006E70B0" w:rsidP="000E79FA">
      <w:pPr>
        <w:rPr>
          <w:rFonts w:asciiTheme="minorBidi" w:hAnsiTheme="minorBidi" w:cstheme="minorBidi"/>
        </w:rPr>
      </w:pPr>
      <w:r w:rsidRPr="007A6742">
        <w:rPr>
          <w:rFonts w:asciiTheme="minorBidi" w:hAnsiTheme="minorBidi" w:cstheme="minorBidi"/>
        </w:rPr>
        <w:t>E</w:t>
      </w:r>
      <w:r w:rsidR="00131F43" w:rsidRPr="007A6742">
        <w:rPr>
          <w:rFonts w:asciiTheme="minorBidi" w:hAnsiTheme="minorBidi" w:cstheme="minorBidi"/>
        </w:rPr>
        <w:t xml:space="preserve">n marge </w:t>
      </w:r>
      <w:r w:rsidR="00C9510C" w:rsidRPr="007A6742">
        <w:rPr>
          <w:rFonts w:asciiTheme="minorBidi" w:hAnsiTheme="minorBidi" w:cstheme="minorBidi"/>
        </w:rPr>
        <w:t>de la célébration de la Convention relative aux</w:t>
      </w:r>
      <w:r w:rsidR="00131F43" w:rsidRPr="007A6742">
        <w:rPr>
          <w:rFonts w:asciiTheme="minorBidi" w:hAnsiTheme="minorBidi" w:cstheme="minorBidi"/>
        </w:rPr>
        <w:t xml:space="preserve"> droits de</w:t>
      </w:r>
      <w:r w:rsidR="00C9510C" w:rsidRPr="007A6742">
        <w:rPr>
          <w:rFonts w:asciiTheme="minorBidi" w:hAnsiTheme="minorBidi" w:cstheme="minorBidi"/>
        </w:rPr>
        <w:t xml:space="preserve"> l’enfant (CDE)</w:t>
      </w:r>
      <w:r w:rsidRPr="007A6742">
        <w:rPr>
          <w:rFonts w:asciiTheme="minorBidi" w:hAnsiTheme="minorBidi" w:cstheme="minorBidi"/>
        </w:rPr>
        <w:t xml:space="preserve"> le 20 novembre 2016</w:t>
      </w:r>
      <w:r w:rsidR="00131F43" w:rsidRPr="007A6742">
        <w:rPr>
          <w:rFonts w:asciiTheme="minorBidi" w:hAnsiTheme="minorBidi" w:cstheme="minorBidi"/>
        </w:rPr>
        <w:t>,</w:t>
      </w:r>
      <w:r w:rsidR="00D04561" w:rsidRPr="007A6742">
        <w:rPr>
          <w:rFonts w:asciiTheme="minorBidi" w:hAnsiTheme="minorBidi" w:cstheme="minorBidi"/>
        </w:rPr>
        <w:t xml:space="preserve"> une</w:t>
      </w:r>
      <w:r w:rsidR="002F203C" w:rsidRPr="007A6742">
        <w:rPr>
          <w:rFonts w:asciiTheme="minorBidi" w:hAnsiTheme="minorBidi" w:cstheme="minorBidi"/>
        </w:rPr>
        <w:t xml:space="preserve"> </w:t>
      </w:r>
      <w:r w:rsidR="00C9510C" w:rsidRPr="007A6742">
        <w:rPr>
          <w:rFonts w:asciiTheme="minorBidi" w:hAnsiTheme="minorBidi" w:cstheme="minorBidi"/>
        </w:rPr>
        <w:t>rencontre n</w:t>
      </w:r>
      <w:r w:rsidR="00BE1770" w:rsidRPr="007A6742">
        <w:rPr>
          <w:rFonts w:asciiTheme="minorBidi" w:hAnsiTheme="minorBidi" w:cstheme="minorBidi"/>
        </w:rPr>
        <w:t xml:space="preserve">ationale </w:t>
      </w:r>
      <w:r w:rsidR="00C66071" w:rsidRPr="007A6742">
        <w:rPr>
          <w:rFonts w:asciiTheme="minorBidi" w:hAnsiTheme="minorBidi" w:cstheme="minorBidi"/>
        </w:rPr>
        <w:t>a été</w:t>
      </w:r>
      <w:r w:rsidRPr="007A6742">
        <w:rPr>
          <w:rFonts w:asciiTheme="minorBidi" w:hAnsiTheme="minorBidi" w:cstheme="minorBidi"/>
        </w:rPr>
        <w:t xml:space="preserve"> </w:t>
      </w:r>
      <w:r w:rsidR="00DB0692" w:rsidRPr="007A6742">
        <w:rPr>
          <w:rFonts w:asciiTheme="minorBidi" w:hAnsiTheme="minorBidi" w:cstheme="minorBidi"/>
        </w:rPr>
        <w:t>organisée</w:t>
      </w:r>
      <w:r w:rsidRPr="007A6742">
        <w:rPr>
          <w:rFonts w:asciiTheme="minorBidi" w:hAnsiTheme="minorBidi" w:cstheme="minorBidi"/>
        </w:rPr>
        <w:t xml:space="preserve"> par le MSNFCF </w:t>
      </w:r>
      <w:r w:rsidR="00C9510C" w:rsidRPr="007A6742">
        <w:rPr>
          <w:rFonts w:asciiTheme="minorBidi" w:hAnsiTheme="minorBidi" w:cstheme="minorBidi"/>
        </w:rPr>
        <w:t>sur</w:t>
      </w:r>
      <w:r w:rsidR="00A75691" w:rsidRPr="007A6742">
        <w:rPr>
          <w:rFonts w:asciiTheme="minorBidi" w:hAnsiTheme="minorBidi" w:cstheme="minorBidi"/>
        </w:rPr>
        <w:t xml:space="preserve"> le thème « </w:t>
      </w:r>
      <w:r w:rsidR="00A75691" w:rsidRPr="007A6742">
        <w:rPr>
          <w:rFonts w:asciiTheme="minorBidi" w:hAnsiTheme="minorBidi" w:cstheme="minorBidi"/>
          <w:i/>
        </w:rPr>
        <w:t>M</w:t>
      </w:r>
      <w:r w:rsidR="00BE1770" w:rsidRPr="007A6742">
        <w:rPr>
          <w:rFonts w:asciiTheme="minorBidi" w:hAnsiTheme="minorBidi" w:cstheme="minorBidi"/>
          <w:i/>
        </w:rPr>
        <w:t>odalités d’accueil de la petite enfance et son rôle dans le développement</w:t>
      </w:r>
      <w:r w:rsidR="00AF6EB6" w:rsidRPr="007A6742">
        <w:rPr>
          <w:rFonts w:asciiTheme="minorBidi" w:hAnsiTheme="minorBidi" w:cstheme="minorBidi"/>
          <w:i/>
        </w:rPr>
        <w:t xml:space="preserve"> psychique, mental et social</w:t>
      </w:r>
      <w:r w:rsidR="00A75691" w:rsidRPr="007A6742">
        <w:rPr>
          <w:rFonts w:asciiTheme="minorBidi" w:hAnsiTheme="minorBidi" w:cstheme="minorBidi"/>
        </w:rPr>
        <w:t> ».</w:t>
      </w:r>
      <w:r w:rsidR="00BE421C">
        <w:rPr>
          <w:rFonts w:asciiTheme="minorBidi" w:hAnsiTheme="minorBidi" w:cstheme="minorBidi"/>
        </w:rPr>
        <w:t xml:space="preserve"> </w:t>
      </w:r>
      <w:r w:rsidR="00F8262D" w:rsidRPr="007A6742">
        <w:rPr>
          <w:rFonts w:asciiTheme="minorBidi" w:hAnsiTheme="minorBidi" w:cstheme="minorBidi"/>
        </w:rPr>
        <w:t xml:space="preserve">Cette rencontre </w:t>
      </w:r>
      <w:r w:rsidR="00C9123C" w:rsidRPr="007A6742">
        <w:rPr>
          <w:rFonts w:asciiTheme="minorBidi" w:hAnsiTheme="minorBidi" w:cstheme="minorBidi"/>
        </w:rPr>
        <w:t xml:space="preserve">avait comme objectifs </w:t>
      </w:r>
      <w:r w:rsidR="0073127F" w:rsidRPr="007A6742">
        <w:rPr>
          <w:rFonts w:asciiTheme="minorBidi" w:hAnsiTheme="minorBidi" w:cstheme="minorBidi"/>
        </w:rPr>
        <w:t xml:space="preserve">1) </w:t>
      </w:r>
      <w:r w:rsidR="00C9123C" w:rsidRPr="007A6742">
        <w:rPr>
          <w:rFonts w:asciiTheme="minorBidi" w:hAnsiTheme="minorBidi" w:cstheme="minorBidi"/>
        </w:rPr>
        <w:t xml:space="preserve">de </w:t>
      </w:r>
      <w:r w:rsidR="0073127F" w:rsidRPr="007A6742">
        <w:rPr>
          <w:rFonts w:asciiTheme="minorBidi" w:hAnsiTheme="minorBidi" w:cstheme="minorBidi"/>
        </w:rPr>
        <w:t>d</w:t>
      </w:r>
      <w:r w:rsidR="00F8262D" w:rsidRPr="007A6742">
        <w:rPr>
          <w:rFonts w:asciiTheme="minorBidi" w:hAnsiTheme="minorBidi" w:cstheme="minorBidi"/>
        </w:rPr>
        <w:t>resser un état des lieux sur la gestion des EPE en Algérie</w:t>
      </w:r>
      <w:r w:rsidR="0073127F" w:rsidRPr="007A6742">
        <w:rPr>
          <w:rFonts w:asciiTheme="minorBidi" w:hAnsiTheme="minorBidi" w:cstheme="minorBidi"/>
        </w:rPr>
        <w:t xml:space="preserve"> ; 2) </w:t>
      </w:r>
      <w:r w:rsidR="00C9123C" w:rsidRPr="007A6742">
        <w:rPr>
          <w:rFonts w:asciiTheme="minorBidi" w:hAnsiTheme="minorBidi" w:cstheme="minorBidi"/>
        </w:rPr>
        <w:t>d’</w:t>
      </w:r>
      <w:r w:rsidR="0073127F" w:rsidRPr="007A6742">
        <w:rPr>
          <w:rFonts w:asciiTheme="minorBidi" w:hAnsiTheme="minorBidi" w:cstheme="minorBidi"/>
        </w:rPr>
        <w:t>a</w:t>
      </w:r>
      <w:r w:rsidR="00F8262D" w:rsidRPr="007A6742">
        <w:rPr>
          <w:rFonts w:asciiTheme="minorBidi" w:hAnsiTheme="minorBidi" w:cstheme="minorBidi"/>
        </w:rPr>
        <w:t>méliorer les services (sanitaire</w:t>
      </w:r>
      <w:r w:rsidR="00485601" w:rsidRPr="007A6742">
        <w:rPr>
          <w:rFonts w:asciiTheme="minorBidi" w:hAnsiTheme="minorBidi" w:cstheme="minorBidi"/>
        </w:rPr>
        <w:t>s</w:t>
      </w:r>
      <w:r w:rsidR="00F8262D" w:rsidRPr="007A6742">
        <w:rPr>
          <w:rFonts w:asciiTheme="minorBidi" w:hAnsiTheme="minorBidi" w:cstheme="minorBidi"/>
        </w:rPr>
        <w:t>, psychologiques et sociaux) et le développement des structures et EPE dont celles qui s’occupe</w:t>
      </w:r>
      <w:r w:rsidR="00485601" w:rsidRPr="007A6742">
        <w:rPr>
          <w:rFonts w:asciiTheme="minorBidi" w:hAnsiTheme="minorBidi" w:cstheme="minorBidi"/>
        </w:rPr>
        <w:t>nt</w:t>
      </w:r>
      <w:r w:rsidR="00F8262D" w:rsidRPr="007A6742">
        <w:rPr>
          <w:rFonts w:asciiTheme="minorBidi" w:hAnsiTheme="minorBidi" w:cstheme="minorBidi"/>
        </w:rPr>
        <w:t xml:space="preserve"> des e</w:t>
      </w:r>
      <w:r w:rsidR="00B935B0" w:rsidRPr="007A6742">
        <w:rPr>
          <w:rFonts w:asciiTheme="minorBidi" w:hAnsiTheme="minorBidi" w:cstheme="minorBidi"/>
        </w:rPr>
        <w:t xml:space="preserve">nfants en situation de handicap ; 3) </w:t>
      </w:r>
      <w:r w:rsidR="00C9123C" w:rsidRPr="007A6742">
        <w:rPr>
          <w:rFonts w:asciiTheme="minorBidi" w:hAnsiTheme="minorBidi" w:cstheme="minorBidi"/>
        </w:rPr>
        <w:t xml:space="preserve">de </w:t>
      </w:r>
      <w:r w:rsidR="00B935B0" w:rsidRPr="007A6742">
        <w:rPr>
          <w:rFonts w:asciiTheme="minorBidi" w:hAnsiTheme="minorBidi" w:cstheme="minorBidi"/>
        </w:rPr>
        <w:t>v</w:t>
      </w:r>
      <w:r w:rsidR="00F8262D" w:rsidRPr="007A6742">
        <w:rPr>
          <w:rFonts w:asciiTheme="minorBidi" w:hAnsiTheme="minorBidi" w:cstheme="minorBidi"/>
        </w:rPr>
        <w:t>eiller à unifier les programmes et la gestion pédagogique des EPE</w:t>
      </w:r>
      <w:r w:rsidR="00BE421C">
        <w:rPr>
          <w:rFonts w:asciiTheme="minorBidi" w:hAnsiTheme="minorBidi" w:cstheme="minorBidi"/>
        </w:rPr>
        <w:t xml:space="preserve"> </w:t>
      </w:r>
      <w:r w:rsidR="00B935B0" w:rsidRPr="007A6742">
        <w:rPr>
          <w:rFonts w:asciiTheme="minorBidi" w:hAnsiTheme="minorBidi" w:cstheme="minorBidi"/>
        </w:rPr>
        <w:t xml:space="preserve">; et 4) </w:t>
      </w:r>
      <w:r w:rsidR="00C9123C" w:rsidRPr="007A6742">
        <w:rPr>
          <w:rFonts w:asciiTheme="minorBidi" w:hAnsiTheme="minorBidi" w:cstheme="minorBidi"/>
        </w:rPr>
        <w:t>d’</w:t>
      </w:r>
      <w:r w:rsidR="00B935B0" w:rsidRPr="007A6742">
        <w:rPr>
          <w:rFonts w:asciiTheme="minorBidi" w:hAnsiTheme="minorBidi" w:cstheme="minorBidi"/>
        </w:rPr>
        <w:t>a</w:t>
      </w:r>
      <w:r w:rsidR="00F8262D" w:rsidRPr="007A6742">
        <w:rPr>
          <w:rFonts w:asciiTheme="minorBidi" w:hAnsiTheme="minorBidi" w:cstheme="minorBidi"/>
        </w:rPr>
        <w:t>id</w:t>
      </w:r>
      <w:r w:rsidR="00C9123C" w:rsidRPr="007A6742">
        <w:rPr>
          <w:rFonts w:asciiTheme="minorBidi" w:hAnsiTheme="minorBidi" w:cstheme="minorBidi"/>
        </w:rPr>
        <w:t>er les femmes travaillant</w:t>
      </w:r>
      <w:r w:rsidR="006725CE" w:rsidRPr="007A6742">
        <w:rPr>
          <w:rFonts w:asciiTheme="minorBidi" w:hAnsiTheme="minorBidi" w:cstheme="minorBidi"/>
        </w:rPr>
        <w:t xml:space="preserve"> </w:t>
      </w:r>
      <w:r w:rsidR="00C9123C" w:rsidRPr="007A6742">
        <w:rPr>
          <w:rFonts w:asciiTheme="minorBidi" w:hAnsiTheme="minorBidi" w:cstheme="minorBidi"/>
        </w:rPr>
        <w:t>à atteindre l’équilibre entre leur</w:t>
      </w:r>
      <w:r w:rsidR="003C7B49" w:rsidRPr="007A6742">
        <w:rPr>
          <w:rFonts w:asciiTheme="minorBidi" w:hAnsiTheme="minorBidi" w:cstheme="minorBidi"/>
        </w:rPr>
        <w:t xml:space="preserve"> </w:t>
      </w:r>
      <w:r w:rsidR="001F7649" w:rsidRPr="007A6742">
        <w:rPr>
          <w:rFonts w:asciiTheme="minorBidi" w:hAnsiTheme="minorBidi" w:cstheme="minorBidi"/>
        </w:rPr>
        <w:t>vie professionnelle</w:t>
      </w:r>
      <w:r w:rsidR="00F8262D" w:rsidRPr="007A6742">
        <w:rPr>
          <w:rFonts w:asciiTheme="minorBidi" w:hAnsiTheme="minorBidi" w:cstheme="minorBidi"/>
        </w:rPr>
        <w:t xml:space="preserve"> et familiale.</w:t>
      </w:r>
      <w:r w:rsidR="00BE421C">
        <w:rPr>
          <w:rFonts w:asciiTheme="minorBidi" w:hAnsiTheme="minorBidi" w:cstheme="minorBidi"/>
        </w:rPr>
        <w:t xml:space="preserve"> </w:t>
      </w:r>
    </w:p>
    <w:p w14:paraId="29CC54DC" w14:textId="28D4971E" w:rsidR="00B935B0" w:rsidRPr="007A6742" w:rsidRDefault="009211EE" w:rsidP="00B935B0">
      <w:pPr>
        <w:rPr>
          <w:rFonts w:asciiTheme="minorBidi" w:hAnsiTheme="minorBidi" w:cstheme="minorBidi"/>
        </w:rPr>
      </w:pPr>
      <w:r w:rsidRPr="007A6742">
        <w:rPr>
          <w:rFonts w:asciiTheme="minorBidi" w:hAnsiTheme="minorBidi" w:cstheme="minorBidi"/>
        </w:rPr>
        <w:t>A la lumière de</w:t>
      </w:r>
      <w:r w:rsidR="002C2FFB" w:rsidRPr="007A6742">
        <w:rPr>
          <w:rFonts w:asciiTheme="minorBidi" w:hAnsiTheme="minorBidi" w:cstheme="minorBidi"/>
        </w:rPr>
        <w:t xml:space="preserve">s recommandations </w:t>
      </w:r>
      <w:r w:rsidR="00D94C58" w:rsidRPr="007A6742">
        <w:rPr>
          <w:rFonts w:asciiTheme="minorBidi" w:hAnsiTheme="minorBidi" w:cstheme="minorBidi"/>
        </w:rPr>
        <w:t>émises,</w:t>
      </w:r>
      <w:r w:rsidRPr="007A6742">
        <w:rPr>
          <w:rFonts w:asciiTheme="minorBidi" w:hAnsiTheme="minorBidi" w:cstheme="minorBidi"/>
        </w:rPr>
        <w:t xml:space="preserve"> le MSNFCF s’est engagé à renforcer le dispositif de prise en charge du jeune enfant dans les EPE, </w:t>
      </w:r>
      <w:r w:rsidR="00D94C58" w:rsidRPr="007A6742">
        <w:rPr>
          <w:rFonts w:asciiTheme="minorBidi" w:hAnsiTheme="minorBidi" w:cstheme="minorBidi"/>
        </w:rPr>
        <w:t xml:space="preserve">et </w:t>
      </w:r>
      <w:r w:rsidR="00B118AE" w:rsidRPr="007A6742">
        <w:rPr>
          <w:rFonts w:asciiTheme="minorBidi" w:hAnsiTheme="minorBidi" w:cstheme="minorBidi"/>
        </w:rPr>
        <w:t>a requis</w:t>
      </w:r>
      <w:r w:rsidR="00D94C58" w:rsidRPr="007A6742">
        <w:rPr>
          <w:rFonts w:asciiTheme="minorBidi" w:hAnsiTheme="minorBidi" w:cstheme="minorBidi"/>
        </w:rPr>
        <w:t xml:space="preserve"> le soutien de</w:t>
      </w:r>
      <w:r w:rsidR="00B935B0" w:rsidRPr="007A6742">
        <w:rPr>
          <w:rFonts w:asciiTheme="minorBidi" w:hAnsiTheme="minorBidi" w:cstheme="minorBidi"/>
        </w:rPr>
        <w:t xml:space="preserve"> l’UNICEF</w:t>
      </w:r>
      <w:r w:rsidR="00D94C58" w:rsidRPr="007A6742">
        <w:rPr>
          <w:rFonts w:asciiTheme="minorBidi" w:hAnsiTheme="minorBidi" w:cstheme="minorBidi"/>
        </w:rPr>
        <w:t xml:space="preserve"> pour ce faire</w:t>
      </w:r>
      <w:r w:rsidR="002C2FFB" w:rsidRPr="007A6742">
        <w:rPr>
          <w:rFonts w:asciiTheme="minorBidi" w:hAnsiTheme="minorBidi" w:cstheme="minorBidi"/>
        </w:rPr>
        <w:t xml:space="preserve">. </w:t>
      </w:r>
      <w:r w:rsidR="00D26092" w:rsidRPr="007A6742">
        <w:rPr>
          <w:rFonts w:asciiTheme="minorBidi" w:hAnsiTheme="minorBidi" w:cstheme="minorBidi"/>
        </w:rPr>
        <w:t xml:space="preserve">L’assistance technique recherchée visera à répondre aux besoins des </w:t>
      </w:r>
      <w:r w:rsidR="00BE421C">
        <w:rPr>
          <w:color w:val="000000" w:themeColor="text1"/>
        </w:rPr>
        <w:t xml:space="preserve">EPE </w:t>
      </w:r>
      <w:r w:rsidR="00D26092" w:rsidRPr="007A6742">
        <w:rPr>
          <w:color w:val="000000" w:themeColor="text1"/>
        </w:rPr>
        <w:t xml:space="preserve">pour un meilleur accueil des jeunes enfants, avec particulièrement le renforcement d’outils spécifiques </w:t>
      </w:r>
      <w:r w:rsidR="00BE421C">
        <w:rPr>
          <w:color w:val="000000" w:themeColor="text1"/>
        </w:rPr>
        <w:t>dont le</w:t>
      </w:r>
      <w:r w:rsidR="00BE421C">
        <w:rPr>
          <w:rFonts w:asciiTheme="minorBidi" w:hAnsiTheme="minorBidi" w:cstheme="minorBidi"/>
        </w:rPr>
        <w:t xml:space="preserve"> projet d’établissement, l</w:t>
      </w:r>
      <w:r w:rsidR="00D26092" w:rsidRPr="007A6742">
        <w:rPr>
          <w:rFonts w:asciiTheme="minorBidi" w:hAnsiTheme="minorBidi" w:cstheme="minorBidi"/>
        </w:rPr>
        <w:t>e projet socio-éducatif, de</w:t>
      </w:r>
      <w:r w:rsidR="00BE421C">
        <w:rPr>
          <w:rFonts w:asciiTheme="minorBidi" w:hAnsiTheme="minorBidi" w:cstheme="minorBidi"/>
        </w:rPr>
        <w:t>s</w:t>
      </w:r>
      <w:r w:rsidR="00D26092" w:rsidRPr="007A6742">
        <w:rPr>
          <w:rFonts w:asciiTheme="minorBidi" w:hAnsiTheme="minorBidi" w:cstheme="minorBidi"/>
        </w:rPr>
        <w:t xml:space="preserve"> programmes d’activités, une association des parents, des dispositions d’accueil des enfants ayant des besoins spécifiques. Elle devra permettre d’autre part un renforcement du système de suivi et d’évaluation par les EPE </w:t>
      </w:r>
      <w:r w:rsidR="00BE421C">
        <w:rPr>
          <w:rFonts w:asciiTheme="minorBidi" w:hAnsiTheme="minorBidi" w:cstheme="minorBidi"/>
        </w:rPr>
        <w:t>et</w:t>
      </w:r>
      <w:r w:rsidR="00D26092" w:rsidRPr="007A6742">
        <w:rPr>
          <w:rFonts w:asciiTheme="minorBidi" w:hAnsiTheme="minorBidi" w:cstheme="minorBidi"/>
        </w:rPr>
        <w:t xml:space="preserve"> par l’autorité </w:t>
      </w:r>
      <w:r w:rsidR="000E79FA" w:rsidRPr="007A6742">
        <w:rPr>
          <w:rFonts w:asciiTheme="minorBidi" w:hAnsiTheme="minorBidi" w:cstheme="minorBidi"/>
        </w:rPr>
        <w:t>compétente,</w:t>
      </w:r>
      <w:r w:rsidR="00D26092" w:rsidRPr="007A6742">
        <w:rPr>
          <w:rFonts w:asciiTheme="minorBidi" w:hAnsiTheme="minorBidi" w:cstheme="minorBidi"/>
        </w:rPr>
        <w:t xml:space="preserve"> les</w:t>
      </w:r>
      <w:r w:rsidR="00BE421C">
        <w:rPr>
          <w:rFonts w:asciiTheme="minorBidi" w:hAnsiTheme="minorBidi" w:cstheme="minorBidi"/>
        </w:rPr>
        <w:t xml:space="preserve"> D</w:t>
      </w:r>
      <w:r w:rsidR="000E79FA" w:rsidRPr="007A6742">
        <w:rPr>
          <w:rFonts w:asciiTheme="minorBidi" w:hAnsiTheme="minorBidi" w:cstheme="minorBidi"/>
        </w:rPr>
        <w:t xml:space="preserve">irections </w:t>
      </w:r>
      <w:r w:rsidR="00D26092" w:rsidRPr="007A6742">
        <w:rPr>
          <w:rFonts w:asciiTheme="minorBidi" w:hAnsiTheme="minorBidi" w:cstheme="minorBidi"/>
        </w:rPr>
        <w:t>de</w:t>
      </w:r>
      <w:r w:rsidR="00BE421C">
        <w:rPr>
          <w:rFonts w:asciiTheme="minorBidi" w:hAnsiTheme="minorBidi" w:cstheme="minorBidi"/>
        </w:rPr>
        <w:t xml:space="preserve"> l’A</w:t>
      </w:r>
      <w:r w:rsidR="000E79FA" w:rsidRPr="007A6742">
        <w:rPr>
          <w:rFonts w:asciiTheme="minorBidi" w:hAnsiTheme="minorBidi" w:cstheme="minorBidi"/>
        </w:rPr>
        <w:t xml:space="preserve">ction </w:t>
      </w:r>
      <w:r w:rsidR="00D26092" w:rsidRPr="007A6742">
        <w:rPr>
          <w:rFonts w:asciiTheme="minorBidi" w:hAnsiTheme="minorBidi" w:cstheme="minorBidi"/>
        </w:rPr>
        <w:t>Sociale</w:t>
      </w:r>
      <w:r w:rsidR="000E79FA" w:rsidRPr="007A6742">
        <w:rPr>
          <w:rFonts w:asciiTheme="minorBidi" w:hAnsiTheme="minorBidi" w:cstheme="minorBidi"/>
        </w:rPr>
        <w:t xml:space="preserve"> et de la </w:t>
      </w:r>
      <w:r w:rsidR="00BE421C">
        <w:rPr>
          <w:rFonts w:asciiTheme="minorBidi" w:hAnsiTheme="minorBidi" w:cstheme="minorBidi"/>
        </w:rPr>
        <w:t>S</w:t>
      </w:r>
      <w:r w:rsidR="00C66071" w:rsidRPr="007A6742">
        <w:rPr>
          <w:rFonts w:asciiTheme="minorBidi" w:hAnsiTheme="minorBidi" w:cstheme="minorBidi"/>
        </w:rPr>
        <w:t>olidarité de</w:t>
      </w:r>
      <w:r w:rsidR="00BE421C">
        <w:rPr>
          <w:rFonts w:asciiTheme="minorBidi" w:hAnsiTheme="minorBidi" w:cstheme="minorBidi"/>
        </w:rPr>
        <w:t xml:space="preserve"> Wilaya</w:t>
      </w:r>
      <w:r w:rsidR="000E79FA" w:rsidRPr="007A6742">
        <w:rPr>
          <w:rFonts w:asciiTheme="minorBidi" w:hAnsiTheme="minorBidi" w:cstheme="minorBidi"/>
        </w:rPr>
        <w:t>.</w:t>
      </w:r>
      <w:r w:rsidR="00BE421C">
        <w:rPr>
          <w:rFonts w:asciiTheme="minorBidi" w:hAnsiTheme="minorBidi" w:cstheme="minorBidi"/>
        </w:rPr>
        <w:t xml:space="preserve"> </w:t>
      </w:r>
      <w:r w:rsidR="002C2FFB" w:rsidRPr="007A6742">
        <w:rPr>
          <w:rFonts w:asciiTheme="minorBidi" w:hAnsiTheme="minorBidi" w:cstheme="minorBidi"/>
        </w:rPr>
        <w:t xml:space="preserve">Cette </w:t>
      </w:r>
      <w:r w:rsidR="007C1259" w:rsidRPr="007A6742">
        <w:rPr>
          <w:rFonts w:asciiTheme="minorBidi" w:hAnsiTheme="minorBidi" w:cstheme="minorBidi"/>
        </w:rPr>
        <w:t xml:space="preserve">assistance </w:t>
      </w:r>
      <w:r w:rsidR="00D26092" w:rsidRPr="007A6742">
        <w:rPr>
          <w:rFonts w:asciiTheme="minorBidi" w:hAnsiTheme="minorBidi" w:cstheme="minorBidi"/>
        </w:rPr>
        <w:t xml:space="preserve">technique s’inscrit </w:t>
      </w:r>
      <w:r w:rsidR="00B935B0" w:rsidRPr="007A6742">
        <w:rPr>
          <w:rFonts w:asciiTheme="minorBidi" w:hAnsiTheme="minorBidi" w:cstheme="minorBidi"/>
        </w:rPr>
        <w:t>dans le</w:t>
      </w:r>
      <w:r w:rsidR="002C2FFB" w:rsidRPr="007A6742">
        <w:rPr>
          <w:rFonts w:asciiTheme="minorBidi" w:hAnsiTheme="minorBidi" w:cstheme="minorBidi"/>
        </w:rPr>
        <w:t xml:space="preserve"> </w:t>
      </w:r>
      <w:r w:rsidR="00B935B0" w:rsidRPr="007A6742">
        <w:rPr>
          <w:rFonts w:asciiTheme="minorBidi" w:hAnsiTheme="minorBidi" w:cstheme="minorBidi"/>
        </w:rPr>
        <w:t>P</w:t>
      </w:r>
      <w:r w:rsidRPr="007A6742">
        <w:rPr>
          <w:rFonts w:asciiTheme="minorBidi" w:hAnsiTheme="minorBidi" w:cstheme="minorBidi"/>
        </w:rPr>
        <w:t xml:space="preserve">lan de </w:t>
      </w:r>
      <w:r w:rsidR="00B935B0" w:rsidRPr="007A6742">
        <w:rPr>
          <w:rFonts w:asciiTheme="minorBidi" w:hAnsiTheme="minorBidi" w:cstheme="minorBidi"/>
        </w:rPr>
        <w:t xml:space="preserve">travail conjoint </w:t>
      </w:r>
      <w:r w:rsidR="00B118AE" w:rsidRPr="007A6742">
        <w:rPr>
          <w:rFonts w:asciiTheme="minorBidi" w:hAnsiTheme="minorBidi" w:cstheme="minorBidi"/>
        </w:rPr>
        <w:t xml:space="preserve">2018-2019 </w:t>
      </w:r>
      <w:r w:rsidR="00B935B0" w:rsidRPr="007A6742">
        <w:rPr>
          <w:rFonts w:asciiTheme="minorBidi" w:hAnsiTheme="minorBidi" w:cstheme="minorBidi"/>
        </w:rPr>
        <w:t xml:space="preserve">signé </w:t>
      </w:r>
      <w:r w:rsidR="002C2FFB" w:rsidRPr="007A6742">
        <w:rPr>
          <w:rFonts w:asciiTheme="minorBidi" w:hAnsiTheme="minorBidi" w:cstheme="minorBidi"/>
        </w:rPr>
        <w:t>entre l’UNICEF et le MSNFCF</w:t>
      </w:r>
      <w:r w:rsidR="007C1259" w:rsidRPr="007A6742">
        <w:rPr>
          <w:rFonts w:asciiTheme="minorBidi" w:hAnsiTheme="minorBidi" w:cstheme="minorBidi"/>
        </w:rPr>
        <w:t>.</w:t>
      </w:r>
    </w:p>
    <w:p w14:paraId="1EE03612" w14:textId="77777777" w:rsidR="003F4BEC" w:rsidRPr="007A6742" w:rsidRDefault="008D3570" w:rsidP="003C0A16">
      <w:pPr>
        <w:pStyle w:val="Heading2"/>
      </w:pPr>
      <w:bookmarkStart w:id="3" w:name="_Toc318763969"/>
      <w:bookmarkStart w:id="4" w:name="_Toc486943936"/>
      <w:r w:rsidRPr="007A6742">
        <w:lastRenderedPageBreak/>
        <w:t>Objectif</w:t>
      </w:r>
      <w:bookmarkEnd w:id="3"/>
      <w:bookmarkEnd w:id="4"/>
      <w:r w:rsidR="007A3256" w:rsidRPr="007A6742">
        <w:t xml:space="preserve"> </w:t>
      </w:r>
      <w:r w:rsidR="00E2545D" w:rsidRPr="007A6742">
        <w:t>général</w:t>
      </w:r>
    </w:p>
    <w:p w14:paraId="1A870238" w14:textId="77777777" w:rsidR="00E2545D" w:rsidRPr="00BE421C" w:rsidRDefault="00976DFD" w:rsidP="009A0892">
      <w:pPr>
        <w:rPr>
          <w:rFonts w:asciiTheme="minorBidi" w:hAnsiTheme="minorBidi" w:cstheme="minorBidi"/>
        </w:rPr>
      </w:pPr>
      <w:r w:rsidRPr="007A6742">
        <w:rPr>
          <w:rFonts w:asciiTheme="minorBidi" w:hAnsiTheme="minorBidi" w:cstheme="minorBidi"/>
        </w:rPr>
        <w:t>L’</w:t>
      </w:r>
      <w:r w:rsidR="00441846" w:rsidRPr="007A6742">
        <w:rPr>
          <w:rFonts w:asciiTheme="minorBidi" w:hAnsiTheme="minorBidi" w:cstheme="minorBidi"/>
        </w:rPr>
        <w:t>objectif de l’assistance technique au MSNFCF est l’amélioration de</w:t>
      </w:r>
      <w:r w:rsidR="009A0892" w:rsidRPr="007A6742">
        <w:rPr>
          <w:rFonts w:asciiTheme="minorBidi" w:hAnsiTheme="minorBidi" w:cstheme="minorBidi"/>
        </w:rPr>
        <w:t>s prestations de</w:t>
      </w:r>
      <w:r w:rsidR="00C66071" w:rsidRPr="007A6742">
        <w:rPr>
          <w:rFonts w:asciiTheme="minorBidi" w:hAnsiTheme="minorBidi" w:cstheme="minorBidi"/>
        </w:rPr>
        <w:t>s</w:t>
      </w:r>
      <w:r w:rsidR="009A0892" w:rsidRPr="007A6742">
        <w:rPr>
          <w:rFonts w:asciiTheme="minorBidi" w:hAnsiTheme="minorBidi" w:cstheme="minorBidi"/>
        </w:rPr>
        <w:t xml:space="preserve"> </w:t>
      </w:r>
      <w:r w:rsidR="00C66071" w:rsidRPr="007A6742">
        <w:rPr>
          <w:rFonts w:asciiTheme="minorBidi" w:hAnsiTheme="minorBidi" w:cstheme="minorBidi"/>
        </w:rPr>
        <w:t xml:space="preserve">services </w:t>
      </w:r>
      <w:r w:rsidR="007A6742" w:rsidRPr="007A6742">
        <w:rPr>
          <w:rFonts w:asciiTheme="minorBidi" w:hAnsiTheme="minorBidi" w:cstheme="minorBidi"/>
        </w:rPr>
        <w:t>de prise</w:t>
      </w:r>
      <w:r w:rsidRPr="007A6742">
        <w:rPr>
          <w:rFonts w:asciiTheme="minorBidi" w:hAnsiTheme="minorBidi" w:cstheme="minorBidi"/>
        </w:rPr>
        <w:t xml:space="preserve"> en charge des enfants de trois mois à </w:t>
      </w:r>
      <w:r w:rsidR="007A3256" w:rsidRPr="007A6742">
        <w:rPr>
          <w:rFonts w:asciiTheme="minorBidi" w:hAnsiTheme="minorBidi" w:cstheme="minorBidi"/>
        </w:rPr>
        <w:t>cinq</w:t>
      </w:r>
      <w:r w:rsidR="008C308F" w:rsidRPr="007A6742">
        <w:rPr>
          <w:rFonts w:asciiTheme="minorBidi" w:hAnsiTheme="minorBidi" w:cstheme="minorBidi"/>
        </w:rPr>
        <w:t xml:space="preserve"> ans dans les établissements d’accueil de la petite enfance</w:t>
      </w:r>
      <w:r w:rsidR="00FB3A05" w:rsidRPr="007A6742">
        <w:rPr>
          <w:rFonts w:asciiTheme="minorBidi" w:hAnsiTheme="minorBidi" w:cstheme="minorBidi"/>
        </w:rPr>
        <w:t xml:space="preserve"> en </w:t>
      </w:r>
      <w:r w:rsidR="00C66071" w:rsidRPr="007A6742">
        <w:rPr>
          <w:rFonts w:asciiTheme="minorBidi" w:hAnsiTheme="minorBidi" w:cstheme="minorBidi"/>
        </w:rPr>
        <w:t>se</w:t>
      </w:r>
      <w:r w:rsidR="00FB3A05" w:rsidRPr="007A6742">
        <w:rPr>
          <w:rFonts w:asciiTheme="minorBidi" w:hAnsiTheme="minorBidi" w:cstheme="minorBidi"/>
        </w:rPr>
        <w:t xml:space="preserve"> référant aux objectifs de la </w:t>
      </w:r>
      <w:r w:rsidR="004468FC">
        <w:rPr>
          <w:rFonts w:asciiTheme="minorBidi" w:hAnsiTheme="minorBidi" w:cstheme="minorBidi"/>
        </w:rPr>
        <w:t>L</w:t>
      </w:r>
      <w:r w:rsidR="00FB3A05" w:rsidRPr="0061103E">
        <w:rPr>
          <w:rFonts w:asciiTheme="minorBidi" w:hAnsiTheme="minorBidi" w:cstheme="minorBidi"/>
        </w:rPr>
        <w:t xml:space="preserve">oi </w:t>
      </w:r>
      <w:r w:rsidR="007A6742" w:rsidRPr="0061103E">
        <w:rPr>
          <w:rFonts w:asciiTheme="minorBidi" w:hAnsiTheme="minorBidi" w:cstheme="minorBidi"/>
        </w:rPr>
        <w:t>nationale d’orientation</w:t>
      </w:r>
      <w:r w:rsidR="00FB3A05" w:rsidRPr="0061103E">
        <w:rPr>
          <w:rFonts w:asciiTheme="minorBidi" w:hAnsiTheme="minorBidi" w:cstheme="minorBidi"/>
        </w:rPr>
        <w:t xml:space="preserve"> scolaire de 2008</w:t>
      </w:r>
      <w:r w:rsidR="0061103E" w:rsidRPr="0061103E">
        <w:rPr>
          <w:rStyle w:val="FootnoteReference"/>
          <w:rFonts w:asciiTheme="minorBidi" w:hAnsiTheme="minorBidi" w:cstheme="minorBidi"/>
        </w:rPr>
        <w:footnoteReference w:id="2"/>
      </w:r>
      <w:r w:rsidR="004468FC">
        <w:rPr>
          <w:rFonts w:asciiTheme="minorBidi" w:hAnsiTheme="minorBidi" w:cstheme="minorBidi"/>
        </w:rPr>
        <w:t>,</w:t>
      </w:r>
      <w:r w:rsidR="00FB3A05" w:rsidRPr="0061103E">
        <w:rPr>
          <w:rFonts w:asciiTheme="minorBidi" w:hAnsiTheme="minorBidi" w:cstheme="minorBidi"/>
        </w:rPr>
        <w:t xml:space="preserve"> notamment en </w:t>
      </w:r>
      <w:r w:rsidR="00FB3A05" w:rsidRPr="00BE421C">
        <w:rPr>
          <w:rFonts w:asciiTheme="minorBidi" w:hAnsiTheme="minorBidi" w:cstheme="minorBidi"/>
        </w:rPr>
        <w:t xml:space="preserve">termes </w:t>
      </w:r>
      <w:r w:rsidR="00FB3A05" w:rsidRPr="00BE421C">
        <w:rPr>
          <w:rFonts w:asciiTheme="minorBidi" w:hAnsiTheme="minorBidi" w:cstheme="minorBidi"/>
          <w:bCs/>
        </w:rPr>
        <w:t>de compétences de base</w:t>
      </w:r>
      <w:r w:rsidR="00CE3E4F" w:rsidRPr="00BE421C">
        <w:rPr>
          <w:rFonts w:asciiTheme="minorBidi" w:hAnsiTheme="minorBidi" w:cstheme="minorBidi"/>
          <w:bCs/>
        </w:rPr>
        <w:t xml:space="preserve"> </w:t>
      </w:r>
      <w:r w:rsidR="00FB3A05" w:rsidRPr="00BE421C">
        <w:rPr>
          <w:rFonts w:asciiTheme="minorBidi" w:hAnsiTheme="minorBidi" w:cstheme="minorBidi"/>
        </w:rPr>
        <w:t xml:space="preserve">(dont </w:t>
      </w:r>
      <w:r w:rsidR="00C66071" w:rsidRPr="00BE421C">
        <w:rPr>
          <w:rFonts w:asciiTheme="minorBidi" w:hAnsiTheme="minorBidi" w:cstheme="minorBidi"/>
        </w:rPr>
        <w:t xml:space="preserve">les </w:t>
      </w:r>
      <w:r w:rsidR="00FB3A05" w:rsidRPr="00BE421C">
        <w:rPr>
          <w:rFonts w:asciiTheme="minorBidi" w:hAnsiTheme="minorBidi" w:cstheme="minorBidi"/>
          <w:bCs/>
        </w:rPr>
        <w:t>compétence</w:t>
      </w:r>
      <w:r w:rsidR="00C66071" w:rsidRPr="00BE421C">
        <w:rPr>
          <w:rFonts w:asciiTheme="minorBidi" w:hAnsiTheme="minorBidi" w:cstheme="minorBidi"/>
          <w:bCs/>
        </w:rPr>
        <w:t>s</w:t>
      </w:r>
      <w:r w:rsidR="00FB3A05" w:rsidRPr="00BE421C">
        <w:rPr>
          <w:rFonts w:asciiTheme="minorBidi" w:hAnsiTheme="minorBidi" w:cstheme="minorBidi"/>
          <w:bCs/>
        </w:rPr>
        <w:t xml:space="preserve"> culturelle</w:t>
      </w:r>
      <w:r w:rsidR="00C66071" w:rsidRPr="00BE421C">
        <w:rPr>
          <w:rFonts w:asciiTheme="minorBidi" w:hAnsiTheme="minorBidi" w:cstheme="minorBidi"/>
          <w:bCs/>
        </w:rPr>
        <w:t>s</w:t>
      </w:r>
      <w:r w:rsidR="00FB3A05" w:rsidRPr="00BE421C">
        <w:rPr>
          <w:rFonts w:asciiTheme="minorBidi" w:hAnsiTheme="minorBidi" w:cstheme="minorBidi"/>
        </w:rPr>
        <w:t xml:space="preserve">) et en </w:t>
      </w:r>
      <w:r w:rsidR="00FB3A05" w:rsidRPr="00BE421C">
        <w:rPr>
          <w:rFonts w:asciiTheme="minorBidi" w:hAnsiTheme="minorBidi" w:cstheme="minorBidi"/>
          <w:bCs/>
        </w:rPr>
        <w:t xml:space="preserve">termes d’accès </w:t>
      </w:r>
      <w:r w:rsidR="00C66071" w:rsidRPr="00BE421C">
        <w:rPr>
          <w:rFonts w:asciiTheme="minorBidi" w:hAnsiTheme="minorBidi" w:cstheme="minorBidi"/>
          <w:bCs/>
        </w:rPr>
        <w:t>au</w:t>
      </w:r>
      <w:r w:rsidR="00FB3A05" w:rsidRPr="00BE421C">
        <w:rPr>
          <w:rFonts w:asciiTheme="minorBidi" w:hAnsiTheme="minorBidi" w:cstheme="minorBidi"/>
          <w:bCs/>
        </w:rPr>
        <w:t xml:space="preserve"> savoir</w:t>
      </w:r>
      <w:r w:rsidR="00CE3E4F" w:rsidRPr="00BE421C">
        <w:rPr>
          <w:rFonts w:asciiTheme="minorBidi" w:hAnsiTheme="minorBidi" w:cstheme="minorBidi"/>
        </w:rPr>
        <w:t>.</w:t>
      </w:r>
    </w:p>
    <w:p w14:paraId="486CE23B" w14:textId="77777777" w:rsidR="00D13658" w:rsidRPr="007A6742" w:rsidRDefault="00D13658" w:rsidP="003C0A16">
      <w:pPr>
        <w:pStyle w:val="Heading2"/>
      </w:pPr>
      <w:r w:rsidRPr="007A6742">
        <w:t>Objectifs spécifiques</w:t>
      </w:r>
    </w:p>
    <w:p w14:paraId="142FBAA4" w14:textId="77777777" w:rsidR="008D3570" w:rsidRPr="007A6742" w:rsidRDefault="00406A5F" w:rsidP="007A6742">
      <w:pPr>
        <w:pStyle w:val="ListParagraph"/>
      </w:pPr>
      <w:r w:rsidRPr="007A6742">
        <w:t xml:space="preserve">Développer un programme </w:t>
      </w:r>
      <w:r w:rsidR="00D26092" w:rsidRPr="007A6742">
        <w:t xml:space="preserve">unifié et des outils </w:t>
      </w:r>
      <w:r w:rsidRPr="007A6742">
        <w:t xml:space="preserve">de prise en charge du jeune enfant dans les EPE sur la base des bonnes pratiques documentées </w:t>
      </w:r>
      <w:r w:rsidR="00D26092" w:rsidRPr="007A6742">
        <w:t>et des standards internationaux</w:t>
      </w:r>
    </w:p>
    <w:p w14:paraId="0617EAD1" w14:textId="77777777" w:rsidR="004468FC" w:rsidRPr="007A6742" w:rsidRDefault="004468FC" w:rsidP="004468FC">
      <w:pPr>
        <w:pStyle w:val="ListParagraph"/>
        <w:rPr>
          <w:rFonts w:asciiTheme="minorBidi" w:hAnsiTheme="minorBidi" w:cstheme="minorBidi"/>
        </w:rPr>
      </w:pPr>
      <w:r w:rsidRPr="007A6742">
        <w:t xml:space="preserve">Renforcer les outils et méthodes de suivi et d’évaluation de la prise en charge du jeune enfant par les EPE et les responsables </w:t>
      </w:r>
      <w:r w:rsidRPr="007A6742">
        <w:rPr>
          <w:rFonts w:asciiTheme="minorBidi" w:hAnsiTheme="minorBidi" w:cstheme="minorBidi"/>
        </w:rPr>
        <w:t>des Directions de l’Action Sociale et de la Solidarité de</w:t>
      </w:r>
      <w:r>
        <w:rPr>
          <w:rFonts w:asciiTheme="minorBidi" w:hAnsiTheme="minorBidi" w:cstheme="minorBidi"/>
        </w:rPr>
        <w:t xml:space="preserve"> Wilaya</w:t>
      </w:r>
    </w:p>
    <w:p w14:paraId="3B8E45F0" w14:textId="13FAE68B" w:rsidR="00432A8F" w:rsidRDefault="00406A5F" w:rsidP="003C0A16">
      <w:pPr>
        <w:pStyle w:val="ListParagraph"/>
      </w:pPr>
      <w:r w:rsidRPr="007A6742">
        <w:t>Renforcer les compétences</w:t>
      </w:r>
      <w:r w:rsidR="004468FC">
        <w:t xml:space="preserve"> des professionnels intervenant</w:t>
      </w:r>
      <w:r w:rsidRPr="007A6742">
        <w:t xml:space="preserve"> dans les EPE par le développement de curriculum de formation sur la base de l’évaluation des formations existantes et des standards internationaux</w:t>
      </w:r>
    </w:p>
    <w:p w14:paraId="086F56F5" w14:textId="667F4531" w:rsidR="008D3570" w:rsidRPr="007A6742" w:rsidRDefault="00A15CCA" w:rsidP="003C0A16">
      <w:pPr>
        <w:pStyle w:val="Heading2"/>
      </w:pPr>
      <w:r w:rsidRPr="007A6742">
        <w:t>Activités</w:t>
      </w:r>
    </w:p>
    <w:p w14:paraId="3267A8EE" w14:textId="186C19B2" w:rsidR="00A30AC0" w:rsidRPr="007A6742" w:rsidRDefault="00E2545D" w:rsidP="00634E49">
      <w:pPr>
        <w:rPr>
          <w:rFonts w:asciiTheme="minorBidi" w:hAnsiTheme="minorBidi" w:cstheme="minorBidi"/>
        </w:rPr>
      </w:pPr>
      <w:r w:rsidRPr="007A6742">
        <w:rPr>
          <w:rFonts w:asciiTheme="minorBidi" w:hAnsiTheme="minorBidi" w:cstheme="minorBidi"/>
        </w:rPr>
        <w:t>Afin d’atteindre ces objectifs</w:t>
      </w:r>
      <w:r w:rsidR="00A30AC0" w:rsidRPr="007A6742">
        <w:rPr>
          <w:rFonts w:asciiTheme="minorBidi" w:hAnsiTheme="minorBidi" w:cstheme="minorBidi"/>
        </w:rPr>
        <w:t xml:space="preserve">, </w:t>
      </w:r>
      <w:r w:rsidR="00A15CCA" w:rsidRPr="007A6742">
        <w:rPr>
          <w:rFonts w:asciiTheme="minorBidi" w:hAnsiTheme="minorBidi" w:cstheme="minorBidi"/>
        </w:rPr>
        <w:t>l’expertise</w:t>
      </w:r>
      <w:r w:rsidR="006725CE" w:rsidRPr="007A6742">
        <w:rPr>
          <w:rFonts w:asciiTheme="minorBidi" w:hAnsiTheme="minorBidi" w:cstheme="minorBidi"/>
        </w:rPr>
        <w:t xml:space="preserve"> </w:t>
      </w:r>
      <w:r w:rsidR="00A15CCA" w:rsidRPr="007A6742">
        <w:rPr>
          <w:rFonts w:asciiTheme="minorBidi" w:hAnsiTheme="minorBidi" w:cstheme="minorBidi"/>
        </w:rPr>
        <w:t>mobilisée</w:t>
      </w:r>
      <w:r w:rsidR="00A30AC0" w:rsidRPr="007A6742">
        <w:rPr>
          <w:rFonts w:asciiTheme="minorBidi" w:hAnsiTheme="minorBidi" w:cstheme="minorBidi"/>
        </w:rPr>
        <w:t xml:space="preserve"> par l’UNICEF </w:t>
      </w:r>
      <w:r w:rsidR="00042DF5">
        <w:rPr>
          <w:rFonts w:asciiTheme="minorBidi" w:hAnsiTheme="minorBidi" w:cstheme="minorBidi"/>
        </w:rPr>
        <w:t xml:space="preserve">réalisera </w:t>
      </w:r>
      <w:r w:rsidR="00086405" w:rsidRPr="007A6742">
        <w:rPr>
          <w:rFonts w:asciiTheme="minorBidi" w:hAnsiTheme="minorBidi" w:cstheme="minorBidi"/>
        </w:rPr>
        <w:t>les</w:t>
      </w:r>
      <w:r w:rsidR="009A0892" w:rsidRPr="007A6742">
        <w:rPr>
          <w:rFonts w:asciiTheme="minorBidi" w:hAnsiTheme="minorBidi" w:cstheme="minorBidi"/>
        </w:rPr>
        <w:t xml:space="preserve"> </w:t>
      </w:r>
      <w:r w:rsidR="00A30AC0" w:rsidRPr="007A6742">
        <w:rPr>
          <w:rFonts w:asciiTheme="minorBidi" w:hAnsiTheme="minorBidi" w:cstheme="minorBidi"/>
        </w:rPr>
        <w:t>activités suivantes :</w:t>
      </w:r>
    </w:p>
    <w:p w14:paraId="4DC88794" w14:textId="651740EF" w:rsidR="002C6395" w:rsidRPr="007A6742" w:rsidRDefault="003778F9" w:rsidP="007A6742">
      <w:pPr>
        <w:pStyle w:val="ListParagraph"/>
        <w:numPr>
          <w:ilvl w:val="0"/>
          <w:numId w:val="18"/>
        </w:numPr>
      </w:pPr>
      <w:r w:rsidRPr="007A6742">
        <w:t xml:space="preserve">Documentation des bonnes pratiques </w:t>
      </w:r>
      <w:r w:rsidR="00042DF5">
        <w:t xml:space="preserve">(sur base des standards internationaux) </w:t>
      </w:r>
      <w:r w:rsidRPr="007A6742">
        <w:t xml:space="preserve">dans la prise en charge des enfants par les établissements d’accueil de la petite enfance (EPE) à travers </w:t>
      </w:r>
    </w:p>
    <w:p w14:paraId="21061FCB" w14:textId="77777777" w:rsidR="002C6395" w:rsidRPr="007A6742" w:rsidRDefault="00556E87" w:rsidP="007A6742">
      <w:pPr>
        <w:pStyle w:val="ListParagraph"/>
        <w:numPr>
          <w:ilvl w:val="1"/>
          <w:numId w:val="18"/>
        </w:numPr>
      </w:pPr>
      <w:r w:rsidRPr="007A6742">
        <w:t>Une</w:t>
      </w:r>
      <w:r w:rsidR="003778F9" w:rsidRPr="007A6742">
        <w:t xml:space="preserve"> revue des outils et </w:t>
      </w:r>
      <w:r w:rsidR="004468FC">
        <w:t>de la documentation disponible</w:t>
      </w:r>
    </w:p>
    <w:p w14:paraId="02FE7F39" w14:textId="77777777" w:rsidR="009C02DA" w:rsidRPr="007A6742" w:rsidRDefault="00556E87" w:rsidP="007A6742">
      <w:pPr>
        <w:pStyle w:val="ListParagraph"/>
        <w:numPr>
          <w:ilvl w:val="1"/>
          <w:numId w:val="18"/>
        </w:numPr>
      </w:pPr>
      <w:r w:rsidRPr="007A6742">
        <w:t>Une</w:t>
      </w:r>
      <w:r w:rsidR="003778F9" w:rsidRPr="007A6742">
        <w:t xml:space="preserve"> consultation des profe</w:t>
      </w:r>
      <w:r w:rsidR="00D26092" w:rsidRPr="007A6742">
        <w:t>ssionnels du secteur et d</w:t>
      </w:r>
      <w:r w:rsidR="003778F9" w:rsidRPr="007A6742">
        <w:t>es parties prenan</w:t>
      </w:r>
      <w:r w:rsidR="00D26092" w:rsidRPr="007A6742">
        <w:t>tes (public, privé, associatif)</w:t>
      </w:r>
    </w:p>
    <w:p w14:paraId="78636454" w14:textId="75851223" w:rsidR="00EC2A8B" w:rsidRPr="007A6742" w:rsidRDefault="00EC2A8B" w:rsidP="007A6742">
      <w:pPr>
        <w:pStyle w:val="ListParagraph"/>
        <w:numPr>
          <w:ilvl w:val="0"/>
          <w:numId w:val="18"/>
        </w:numPr>
      </w:pPr>
      <w:r w:rsidRPr="007A6742">
        <w:t>Evaluation de l’ensemble des formations mises en œuvre</w:t>
      </w:r>
      <w:r w:rsidR="00042DF5">
        <w:t xml:space="preserve"> pour les professionnels intervenant dans le EPE</w:t>
      </w:r>
      <w:r w:rsidRPr="007A6742">
        <w:t xml:space="preserve"> par les secteurs public, privé et associatif</w:t>
      </w:r>
    </w:p>
    <w:p w14:paraId="180CD452" w14:textId="77777777" w:rsidR="003778F9" w:rsidRPr="007A6742" w:rsidRDefault="003778F9" w:rsidP="007A6742">
      <w:pPr>
        <w:pStyle w:val="ListParagraph"/>
        <w:numPr>
          <w:ilvl w:val="0"/>
          <w:numId w:val="18"/>
        </w:numPr>
      </w:pPr>
      <w:r w:rsidRPr="007A6742">
        <w:t xml:space="preserve">Développement d’un </w:t>
      </w:r>
      <w:r w:rsidR="00FC2867" w:rsidRPr="007A6742">
        <w:t>programme de</w:t>
      </w:r>
      <w:r w:rsidR="0071222B" w:rsidRPr="007A6742">
        <w:t xml:space="preserve"> prise en charge unifié</w:t>
      </w:r>
      <w:r w:rsidR="00EC2A8B" w:rsidRPr="007A6742">
        <w:t xml:space="preserve"> et consultation des professionnels et des parties prenantes avant validation par le MSNFCF</w:t>
      </w:r>
    </w:p>
    <w:p w14:paraId="3F3A0443" w14:textId="0AAB6C36" w:rsidR="00FC2867" w:rsidRPr="007A6742" w:rsidRDefault="002C6395" w:rsidP="007A6742">
      <w:pPr>
        <w:pStyle w:val="ListParagraph"/>
        <w:numPr>
          <w:ilvl w:val="0"/>
          <w:numId w:val="18"/>
        </w:numPr>
      </w:pPr>
      <w:r w:rsidRPr="007A6742">
        <w:t>Développement d’un g</w:t>
      </w:r>
      <w:r w:rsidR="00FC2867" w:rsidRPr="007A6742">
        <w:t xml:space="preserve">uide </w:t>
      </w:r>
      <w:r w:rsidR="00C11101" w:rsidRPr="007A6742">
        <w:t xml:space="preserve">ressource pour l’ensemble des professionnels intervenant dans les EPE, incluant </w:t>
      </w:r>
      <w:r w:rsidR="00FC2867" w:rsidRPr="007A6742">
        <w:t>outils didactiques, outils de su</w:t>
      </w:r>
      <w:r w:rsidR="00C11101" w:rsidRPr="007A6742">
        <w:t xml:space="preserve">ivi et d’évaluation pour les EPE et pour les </w:t>
      </w:r>
      <w:r w:rsidR="008A5DF2">
        <w:t>DAS</w:t>
      </w:r>
      <w:r w:rsidR="004712B5" w:rsidRPr="007A6742">
        <w:t xml:space="preserve"> </w:t>
      </w:r>
      <w:r w:rsidR="00556E87" w:rsidRPr="007A6742">
        <w:t>leur permettant d’assurer un contrôle effectif</w:t>
      </w:r>
      <w:r w:rsidR="00B17E4B" w:rsidRPr="007A6742">
        <w:t xml:space="preserve"> </w:t>
      </w:r>
      <w:r w:rsidR="00556E87" w:rsidRPr="007A6742">
        <w:t>de la qualité et des conditions dans lesquel</w:t>
      </w:r>
      <w:r w:rsidR="002778D4">
        <w:t>le</w:t>
      </w:r>
      <w:r w:rsidR="00556E87" w:rsidRPr="007A6742">
        <w:t xml:space="preserve">s les EPE offrent leurs </w:t>
      </w:r>
      <w:r w:rsidR="008B143C" w:rsidRPr="007A6742">
        <w:t>services</w:t>
      </w:r>
      <w:r w:rsidR="00B17E4B" w:rsidRPr="007A6742">
        <w:t xml:space="preserve"> </w:t>
      </w:r>
      <w:r w:rsidR="008B143C" w:rsidRPr="007A6742">
        <w:t>(</w:t>
      </w:r>
      <w:r w:rsidR="00D26092" w:rsidRPr="007A6742">
        <w:t>respect du cahier des charges</w:t>
      </w:r>
      <w:r w:rsidR="0060495C" w:rsidRPr="007A6742">
        <w:t>,</w:t>
      </w:r>
      <w:r w:rsidR="00556E87" w:rsidRPr="007A6742">
        <w:t xml:space="preserve"> des règles </w:t>
      </w:r>
      <w:r w:rsidR="00EC2A8B" w:rsidRPr="007A6742">
        <w:t xml:space="preserve">de construction, </w:t>
      </w:r>
      <w:r w:rsidR="00556E87" w:rsidRPr="007A6742">
        <w:t>d’hygiène</w:t>
      </w:r>
      <w:r w:rsidR="007A6742" w:rsidRPr="007A6742">
        <w:t>,</w:t>
      </w:r>
      <w:r w:rsidR="00556E87" w:rsidRPr="007A6742">
        <w:t xml:space="preserve"> </w:t>
      </w:r>
      <w:r w:rsidR="002778D4">
        <w:t xml:space="preserve">de </w:t>
      </w:r>
      <w:r w:rsidR="004C5F51">
        <w:t>sécurité</w:t>
      </w:r>
      <w:r w:rsidR="00556E87" w:rsidRPr="007A6742">
        <w:t>…)</w:t>
      </w:r>
    </w:p>
    <w:p w14:paraId="2FC25A34" w14:textId="0936D65D" w:rsidR="00B56BA3" w:rsidRPr="007A6742" w:rsidRDefault="00B56BA3" w:rsidP="007A6742">
      <w:pPr>
        <w:pStyle w:val="ListParagraph"/>
        <w:numPr>
          <w:ilvl w:val="0"/>
          <w:numId w:val="18"/>
        </w:numPr>
      </w:pPr>
      <w:r w:rsidRPr="007A6742">
        <w:t>Fo</w:t>
      </w:r>
      <w:r w:rsidR="00EC2A8B" w:rsidRPr="007A6742">
        <w:t>rmation des C</w:t>
      </w:r>
      <w:r w:rsidR="00556E87" w:rsidRPr="007A6742">
        <w:t xml:space="preserve">hefs de services des </w:t>
      </w:r>
      <w:r w:rsidR="008A5DF2">
        <w:t>DAS</w:t>
      </w:r>
      <w:r w:rsidR="00556E87" w:rsidRPr="007A6742">
        <w:t xml:space="preserve"> chargés de la supervision des EPE</w:t>
      </w:r>
      <w:r w:rsidR="00EC2A8B" w:rsidRPr="007A6742">
        <w:t xml:space="preserve"> dans</w:t>
      </w:r>
      <w:r w:rsidR="004468FC">
        <w:t xml:space="preserve"> cinq</w:t>
      </w:r>
      <w:r w:rsidR="001956F0" w:rsidRPr="007A6742">
        <w:t xml:space="preserve"> régions pilotes</w:t>
      </w:r>
      <w:r w:rsidR="004468FC">
        <w:t xml:space="preserve"> sur la base du G</w:t>
      </w:r>
      <w:r w:rsidRPr="007A6742">
        <w:t xml:space="preserve">uide </w:t>
      </w:r>
      <w:r w:rsidR="00EC2A8B" w:rsidRPr="007A6742">
        <w:t>ressource</w:t>
      </w:r>
    </w:p>
    <w:p w14:paraId="4E0B4AE4" w14:textId="4B2D0B90" w:rsidR="00B56BA3" w:rsidRPr="007A6742" w:rsidRDefault="00EC2A8B" w:rsidP="007A6742">
      <w:pPr>
        <w:pStyle w:val="ListParagraph"/>
        <w:numPr>
          <w:ilvl w:val="0"/>
          <w:numId w:val="18"/>
        </w:numPr>
      </w:pPr>
      <w:r w:rsidRPr="007A6742">
        <w:t>Développement d’</w:t>
      </w:r>
      <w:r w:rsidR="001956F0" w:rsidRPr="007A6742">
        <w:t xml:space="preserve">outils de sensibilisation à </w:t>
      </w:r>
      <w:r w:rsidRPr="007A6742">
        <w:t xml:space="preserve">l’usage des Chefs de services des </w:t>
      </w:r>
      <w:r w:rsidR="008A5DF2">
        <w:t>DAS</w:t>
      </w:r>
      <w:r w:rsidRPr="007A6742">
        <w:t xml:space="preserve"> des </w:t>
      </w:r>
      <w:r w:rsidR="001956F0" w:rsidRPr="007A6742">
        <w:t>régions pilotes et destinés aux personnels des EPE</w:t>
      </w:r>
    </w:p>
    <w:p w14:paraId="2244EA0B" w14:textId="0E570F00" w:rsidR="005242BE" w:rsidRPr="007A6742" w:rsidRDefault="005242BE" w:rsidP="007A6742">
      <w:pPr>
        <w:pStyle w:val="ListParagraph"/>
        <w:numPr>
          <w:ilvl w:val="0"/>
          <w:numId w:val="18"/>
        </w:numPr>
      </w:pPr>
      <w:r w:rsidRPr="007A6742">
        <w:t xml:space="preserve">Test, revue et amélioration des outils de suivi et d’évaluation internes des EPE et de ceux à l’usage des </w:t>
      </w:r>
      <w:r w:rsidR="008A5DF2">
        <w:t>DAS</w:t>
      </w:r>
      <w:r w:rsidRPr="007A6742">
        <w:t xml:space="preserve"> dans les régions pilotes.</w:t>
      </w:r>
    </w:p>
    <w:p w14:paraId="48D359F9" w14:textId="0B3A624E" w:rsidR="00EC2A8B" w:rsidRPr="007A6742" w:rsidRDefault="005242BE" w:rsidP="007A6742">
      <w:pPr>
        <w:pStyle w:val="ListParagraph"/>
        <w:numPr>
          <w:ilvl w:val="0"/>
          <w:numId w:val="18"/>
        </w:numPr>
      </w:pPr>
      <w:r w:rsidRPr="007A6742">
        <w:t xml:space="preserve">Accompagnement </w:t>
      </w:r>
      <w:r w:rsidR="00EC2A8B" w:rsidRPr="007A6742">
        <w:t xml:space="preserve">de la sensibilisation des EPE des régions pilotes </w:t>
      </w:r>
      <w:r w:rsidR="004468FC">
        <w:t>sur</w:t>
      </w:r>
      <w:r w:rsidR="00EC2A8B" w:rsidRPr="007A6742">
        <w:t xml:space="preserve"> l’utilisation du Guide Resource et des outils de gestion et de prise en charge</w:t>
      </w:r>
      <w:r w:rsidRPr="007A6742">
        <w:t xml:space="preserve"> par les </w:t>
      </w:r>
      <w:r w:rsidR="008A5DF2">
        <w:t>DAS</w:t>
      </w:r>
    </w:p>
    <w:p w14:paraId="6F2F8536" w14:textId="4C05CC0A" w:rsidR="00927C8F" w:rsidRPr="007A6742" w:rsidRDefault="00DB3AFA" w:rsidP="004468FC">
      <w:pPr>
        <w:pStyle w:val="ListParagraph"/>
        <w:numPr>
          <w:ilvl w:val="0"/>
          <w:numId w:val="18"/>
        </w:numPr>
      </w:pPr>
      <w:r w:rsidRPr="007A6742">
        <w:t>Evaluation des pratiques dans les cinq régions pilotes, revue du Guide et outils et</w:t>
      </w:r>
      <w:r w:rsidR="00042DF5">
        <w:t xml:space="preserve"> proposition d’un</w:t>
      </w:r>
      <w:r w:rsidRPr="007A6742">
        <w:t xml:space="preserve"> plan de généralisation </w:t>
      </w:r>
      <w:r w:rsidR="00042DF5">
        <w:t xml:space="preserve">par le MSNCFC </w:t>
      </w:r>
      <w:r w:rsidRPr="007A6742">
        <w:t>en fin de projet</w:t>
      </w:r>
    </w:p>
    <w:p w14:paraId="0D166E11" w14:textId="77777777" w:rsidR="0061103E" w:rsidRPr="0061103E" w:rsidRDefault="003D0CEE" w:rsidP="003C0A16">
      <w:pPr>
        <w:pStyle w:val="Heading2"/>
      </w:pPr>
      <w:bookmarkStart w:id="5" w:name="_Toc486943940"/>
      <w:r w:rsidRPr="007A6742">
        <w:t>L</w:t>
      </w:r>
      <w:r w:rsidR="008D3570" w:rsidRPr="007A6742">
        <w:t>ivrables</w:t>
      </w:r>
      <w:bookmarkEnd w:id="5"/>
    </w:p>
    <w:tbl>
      <w:tblPr>
        <w:tblStyle w:val="TableGrid"/>
        <w:tblW w:w="9720" w:type="dxa"/>
        <w:tblInd w:w="-5" w:type="dxa"/>
        <w:tblLook w:val="04A0" w:firstRow="1" w:lastRow="0" w:firstColumn="1" w:lastColumn="0" w:noHBand="0" w:noVBand="1"/>
      </w:tblPr>
      <w:tblGrid>
        <w:gridCol w:w="740"/>
        <w:gridCol w:w="8980"/>
      </w:tblGrid>
      <w:tr w:rsidR="00C11101" w:rsidRPr="007A6742" w14:paraId="2BBBAFCA" w14:textId="77777777" w:rsidTr="00A609C5">
        <w:tc>
          <w:tcPr>
            <w:tcW w:w="740" w:type="dxa"/>
          </w:tcPr>
          <w:p w14:paraId="308948FC" w14:textId="77777777" w:rsidR="00C11101" w:rsidRPr="007A6742" w:rsidRDefault="00C11101" w:rsidP="00634E49">
            <w:pPr>
              <w:pStyle w:val="BodyText"/>
              <w:spacing w:after="0" w:line="240" w:lineRule="auto"/>
              <w:rPr>
                <w:rFonts w:asciiTheme="minorBidi" w:hAnsiTheme="minorBidi" w:cstheme="minorBidi"/>
                <w:b/>
              </w:rPr>
            </w:pPr>
            <w:bookmarkStart w:id="6" w:name="_Toc486943941"/>
            <w:bookmarkStart w:id="7" w:name="_Toc318763973"/>
            <w:bookmarkStart w:id="8" w:name="_Toc486943942"/>
            <w:bookmarkEnd w:id="6"/>
            <w:r w:rsidRPr="007A6742">
              <w:rPr>
                <w:rFonts w:asciiTheme="minorBidi" w:hAnsiTheme="minorBidi" w:cstheme="minorBidi"/>
                <w:b/>
              </w:rPr>
              <w:t>No</w:t>
            </w:r>
          </w:p>
        </w:tc>
        <w:tc>
          <w:tcPr>
            <w:tcW w:w="8980" w:type="dxa"/>
          </w:tcPr>
          <w:p w14:paraId="1DC1B7FA" w14:textId="77777777" w:rsidR="00C11101" w:rsidRPr="007A6742" w:rsidRDefault="00C11101" w:rsidP="00634E49">
            <w:pPr>
              <w:pStyle w:val="BodyText"/>
              <w:spacing w:after="0" w:line="240" w:lineRule="auto"/>
              <w:ind w:left="720"/>
              <w:rPr>
                <w:rFonts w:asciiTheme="minorBidi" w:hAnsiTheme="minorBidi" w:cstheme="minorBidi"/>
                <w:b/>
              </w:rPr>
            </w:pPr>
            <w:r w:rsidRPr="007A6742">
              <w:rPr>
                <w:rFonts w:asciiTheme="minorBidi" w:hAnsiTheme="minorBidi" w:cstheme="minorBidi"/>
                <w:b/>
              </w:rPr>
              <w:t>Livrables</w:t>
            </w:r>
          </w:p>
        </w:tc>
      </w:tr>
      <w:tr w:rsidR="00B546E4" w:rsidRPr="007A6742" w14:paraId="655AB278" w14:textId="77777777" w:rsidTr="00A609C5">
        <w:tc>
          <w:tcPr>
            <w:tcW w:w="740" w:type="dxa"/>
          </w:tcPr>
          <w:p w14:paraId="5A53942D" w14:textId="77777777" w:rsidR="00B546E4" w:rsidRPr="007A6742" w:rsidRDefault="00B546E4" w:rsidP="00B546E4">
            <w:pPr>
              <w:pStyle w:val="BodyText"/>
              <w:spacing w:after="0" w:line="240" w:lineRule="auto"/>
              <w:rPr>
                <w:rFonts w:asciiTheme="minorBidi" w:hAnsiTheme="minorBidi" w:cstheme="minorBidi"/>
              </w:rPr>
            </w:pPr>
            <w:r w:rsidRPr="007A6742">
              <w:rPr>
                <w:rFonts w:asciiTheme="minorBidi" w:hAnsiTheme="minorBidi" w:cstheme="minorBidi"/>
              </w:rPr>
              <w:t>1</w:t>
            </w:r>
          </w:p>
        </w:tc>
        <w:tc>
          <w:tcPr>
            <w:tcW w:w="8980" w:type="dxa"/>
          </w:tcPr>
          <w:p w14:paraId="53685A3D" w14:textId="77777777" w:rsidR="00B546E4" w:rsidRPr="007A6742" w:rsidRDefault="00B546E4" w:rsidP="00B546E4">
            <w:pPr>
              <w:pStyle w:val="BodyText"/>
              <w:spacing w:after="0" w:line="240" w:lineRule="auto"/>
              <w:ind w:left="157"/>
              <w:rPr>
                <w:rFonts w:asciiTheme="minorBidi" w:hAnsiTheme="minorBidi" w:cstheme="minorBidi"/>
                <w:color w:val="212121"/>
                <w:lang w:eastAsia="fr-FR"/>
              </w:rPr>
            </w:pPr>
            <w:r w:rsidRPr="007A6742">
              <w:rPr>
                <w:rFonts w:asciiTheme="minorBidi" w:hAnsiTheme="minorBidi" w:cstheme="minorBidi"/>
                <w:color w:val="212121"/>
                <w:lang w:eastAsia="fr-FR"/>
              </w:rPr>
              <w:t>Note méthodologique et plan de travail</w:t>
            </w:r>
          </w:p>
        </w:tc>
      </w:tr>
      <w:tr w:rsidR="00B546E4" w:rsidRPr="007A6742" w14:paraId="2749024B" w14:textId="77777777" w:rsidTr="00A609C5">
        <w:tc>
          <w:tcPr>
            <w:tcW w:w="740" w:type="dxa"/>
          </w:tcPr>
          <w:p w14:paraId="637D9D67" w14:textId="77777777" w:rsidR="00B546E4" w:rsidRPr="007A6742" w:rsidRDefault="00B546E4" w:rsidP="00B546E4">
            <w:pPr>
              <w:pStyle w:val="BodyText"/>
              <w:spacing w:after="0" w:line="240" w:lineRule="auto"/>
              <w:rPr>
                <w:rFonts w:asciiTheme="minorBidi" w:hAnsiTheme="minorBidi" w:cstheme="minorBidi"/>
              </w:rPr>
            </w:pPr>
            <w:r w:rsidRPr="007A6742">
              <w:rPr>
                <w:rFonts w:asciiTheme="minorBidi" w:hAnsiTheme="minorBidi" w:cstheme="minorBidi"/>
              </w:rPr>
              <w:t>2</w:t>
            </w:r>
          </w:p>
        </w:tc>
        <w:tc>
          <w:tcPr>
            <w:tcW w:w="8980" w:type="dxa"/>
          </w:tcPr>
          <w:p w14:paraId="650C6344" w14:textId="0515A836" w:rsidR="00B546E4" w:rsidRPr="007A6742" w:rsidRDefault="00B546E4" w:rsidP="00B546E4">
            <w:pPr>
              <w:pStyle w:val="BodyText"/>
              <w:spacing w:after="0" w:line="240" w:lineRule="auto"/>
              <w:ind w:left="157"/>
              <w:rPr>
                <w:rFonts w:asciiTheme="minorBidi" w:hAnsiTheme="minorBidi" w:cstheme="minorBidi"/>
                <w:color w:val="212121"/>
                <w:lang w:eastAsia="fr-FR"/>
              </w:rPr>
            </w:pPr>
            <w:r w:rsidRPr="007A6742">
              <w:rPr>
                <w:rFonts w:asciiTheme="minorBidi" w:hAnsiTheme="minorBidi" w:cstheme="minorBidi"/>
                <w:color w:val="212121"/>
                <w:lang w:eastAsia="fr-FR"/>
              </w:rPr>
              <w:t xml:space="preserve">Rapport analytique sur </w:t>
            </w:r>
            <w:r w:rsidR="00042DF5">
              <w:rPr>
                <w:rFonts w:asciiTheme="minorBidi" w:hAnsiTheme="minorBidi" w:cstheme="minorBidi"/>
                <w:color w:val="212121"/>
                <w:lang w:eastAsia="fr-FR"/>
              </w:rPr>
              <w:t xml:space="preserve">1) </w:t>
            </w:r>
            <w:r w:rsidRPr="007A6742">
              <w:rPr>
                <w:rFonts w:asciiTheme="minorBidi" w:hAnsiTheme="minorBidi" w:cstheme="minorBidi"/>
                <w:color w:val="212121"/>
                <w:lang w:eastAsia="fr-FR"/>
              </w:rPr>
              <w:t xml:space="preserve">les pratiques </w:t>
            </w:r>
            <w:r w:rsidR="004468FC">
              <w:rPr>
                <w:rFonts w:asciiTheme="minorBidi" w:hAnsiTheme="minorBidi" w:cstheme="minorBidi"/>
                <w:color w:val="212121"/>
                <w:lang w:eastAsia="fr-FR"/>
              </w:rPr>
              <w:t>de</w:t>
            </w:r>
            <w:r w:rsidRPr="007A6742">
              <w:rPr>
                <w:rFonts w:asciiTheme="minorBidi" w:hAnsiTheme="minorBidi" w:cstheme="minorBidi"/>
                <w:color w:val="212121"/>
                <w:lang w:eastAsia="fr-FR"/>
              </w:rPr>
              <w:t xml:space="preserve"> prise en charge dans les EPE, incluant des recommandations de suivi sur base de la revue documentaire et de la consultation des professionnels et parties prenantes </w:t>
            </w:r>
            <w:r w:rsidR="00042DF5">
              <w:rPr>
                <w:rFonts w:asciiTheme="minorBidi" w:hAnsiTheme="minorBidi" w:cstheme="minorBidi"/>
                <w:color w:val="212121"/>
                <w:lang w:eastAsia="fr-FR"/>
              </w:rPr>
              <w:t xml:space="preserve">et sur les formations dispensées </w:t>
            </w:r>
            <w:r w:rsidRPr="007A6742">
              <w:rPr>
                <w:rFonts w:asciiTheme="minorBidi" w:hAnsiTheme="minorBidi" w:cstheme="minorBidi"/>
                <w:color w:val="212121"/>
                <w:lang w:eastAsia="fr-FR"/>
              </w:rPr>
              <w:t>(en langue française)</w:t>
            </w:r>
            <w:r w:rsidR="004B1181">
              <w:rPr>
                <w:rFonts w:asciiTheme="minorBidi" w:hAnsiTheme="minorBidi" w:cstheme="minorBidi"/>
                <w:color w:val="212121"/>
                <w:lang w:eastAsia="fr-FR"/>
              </w:rPr>
              <w:t>.</w:t>
            </w:r>
          </w:p>
        </w:tc>
      </w:tr>
      <w:tr w:rsidR="00B546E4" w:rsidRPr="007A6742" w14:paraId="0E5AFD59" w14:textId="77777777" w:rsidTr="00A609C5">
        <w:tc>
          <w:tcPr>
            <w:tcW w:w="740" w:type="dxa"/>
          </w:tcPr>
          <w:p w14:paraId="36E9C1E0" w14:textId="77777777" w:rsidR="00B546E4" w:rsidRPr="007A6742" w:rsidRDefault="00B546E4" w:rsidP="00B546E4">
            <w:pPr>
              <w:pStyle w:val="BodyText"/>
              <w:spacing w:after="0" w:line="240" w:lineRule="auto"/>
              <w:rPr>
                <w:rFonts w:asciiTheme="minorBidi" w:hAnsiTheme="minorBidi" w:cstheme="minorBidi"/>
              </w:rPr>
            </w:pPr>
            <w:r w:rsidRPr="007A6742">
              <w:rPr>
                <w:rFonts w:asciiTheme="minorBidi" w:hAnsiTheme="minorBidi" w:cstheme="minorBidi"/>
              </w:rPr>
              <w:t>3</w:t>
            </w:r>
          </w:p>
        </w:tc>
        <w:tc>
          <w:tcPr>
            <w:tcW w:w="8980" w:type="dxa"/>
          </w:tcPr>
          <w:p w14:paraId="40BF84EB" w14:textId="77777777" w:rsidR="00B546E4" w:rsidRPr="007A6742" w:rsidRDefault="00B546E4" w:rsidP="00B546E4">
            <w:pPr>
              <w:pStyle w:val="BodyText"/>
              <w:spacing w:after="0" w:line="240" w:lineRule="auto"/>
              <w:ind w:left="157"/>
              <w:rPr>
                <w:rFonts w:asciiTheme="minorBidi" w:hAnsiTheme="minorBidi" w:cstheme="minorBidi"/>
                <w:color w:val="212121"/>
                <w:lang w:eastAsia="fr-FR"/>
              </w:rPr>
            </w:pPr>
            <w:r w:rsidRPr="007A6742">
              <w:rPr>
                <w:rFonts w:asciiTheme="minorBidi" w:hAnsiTheme="minorBidi" w:cstheme="minorBidi"/>
                <w:color w:val="212121"/>
                <w:lang w:eastAsia="fr-FR"/>
              </w:rPr>
              <w:t xml:space="preserve">Programme de prise en charge unifié </w:t>
            </w:r>
            <w:r w:rsidRPr="007A6742">
              <w:rPr>
                <w:rFonts w:asciiTheme="minorBidi" w:hAnsiTheme="minorBidi" w:cstheme="minorBidi"/>
              </w:rPr>
              <w:t>adapté au contexte du pays et conforme aux normes et standards internation</w:t>
            </w:r>
            <w:r w:rsidR="004468FC">
              <w:rPr>
                <w:rFonts w:asciiTheme="minorBidi" w:hAnsiTheme="minorBidi" w:cstheme="minorBidi"/>
              </w:rPr>
              <w:t>aux</w:t>
            </w:r>
            <w:r w:rsidRPr="007A6742">
              <w:rPr>
                <w:rFonts w:asciiTheme="minorBidi" w:hAnsiTheme="minorBidi" w:cstheme="minorBidi"/>
              </w:rPr>
              <w:t xml:space="preserve">, </w:t>
            </w:r>
            <w:r w:rsidRPr="007A6742">
              <w:rPr>
                <w:rFonts w:asciiTheme="minorBidi" w:hAnsiTheme="minorBidi" w:cstheme="minorBidi"/>
                <w:color w:val="212121"/>
                <w:lang w:eastAsia="fr-FR"/>
              </w:rPr>
              <w:t>en y associant les parties prenantes et validé par le MSNFCF (en langue française, puis arabe après validation)</w:t>
            </w:r>
          </w:p>
        </w:tc>
      </w:tr>
      <w:tr w:rsidR="00B546E4" w:rsidRPr="007A6742" w14:paraId="333BA05E" w14:textId="77777777" w:rsidTr="00A609C5">
        <w:tc>
          <w:tcPr>
            <w:tcW w:w="740" w:type="dxa"/>
          </w:tcPr>
          <w:p w14:paraId="53B5E7DE" w14:textId="77777777" w:rsidR="00B546E4" w:rsidRPr="007A6742" w:rsidRDefault="00B546E4" w:rsidP="00B546E4">
            <w:pPr>
              <w:pStyle w:val="BodyText"/>
              <w:spacing w:after="0" w:line="240" w:lineRule="auto"/>
              <w:rPr>
                <w:rFonts w:asciiTheme="minorBidi" w:hAnsiTheme="minorBidi" w:cstheme="minorBidi"/>
              </w:rPr>
            </w:pPr>
            <w:r w:rsidRPr="007A6742">
              <w:rPr>
                <w:rFonts w:asciiTheme="minorBidi" w:hAnsiTheme="minorBidi" w:cstheme="minorBidi"/>
              </w:rPr>
              <w:lastRenderedPageBreak/>
              <w:t>4</w:t>
            </w:r>
          </w:p>
        </w:tc>
        <w:tc>
          <w:tcPr>
            <w:tcW w:w="8980" w:type="dxa"/>
          </w:tcPr>
          <w:p w14:paraId="048D13C2" w14:textId="1C6C14E8" w:rsidR="00B546E4" w:rsidRPr="007A6742" w:rsidRDefault="00B546E4" w:rsidP="00B546E4">
            <w:pPr>
              <w:pStyle w:val="BodyText"/>
              <w:spacing w:after="0" w:line="240" w:lineRule="auto"/>
              <w:ind w:left="157"/>
              <w:rPr>
                <w:rFonts w:asciiTheme="minorBidi" w:hAnsiTheme="minorBidi" w:cstheme="minorBidi"/>
                <w:color w:val="212121"/>
                <w:lang w:eastAsia="fr-FR"/>
              </w:rPr>
            </w:pPr>
            <w:r w:rsidRPr="007A6742">
              <w:rPr>
                <w:rFonts w:asciiTheme="minorBidi" w:hAnsiTheme="minorBidi" w:cstheme="minorBidi"/>
                <w:color w:val="212121"/>
                <w:lang w:eastAsia="fr-FR"/>
              </w:rPr>
              <w:t xml:space="preserve">Guide de prise en charge dans les EPE incluant les outils didactiques à l’usage des professionnels des EPE et </w:t>
            </w:r>
            <w:r w:rsidRPr="007A6742">
              <w:rPr>
                <w:rFonts w:asciiTheme="minorBidi" w:hAnsiTheme="minorBidi" w:cstheme="minorBidi"/>
              </w:rPr>
              <w:t xml:space="preserve">des </w:t>
            </w:r>
            <w:r w:rsidR="004868F9" w:rsidRPr="007A6742">
              <w:rPr>
                <w:rFonts w:asciiTheme="minorBidi" w:hAnsiTheme="minorBidi" w:cstheme="minorBidi"/>
              </w:rPr>
              <w:t>o</w:t>
            </w:r>
            <w:r w:rsidRPr="007A6742">
              <w:rPr>
                <w:rFonts w:asciiTheme="minorBidi" w:hAnsiTheme="minorBidi" w:cstheme="minorBidi"/>
              </w:rPr>
              <w:t xml:space="preserve">utils de suivi et </w:t>
            </w:r>
            <w:r w:rsidR="004868F9" w:rsidRPr="007A6742">
              <w:rPr>
                <w:rFonts w:asciiTheme="minorBidi" w:hAnsiTheme="minorBidi" w:cstheme="minorBidi"/>
              </w:rPr>
              <w:t>évaluation pour</w:t>
            </w:r>
            <w:r w:rsidRPr="007A6742">
              <w:rPr>
                <w:rFonts w:asciiTheme="minorBidi" w:hAnsiTheme="minorBidi" w:cstheme="minorBidi"/>
              </w:rPr>
              <w:t xml:space="preserve"> les EPE et les </w:t>
            </w:r>
            <w:r w:rsidR="008A5DF2">
              <w:rPr>
                <w:rFonts w:asciiTheme="minorBidi" w:hAnsiTheme="minorBidi" w:cstheme="minorBidi"/>
              </w:rPr>
              <w:t>DAS</w:t>
            </w:r>
            <w:r w:rsidRPr="007A6742">
              <w:rPr>
                <w:rFonts w:asciiTheme="minorBidi" w:hAnsiTheme="minorBidi" w:cstheme="minorBidi"/>
                <w:color w:val="212121"/>
                <w:lang w:eastAsia="fr-FR"/>
              </w:rPr>
              <w:t xml:space="preserve"> (en langue française, puis arabe après validation)</w:t>
            </w:r>
          </w:p>
        </w:tc>
      </w:tr>
      <w:tr w:rsidR="00B546E4" w:rsidRPr="007A6742" w14:paraId="487D9A4D" w14:textId="77777777" w:rsidTr="00A609C5">
        <w:tc>
          <w:tcPr>
            <w:tcW w:w="740" w:type="dxa"/>
          </w:tcPr>
          <w:p w14:paraId="1183F40B" w14:textId="77777777" w:rsidR="00B546E4" w:rsidRPr="007A6742" w:rsidRDefault="00B24661" w:rsidP="00B546E4">
            <w:pPr>
              <w:pStyle w:val="BodyText"/>
              <w:spacing w:after="0" w:line="240" w:lineRule="auto"/>
              <w:rPr>
                <w:rFonts w:asciiTheme="minorBidi" w:hAnsiTheme="minorBidi" w:cstheme="minorBidi"/>
              </w:rPr>
            </w:pPr>
            <w:r w:rsidRPr="007A6742">
              <w:rPr>
                <w:rFonts w:asciiTheme="minorBidi" w:hAnsiTheme="minorBidi" w:cstheme="minorBidi"/>
                <w:bCs/>
              </w:rPr>
              <w:t>5</w:t>
            </w:r>
          </w:p>
        </w:tc>
        <w:tc>
          <w:tcPr>
            <w:tcW w:w="8980" w:type="dxa"/>
          </w:tcPr>
          <w:p w14:paraId="0E35FED3" w14:textId="121BABD6" w:rsidR="00B546E4" w:rsidRPr="007A6742" w:rsidRDefault="00B546E4" w:rsidP="00B24661">
            <w:pPr>
              <w:pStyle w:val="BodyText"/>
              <w:spacing w:after="0" w:line="240" w:lineRule="auto"/>
              <w:ind w:left="138"/>
              <w:rPr>
                <w:rFonts w:asciiTheme="minorBidi" w:hAnsiTheme="minorBidi" w:cstheme="minorBidi"/>
              </w:rPr>
            </w:pPr>
            <w:r w:rsidRPr="007A6742">
              <w:rPr>
                <w:rFonts w:asciiTheme="minorBidi" w:hAnsiTheme="minorBidi" w:cstheme="minorBidi"/>
              </w:rPr>
              <w:t xml:space="preserve">Plan de formation et rapports sur les formations mises en œuvre pour les responsables de toutes les </w:t>
            </w:r>
            <w:r w:rsidR="008A5DF2">
              <w:rPr>
                <w:rFonts w:asciiTheme="minorBidi" w:hAnsiTheme="minorBidi" w:cstheme="minorBidi"/>
              </w:rPr>
              <w:t>DAS</w:t>
            </w:r>
            <w:r w:rsidRPr="007A6742">
              <w:rPr>
                <w:rFonts w:asciiTheme="minorBidi" w:hAnsiTheme="minorBidi" w:cstheme="minorBidi"/>
              </w:rPr>
              <w:t xml:space="preserve"> dans les cinq régions pilotes </w:t>
            </w:r>
            <w:r w:rsidRPr="007A6742">
              <w:rPr>
                <w:rFonts w:asciiTheme="minorBidi" w:hAnsiTheme="minorBidi" w:cstheme="minorBidi"/>
                <w:lang w:eastAsia="fr-FR"/>
              </w:rPr>
              <w:t>(en langue</w:t>
            </w:r>
            <w:r w:rsidR="00B24661" w:rsidRPr="007A6742">
              <w:rPr>
                <w:rFonts w:asciiTheme="minorBidi" w:hAnsiTheme="minorBidi" w:cstheme="minorBidi"/>
                <w:lang w:eastAsia="fr-FR"/>
              </w:rPr>
              <w:t xml:space="preserve"> </w:t>
            </w:r>
            <w:r w:rsidR="00042DF5">
              <w:rPr>
                <w:rFonts w:asciiTheme="minorBidi" w:hAnsiTheme="minorBidi" w:cstheme="minorBidi"/>
                <w:lang w:eastAsia="fr-FR"/>
              </w:rPr>
              <w:t>arabe</w:t>
            </w:r>
            <w:r w:rsidR="00B24661" w:rsidRPr="007A6742">
              <w:rPr>
                <w:rFonts w:asciiTheme="minorBidi" w:hAnsiTheme="minorBidi" w:cstheme="minorBidi"/>
                <w:lang w:eastAsia="fr-FR"/>
              </w:rPr>
              <w:t xml:space="preserve"> et</w:t>
            </w:r>
            <w:r w:rsidRPr="007A6742">
              <w:rPr>
                <w:rFonts w:asciiTheme="minorBidi" w:hAnsiTheme="minorBidi" w:cstheme="minorBidi"/>
                <w:lang w:eastAsia="fr-FR"/>
              </w:rPr>
              <w:t xml:space="preserve"> </w:t>
            </w:r>
            <w:r w:rsidR="00042DF5">
              <w:rPr>
                <w:rFonts w:asciiTheme="minorBidi" w:hAnsiTheme="minorBidi" w:cstheme="minorBidi"/>
                <w:lang w:eastAsia="fr-FR"/>
              </w:rPr>
              <w:t>français</w:t>
            </w:r>
            <w:r w:rsidR="00B24661" w:rsidRPr="007A6742">
              <w:rPr>
                <w:rFonts w:asciiTheme="minorBidi" w:hAnsiTheme="minorBidi" w:cstheme="minorBidi"/>
                <w:lang w:eastAsia="fr-FR"/>
              </w:rPr>
              <w:t>)</w:t>
            </w:r>
            <w:r w:rsidRPr="007A6742">
              <w:rPr>
                <w:rFonts w:asciiTheme="minorBidi" w:hAnsiTheme="minorBidi" w:cstheme="minorBidi"/>
                <w:lang w:eastAsia="fr-FR"/>
              </w:rPr>
              <w:t>, incluant les</w:t>
            </w:r>
            <w:r w:rsidRPr="007A6742">
              <w:rPr>
                <w:rFonts w:asciiTheme="minorBidi" w:hAnsiTheme="minorBidi" w:cstheme="minorBidi"/>
              </w:rPr>
              <w:t xml:space="preserve"> tests pré et post-formation, fiches de présence,</w:t>
            </w:r>
            <w:r w:rsidRPr="007A6742">
              <w:rPr>
                <w:rFonts w:asciiTheme="minorBidi" w:hAnsiTheme="minorBidi" w:cstheme="minorBidi"/>
                <w:color w:val="538135" w:themeColor="accent6" w:themeShade="BF"/>
              </w:rPr>
              <w:t xml:space="preserve"> …</w:t>
            </w:r>
          </w:p>
        </w:tc>
      </w:tr>
      <w:tr w:rsidR="00B546E4" w:rsidRPr="007A6742" w14:paraId="2E531220" w14:textId="77777777" w:rsidTr="00A609C5">
        <w:tc>
          <w:tcPr>
            <w:tcW w:w="740" w:type="dxa"/>
          </w:tcPr>
          <w:p w14:paraId="159557EA" w14:textId="77777777" w:rsidR="00B546E4" w:rsidRPr="007A6742" w:rsidRDefault="00B24661" w:rsidP="00B546E4">
            <w:pPr>
              <w:pStyle w:val="BodyText"/>
              <w:spacing w:after="0" w:line="240" w:lineRule="auto"/>
              <w:rPr>
                <w:rFonts w:asciiTheme="minorBidi" w:hAnsiTheme="minorBidi" w:cstheme="minorBidi"/>
                <w:bCs/>
              </w:rPr>
            </w:pPr>
            <w:r w:rsidRPr="007A6742">
              <w:rPr>
                <w:rFonts w:asciiTheme="minorBidi" w:hAnsiTheme="minorBidi" w:cstheme="minorBidi"/>
              </w:rPr>
              <w:t>6</w:t>
            </w:r>
          </w:p>
        </w:tc>
        <w:tc>
          <w:tcPr>
            <w:tcW w:w="8980" w:type="dxa"/>
          </w:tcPr>
          <w:p w14:paraId="1D5A5A9E" w14:textId="118D6C3C" w:rsidR="00B546E4" w:rsidRPr="007A6742" w:rsidRDefault="00042DF5" w:rsidP="00B546E4">
            <w:pPr>
              <w:pStyle w:val="BodyText"/>
              <w:spacing w:after="0" w:line="240" w:lineRule="auto"/>
              <w:ind w:left="138"/>
              <w:rPr>
                <w:rFonts w:asciiTheme="minorBidi" w:hAnsiTheme="minorBidi" w:cstheme="minorBidi"/>
              </w:rPr>
            </w:pPr>
            <w:r>
              <w:rPr>
                <w:rFonts w:asciiTheme="minorBidi" w:hAnsiTheme="minorBidi" w:cstheme="minorBidi"/>
              </w:rPr>
              <w:t>Proposition d’un p</w:t>
            </w:r>
            <w:r w:rsidR="00B546E4" w:rsidRPr="007A6742">
              <w:rPr>
                <w:rFonts w:asciiTheme="minorBidi" w:hAnsiTheme="minorBidi" w:cstheme="minorBidi"/>
              </w:rPr>
              <w:t xml:space="preserve">lan de démultiplication, </w:t>
            </w:r>
            <w:r>
              <w:rPr>
                <w:rFonts w:asciiTheme="minorBidi" w:hAnsiTheme="minorBidi" w:cstheme="minorBidi"/>
              </w:rPr>
              <w:t>d’</w:t>
            </w:r>
            <w:r w:rsidR="00B546E4" w:rsidRPr="007A6742">
              <w:rPr>
                <w:rFonts w:asciiTheme="minorBidi" w:hAnsiTheme="minorBidi" w:cstheme="minorBidi"/>
              </w:rPr>
              <w:t>outils et supports de sensibilisation du personnel des EPE sur le Guide Ressources et les outils</w:t>
            </w:r>
          </w:p>
        </w:tc>
      </w:tr>
      <w:tr w:rsidR="00B546E4" w:rsidRPr="007A6742" w14:paraId="123077F3" w14:textId="77777777" w:rsidTr="00A609C5">
        <w:tc>
          <w:tcPr>
            <w:tcW w:w="740" w:type="dxa"/>
          </w:tcPr>
          <w:p w14:paraId="43EB2E57" w14:textId="77777777" w:rsidR="00B546E4" w:rsidRPr="007A6742" w:rsidRDefault="00B24661" w:rsidP="00B546E4">
            <w:pPr>
              <w:pStyle w:val="BodyText"/>
              <w:spacing w:after="0" w:line="240" w:lineRule="auto"/>
              <w:rPr>
                <w:rFonts w:asciiTheme="minorBidi" w:hAnsiTheme="minorBidi" w:cstheme="minorBidi"/>
              </w:rPr>
            </w:pPr>
            <w:r w:rsidRPr="007A6742">
              <w:rPr>
                <w:rFonts w:asciiTheme="minorBidi" w:hAnsiTheme="minorBidi" w:cstheme="minorBidi"/>
              </w:rPr>
              <w:t>7</w:t>
            </w:r>
          </w:p>
        </w:tc>
        <w:tc>
          <w:tcPr>
            <w:tcW w:w="8980" w:type="dxa"/>
          </w:tcPr>
          <w:p w14:paraId="305D9BD8" w14:textId="5411F3B4" w:rsidR="00B546E4" w:rsidRPr="007A6742" w:rsidRDefault="00B546E4" w:rsidP="00B546E4">
            <w:pPr>
              <w:pStyle w:val="BodyText"/>
              <w:spacing w:after="0" w:line="240" w:lineRule="auto"/>
              <w:ind w:left="138"/>
              <w:rPr>
                <w:rFonts w:asciiTheme="minorBidi" w:hAnsiTheme="minorBidi" w:cstheme="minorBidi"/>
              </w:rPr>
            </w:pPr>
            <w:r w:rsidRPr="007A6742">
              <w:rPr>
                <w:rFonts w:asciiTheme="minorBidi" w:hAnsiTheme="minorBidi" w:cstheme="minorBidi"/>
              </w:rPr>
              <w:t>Rapport sur les sessions de sensibilisation des EPE par les Chefs de service des DAS</w:t>
            </w:r>
          </w:p>
        </w:tc>
      </w:tr>
      <w:tr w:rsidR="00B546E4" w:rsidRPr="007A6742" w14:paraId="30D65E94" w14:textId="77777777" w:rsidTr="00A609C5">
        <w:tc>
          <w:tcPr>
            <w:tcW w:w="740" w:type="dxa"/>
          </w:tcPr>
          <w:p w14:paraId="68766DE1" w14:textId="77777777" w:rsidR="00B546E4" w:rsidRPr="007A6742" w:rsidRDefault="00B24661" w:rsidP="00B546E4">
            <w:pPr>
              <w:pStyle w:val="BodyText"/>
              <w:spacing w:after="0" w:line="240" w:lineRule="auto"/>
              <w:rPr>
                <w:rFonts w:asciiTheme="minorBidi" w:hAnsiTheme="minorBidi" w:cstheme="minorBidi"/>
              </w:rPr>
            </w:pPr>
            <w:r w:rsidRPr="007A6742">
              <w:rPr>
                <w:rFonts w:asciiTheme="minorBidi" w:hAnsiTheme="minorBidi" w:cstheme="minorBidi"/>
              </w:rPr>
              <w:t>8</w:t>
            </w:r>
          </w:p>
        </w:tc>
        <w:tc>
          <w:tcPr>
            <w:tcW w:w="8980" w:type="dxa"/>
          </w:tcPr>
          <w:p w14:paraId="22625151" w14:textId="77777777" w:rsidR="00B546E4" w:rsidRPr="007A6742" w:rsidRDefault="00B546E4" w:rsidP="00B546E4">
            <w:pPr>
              <w:pStyle w:val="BodyText"/>
              <w:spacing w:after="0" w:line="240" w:lineRule="auto"/>
              <w:ind w:left="138"/>
              <w:rPr>
                <w:rFonts w:asciiTheme="minorBidi" w:hAnsiTheme="minorBidi" w:cstheme="minorBidi"/>
              </w:rPr>
            </w:pPr>
            <w:r w:rsidRPr="007A6742">
              <w:rPr>
                <w:rFonts w:asciiTheme="minorBidi" w:hAnsiTheme="minorBidi" w:cstheme="minorBidi"/>
              </w:rPr>
              <w:t>Rapports d’évaluation des outils de suivi-évaluation et outils reformulés</w:t>
            </w:r>
          </w:p>
        </w:tc>
      </w:tr>
      <w:tr w:rsidR="00B546E4" w:rsidRPr="007A6742" w14:paraId="10ED8F4D" w14:textId="77777777" w:rsidTr="00A609C5">
        <w:tc>
          <w:tcPr>
            <w:tcW w:w="740" w:type="dxa"/>
          </w:tcPr>
          <w:p w14:paraId="2AF7188D" w14:textId="77777777" w:rsidR="00B546E4" w:rsidRPr="007A6742" w:rsidRDefault="00B24661" w:rsidP="00B546E4">
            <w:pPr>
              <w:pStyle w:val="BodyText"/>
              <w:spacing w:after="0" w:line="240" w:lineRule="auto"/>
              <w:rPr>
                <w:rFonts w:asciiTheme="minorBidi" w:hAnsiTheme="minorBidi" w:cstheme="minorBidi"/>
              </w:rPr>
            </w:pPr>
            <w:r w:rsidRPr="007A6742">
              <w:rPr>
                <w:rFonts w:asciiTheme="minorBidi" w:hAnsiTheme="minorBidi" w:cstheme="minorBidi"/>
              </w:rPr>
              <w:t>9</w:t>
            </w:r>
          </w:p>
        </w:tc>
        <w:tc>
          <w:tcPr>
            <w:tcW w:w="8980" w:type="dxa"/>
          </w:tcPr>
          <w:p w14:paraId="6475A952" w14:textId="77777777" w:rsidR="00B546E4" w:rsidRPr="007A6742" w:rsidRDefault="00B546E4" w:rsidP="00B546E4">
            <w:pPr>
              <w:pStyle w:val="BodyText"/>
              <w:spacing w:after="0" w:line="240" w:lineRule="auto"/>
              <w:ind w:left="138"/>
              <w:rPr>
                <w:rFonts w:asciiTheme="minorBidi" w:hAnsiTheme="minorBidi" w:cstheme="minorBidi"/>
              </w:rPr>
            </w:pPr>
            <w:r w:rsidRPr="007A6742">
              <w:rPr>
                <w:rFonts w:asciiTheme="minorBidi" w:hAnsiTheme="minorBidi" w:cstheme="minorBidi"/>
              </w:rPr>
              <w:t xml:space="preserve">Rapport final </w:t>
            </w:r>
            <w:r w:rsidRPr="007A6742">
              <w:rPr>
                <w:rFonts w:asciiTheme="minorBidi" w:hAnsiTheme="minorBidi" w:cstheme="minorBidi"/>
                <w:color w:val="212121"/>
                <w:lang w:eastAsia="fr-FR"/>
              </w:rPr>
              <w:t>(en langue</w:t>
            </w:r>
            <w:r w:rsidR="00B24661" w:rsidRPr="007A6742">
              <w:rPr>
                <w:rFonts w:asciiTheme="minorBidi" w:hAnsiTheme="minorBidi" w:cstheme="minorBidi"/>
                <w:color w:val="212121"/>
                <w:lang w:eastAsia="fr-FR"/>
              </w:rPr>
              <w:t xml:space="preserve"> </w:t>
            </w:r>
            <w:r w:rsidRPr="007A6742">
              <w:rPr>
                <w:rFonts w:asciiTheme="minorBidi" w:hAnsiTheme="minorBidi" w:cstheme="minorBidi"/>
                <w:color w:val="212121"/>
                <w:lang w:eastAsia="fr-FR"/>
              </w:rPr>
              <w:t>française</w:t>
            </w:r>
            <w:r w:rsidR="004468FC">
              <w:rPr>
                <w:rFonts w:asciiTheme="minorBidi" w:hAnsiTheme="minorBidi" w:cstheme="minorBidi"/>
                <w:color w:val="212121"/>
                <w:lang w:eastAsia="fr-FR"/>
              </w:rPr>
              <w:t>, puis arabe après validation</w:t>
            </w:r>
            <w:r w:rsidRPr="007A6742">
              <w:rPr>
                <w:rFonts w:asciiTheme="minorBidi" w:hAnsiTheme="minorBidi" w:cstheme="minorBidi"/>
                <w:color w:val="212121"/>
                <w:lang w:eastAsia="fr-FR"/>
              </w:rPr>
              <w:t xml:space="preserve">), </w:t>
            </w:r>
            <w:r w:rsidRPr="007A6742">
              <w:rPr>
                <w:rFonts w:asciiTheme="minorBidi" w:hAnsiTheme="minorBidi" w:cstheme="minorBidi"/>
              </w:rPr>
              <w:t>incluant une proposition de plan de généralisation aux autres régions du pays</w:t>
            </w:r>
          </w:p>
        </w:tc>
      </w:tr>
    </w:tbl>
    <w:p w14:paraId="049F2EA7" w14:textId="5053EDF6" w:rsidR="00586137" w:rsidRPr="007A6742" w:rsidRDefault="005210C1" w:rsidP="00B24661">
      <w:pPr>
        <w:pStyle w:val="BodyText"/>
        <w:spacing w:line="240" w:lineRule="auto"/>
        <w:rPr>
          <w:rFonts w:asciiTheme="minorBidi" w:hAnsiTheme="minorBidi" w:cstheme="minorBidi"/>
          <w:b/>
          <w:bCs/>
        </w:rPr>
      </w:pPr>
      <w:r w:rsidRPr="007A6742">
        <w:rPr>
          <w:rFonts w:asciiTheme="minorBidi" w:hAnsiTheme="minorBidi" w:cstheme="minorBidi"/>
        </w:rPr>
        <w:t>L’ensemble des documents des livrables</w:t>
      </w:r>
      <w:r w:rsidR="003C7B49" w:rsidRPr="007A6742">
        <w:rPr>
          <w:rFonts w:asciiTheme="minorBidi" w:hAnsiTheme="minorBidi" w:cstheme="minorBidi"/>
        </w:rPr>
        <w:t xml:space="preserve"> </w:t>
      </w:r>
      <w:r w:rsidR="00F60F8C" w:rsidRPr="007A6742">
        <w:rPr>
          <w:rFonts w:asciiTheme="minorBidi" w:hAnsiTheme="minorBidi" w:cstheme="minorBidi"/>
        </w:rPr>
        <w:t>seront transmi</w:t>
      </w:r>
      <w:r w:rsidR="00D73466" w:rsidRPr="007A6742">
        <w:rPr>
          <w:rFonts w:asciiTheme="minorBidi" w:hAnsiTheme="minorBidi" w:cstheme="minorBidi"/>
        </w:rPr>
        <w:t xml:space="preserve">s </w:t>
      </w:r>
      <w:r w:rsidR="00F60F8C" w:rsidRPr="007A6742">
        <w:rPr>
          <w:rFonts w:asciiTheme="minorBidi" w:hAnsiTheme="minorBidi" w:cstheme="minorBidi"/>
        </w:rPr>
        <w:t>sous</w:t>
      </w:r>
      <w:r w:rsidR="00D73466" w:rsidRPr="007A6742">
        <w:rPr>
          <w:rFonts w:asciiTheme="minorBidi" w:hAnsiTheme="minorBidi" w:cstheme="minorBidi"/>
        </w:rPr>
        <w:t xml:space="preserve"> format électronique</w:t>
      </w:r>
      <w:r w:rsidR="00DB3AFA" w:rsidRPr="007A6742">
        <w:rPr>
          <w:rFonts w:asciiTheme="minorBidi" w:hAnsiTheme="minorBidi" w:cstheme="minorBidi"/>
        </w:rPr>
        <w:t xml:space="preserve"> à l’UNICEF pour commentaires, puis</w:t>
      </w:r>
      <w:r w:rsidR="00D73466" w:rsidRPr="007A6742">
        <w:rPr>
          <w:rFonts w:asciiTheme="minorBidi" w:hAnsiTheme="minorBidi" w:cstheme="minorBidi"/>
        </w:rPr>
        <w:t xml:space="preserve"> validation. Tous les </w:t>
      </w:r>
      <w:r w:rsidR="00DB3AFA" w:rsidRPr="007A6742">
        <w:rPr>
          <w:rFonts w:asciiTheme="minorBidi" w:hAnsiTheme="minorBidi" w:cstheme="minorBidi"/>
        </w:rPr>
        <w:t>livrables</w:t>
      </w:r>
      <w:r w:rsidR="00D73466" w:rsidRPr="007A6742">
        <w:rPr>
          <w:rFonts w:asciiTheme="minorBidi" w:hAnsiTheme="minorBidi" w:cstheme="minorBidi"/>
        </w:rPr>
        <w:t xml:space="preserve"> préparés par l’expert</w:t>
      </w:r>
      <w:r w:rsidR="00DB3AFA" w:rsidRPr="007A6742">
        <w:rPr>
          <w:rFonts w:asciiTheme="minorBidi" w:hAnsiTheme="minorBidi" w:cstheme="minorBidi"/>
        </w:rPr>
        <w:t>ise</w:t>
      </w:r>
      <w:r w:rsidR="00D73466" w:rsidRPr="007A6742">
        <w:rPr>
          <w:rFonts w:asciiTheme="minorBidi" w:hAnsiTheme="minorBidi" w:cstheme="minorBidi"/>
        </w:rPr>
        <w:t xml:space="preserve">, y compris le rapport </w:t>
      </w:r>
      <w:r w:rsidR="00F60F8C" w:rsidRPr="007A6742">
        <w:rPr>
          <w:rFonts w:asciiTheme="minorBidi" w:hAnsiTheme="minorBidi" w:cstheme="minorBidi"/>
        </w:rPr>
        <w:t>final</w:t>
      </w:r>
      <w:r w:rsidR="00D73466" w:rsidRPr="007A6742">
        <w:rPr>
          <w:rFonts w:asciiTheme="minorBidi" w:hAnsiTheme="minorBidi" w:cstheme="minorBidi"/>
        </w:rPr>
        <w:t xml:space="preserve">, devront être approuvés par l’UNICEF </w:t>
      </w:r>
      <w:r w:rsidR="00042DF5">
        <w:rPr>
          <w:rFonts w:asciiTheme="minorBidi" w:hAnsiTheme="minorBidi" w:cstheme="minorBidi"/>
        </w:rPr>
        <w:t>en consultation avec</w:t>
      </w:r>
      <w:r w:rsidR="00D73466" w:rsidRPr="007A6742">
        <w:rPr>
          <w:rFonts w:asciiTheme="minorBidi" w:hAnsiTheme="minorBidi" w:cstheme="minorBidi"/>
        </w:rPr>
        <w:t xml:space="preserve"> le </w:t>
      </w:r>
      <w:r w:rsidR="00DB3AFA" w:rsidRPr="007A6742">
        <w:rPr>
          <w:rFonts w:asciiTheme="minorBidi" w:hAnsiTheme="minorBidi" w:cstheme="minorBidi"/>
        </w:rPr>
        <w:t>MSNFCF</w:t>
      </w:r>
      <w:r w:rsidR="00D73466" w:rsidRPr="007A6742">
        <w:rPr>
          <w:rFonts w:asciiTheme="minorBidi" w:hAnsiTheme="minorBidi" w:cstheme="minorBidi"/>
        </w:rPr>
        <w:t>.</w:t>
      </w:r>
    </w:p>
    <w:p w14:paraId="69CD808D" w14:textId="77777777" w:rsidR="007229A0" w:rsidRPr="007A6742" w:rsidRDefault="006324A6" w:rsidP="003C0A16">
      <w:pPr>
        <w:pStyle w:val="Heading2"/>
      </w:pPr>
      <w:r w:rsidRPr="007A6742">
        <w:t>Supervision technique</w:t>
      </w:r>
      <w:r w:rsidR="003C7B49" w:rsidRPr="007A6742">
        <w:t xml:space="preserve"> </w:t>
      </w:r>
      <w:r w:rsidR="007229A0" w:rsidRPr="007A6742">
        <w:t>et responsabilités</w:t>
      </w:r>
    </w:p>
    <w:p w14:paraId="2B175C81" w14:textId="28F9BC8C" w:rsidR="003C0A16" w:rsidRDefault="003C0A16" w:rsidP="004468FC">
      <w:r w:rsidRPr="00896354">
        <w:t>L’appel d’offre s’adresse à la fois aux bureaux d’études ou institutions engageant des experts répondant aux critères recherchés, qu’au</w:t>
      </w:r>
      <w:r>
        <w:t>x</w:t>
      </w:r>
      <w:r w:rsidRPr="00896354">
        <w:t xml:space="preserve"> consultants indépendants représentant un consortium d’experts indépendants dirigé par un chef d’équipe. Un contrat institutionnel est établi avec le bureau d’étude </w:t>
      </w:r>
      <w:r>
        <w:t>retenu dans le premier scénario ;</w:t>
      </w:r>
      <w:r w:rsidRPr="00896354">
        <w:t xml:space="preserve"> par contre un contrat individuel </w:t>
      </w:r>
      <w:r>
        <w:t>est</w:t>
      </w:r>
      <w:r w:rsidRPr="00896354">
        <w:t xml:space="preserve"> signé avec le chef d’équipe retenu dans le second scénario.</w:t>
      </w:r>
    </w:p>
    <w:p w14:paraId="0BC990CB" w14:textId="36B3CEF5" w:rsidR="006324A6" w:rsidRPr="007A6742" w:rsidRDefault="006324A6" w:rsidP="004468FC">
      <w:pPr>
        <w:rPr>
          <w:color w:val="FF0000"/>
        </w:rPr>
      </w:pPr>
      <w:r w:rsidRPr="007A6742">
        <w:t xml:space="preserve">L’accompagnement et le suivi de la consultation seront assurés par le Chargé de programme </w:t>
      </w:r>
      <w:r w:rsidR="007229A0" w:rsidRPr="007A6742">
        <w:rPr>
          <w:rFonts w:asciiTheme="minorBidi" w:hAnsiTheme="minorBidi" w:cstheme="minorBidi"/>
        </w:rPr>
        <w:t>Développement de la Petite Enfance (DPE)</w:t>
      </w:r>
      <w:r w:rsidR="00B24661" w:rsidRPr="007A6742">
        <w:rPr>
          <w:rFonts w:asciiTheme="minorBidi" w:hAnsiTheme="minorBidi" w:cstheme="minorBidi"/>
        </w:rPr>
        <w:t xml:space="preserve"> </w:t>
      </w:r>
      <w:r w:rsidRPr="007A6742">
        <w:t xml:space="preserve">sous la supervision générale de la Responsable de Programme « Développement, Protection et Participation de l’Enfant ». </w:t>
      </w:r>
    </w:p>
    <w:p w14:paraId="4EC480FB" w14:textId="4A32B332" w:rsidR="00DB3AFA" w:rsidRPr="007A6742" w:rsidRDefault="00884AD9" w:rsidP="004F001D">
      <w:r w:rsidRPr="007A6742">
        <w:rPr>
          <w:rFonts w:asciiTheme="minorBidi" w:hAnsiTheme="minorBidi" w:cstheme="minorBidi"/>
        </w:rPr>
        <w:t>Au plan administratif, le contra</w:t>
      </w:r>
      <w:r w:rsidR="00754D0C" w:rsidRPr="007A6742">
        <w:rPr>
          <w:rFonts w:asciiTheme="minorBidi" w:hAnsiTheme="minorBidi" w:cstheme="minorBidi"/>
        </w:rPr>
        <w:t xml:space="preserve">t sera géré </w:t>
      </w:r>
      <w:r w:rsidRPr="007A6742">
        <w:rPr>
          <w:rFonts w:asciiTheme="minorBidi" w:hAnsiTheme="minorBidi" w:cstheme="minorBidi"/>
        </w:rPr>
        <w:t xml:space="preserve">par le Chargé de Programme </w:t>
      </w:r>
      <w:r w:rsidR="00C2343C" w:rsidRPr="007A6742">
        <w:rPr>
          <w:rFonts w:asciiTheme="minorBidi" w:hAnsiTheme="minorBidi" w:cstheme="minorBidi"/>
        </w:rPr>
        <w:t>D</w:t>
      </w:r>
      <w:r w:rsidRPr="007A6742">
        <w:rPr>
          <w:rFonts w:asciiTheme="minorBidi" w:hAnsiTheme="minorBidi" w:cstheme="minorBidi"/>
        </w:rPr>
        <w:t xml:space="preserve">PE </w:t>
      </w:r>
      <w:r w:rsidR="007229A0" w:rsidRPr="007A6742">
        <w:rPr>
          <w:rFonts w:asciiTheme="minorBidi" w:hAnsiTheme="minorBidi" w:cstheme="minorBidi"/>
        </w:rPr>
        <w:t xml:space="preserve">qui assurera le suivi du projet en évaluant les activités et les livrables. Il appuiera la prestation en </w:t>
      </w:r>
      <w:r w:rsidR="00303AB6">
        <w:rPr>
          <w:rFonts w:asciiTheme="minorBidi" w:hAnsiTheme="minorBidi" w:cstheme="minorBidi"/>
        </w:rPr>
        <w:t>coordonnant avec le</w:t>
      </w:r>
      <w:r w:rsidR="007229A0" w:rsidRPr="007A6742">
        <w:rPr>
          <w:rFonts w:asciiTheme="minorBidi" w:hAnsiTheme="minorBidi" w:cstheme="minorBidi"/>
        </w:rPr>
        <w:t xml:space="preserve"> MSNFCF, les aspects organisationnels et administratifs (organisation, visites, déplacements, etc.</w:t>
      </w:r>
      <w:r w:rsidR="007A6742" w:rsidRPr="007A6742">
        <w:rPr>
          <w:rFonts w:asciiTheme="minorBidi" w:hAnsiTheme="minorBidi" w:cstheme="minorBidi"/>
        </w:rPr>
        <w:t>).</w:t>
      </w:r>
      <w:r w:rsidR="007A6742" w:rsidRPr="007A6742">
        <w:t xml:space="preserve"> L’organisation</w:t>
      </w:r>
      <w:r w:rsidR="007229A0" w:rsidRPr="007A6742">
        <w:t xml:space="preserve"> de la consultation sera coordonnée par l’UNICEF avec le MSNFCF et particulièrement la </w:t>
      </w:r>
      <w:r w:rsidR="00B24661" w:rsidRPr="007A6742">
        <w:t>Sous-direction</w:t>
      </w:r>
      <w:r w:rsidR="004468FC">
        <w:t xml:space="preserve"> de la Petite Enfance et de l'Enfance Privée de F</w:t>
      </w:r>
      <w:r w:rsidR="007229A0" w:rsidRPr="007A6742">
        <w:t xml:space="preserve">amille. </w:t>
      </w:r>
    </w:p>
    <w:p w14:paraId="42DB37F6" w14:textId="765E8472" w:rsidR="00432A8F" w:rsidRPr="00432A8F" w:rsidRDefault="00884AD9" w:rsidP="00432A8F">
      <w:pPr>
        <w:rPr>
          <w:rFonts w:asciiTheme="minorBidi" w:hAnsiTheme="minorBidi" w:cstheme="minorBidi"/>
        </w:rPr>
      </w:pPr>
      <w:r w:rsidRPr="007A6742">
        <w:rPr>
          <w:rFonts w:asciiTheme="minorBidi" w:hAnsiTheme="minorBidi" w:cstheme="minorBidi"/>
        </w:rPr>
        <w:t>Au plan tech</w:t>
      </w:r>
      <w:r w:rsidR="009211EE" w:rsidRPr="007A6742">
        <w:rPr>
          <w:rFonts w:asciiTheme="minorBidi" w:hAnsiTheme="minorBidi" w:cstheme="minorBidi"/>
        </w:rPr>
        <w:t xml:space="preserve">nique, </w:t>
      </w:r>
      <w:r w:rsidR="00754D0C" w:rsidRPr="007A6742">
        <w:rPr>
          <w:rFonts w:asciiTheme="minorBidi" w:hAnsiTheme="minorBidi" w:cstheme="minorBidi"/>
        </w:rPr>
        <w:t xml:space="preserve">les </w:t>
      </w:r>
      <w:r w:rsidR="002C1CEC" w:rsidRPr="007A6742">
        <w:rPr>
          <w:rFonts w:asciiTheme="minorBidi" w:hAnsiTheme="minorBidi" w:cstheme="minorBidi"/>
        </w:rPr>
        <w:t>activités</w:t>
      </w:r>
      <w:r w:rsidR="00754D0C" w:rsidRPr="007A6742">
        <w:rPr>
          <w:rFonts w:asciiTheme="minorBidi" w:hAnsiTheme="minorBidi" w:cstheme="minorBidi"/>
        </w:rPr>
        <w:t xml:space="preserve"> seront</w:t>
      </w:r>
      <w:r w:rsidRPr="007A6742">
        <w:rPr>
          <w:rFonts w:asciiTheme="minorBidi" w:hAnsiTheme="minorBidi" w:cstheme="minorBidi"/>
        </w:rPr>
        <w:t xml:space="preserve"> facilitée</w:t>
      </w:r>
      <w:r w:rsidR="00754D0C" w:rsidRPr="007A6742">
        <w:rPr>
          <w:rFonts w:asciiTheme="minorBidi" w:hAnsiTheme="minorBidi" w:cstheme="minorBidi"/>
        </w:rPr>
        <w:t>s</w:t>
      </w:r>
      <w:r w:rsidRPr="007A6742">
        <w:rPr>
          <w:rFonts w:asciiTheme="minorBidi" w:hAnsiTheme="minorBidi" w:cstheme="minorBidi"/>
        </w:rPr>
        <w:t xml:space="preserve"> et supervisée</w:t>
      </w:r>
      <w:r w:rsidR="00754D0C" w:rsidRPr="007A6742">
        <w:rPr>
          <w:rFonts w:asciiTheme="minorBidi" w:hAnsiTheme="minorBidi" w:cstheme="minorBidi"/>
        </w:rPr>
        <w:t>s</w:t>
      </w:r>
      <w:r w:rsidRPr="007A6742">
        <w:rPr>
          <w:rFonts w:asciiTheme="minorBidi" w:hAnsiTheme="minorBidi" w:cstheme="minorBidi"/>
        </w:rPr>
        <w:t xml:space="preserve"> par un Comité de suivi formé de représentants du </w:t>
      </w:r>
      <w:r w:rsidR="001956F0" w:rsidRPr="007A6742">
        <w:rPr>
          <w:rFonts w:asciiTheme="minorBidi" w:hAnsiTheme="minorBidi" w:cstheme="minorBidi"/>
        </w:rPr>
        <w:t>MSNFCF (</w:t>
      </w:r>
      <w:r w:rsidR="004468FC" w:rsidRPr="007A6742">
        <w:t>Sous-direction</w:t>
      </w:r>
      <w:r w:rsidR="004468FC">
        <w:t xml:space="preserve"> de la Petite Enfance et de l'Enfance Privée de F</w:t>
      </w:r>
      <w:r w:rsidR="004468FC" w:rsidRPr="007A6742">
        <w:t>amille</w:t>
      </w:r>
      <w:r w:rsidR="004468FC">
        <w:t>,</w:t>
      </w:r>
      <w:r w:rsidR="004468FC" w:rsidRPr="007A6742">
        <w:rPr>
          <w:rFonts w:asciiTheme="minorBidi" w:hAnsiTheme="minorBidi" w:cstheme="minorBidi"/>
        </w:rPr>
        <w:t xml:space="preserve"> </w:t>
      </w:r>
      <w:r w:rsidR="001956F0" w:rsidRPr="007A6742">
        <w:rPr>
          <w:rFonts w:asciiTheme="minorBidi" w:hAnsiTheme="minorBidi" w:cstheme="minorBidi"/>
        </w:rPr>
        <w:t>Direction d</w:t>
      </w:r>
      <w:r w:rsidR="00DB3AFA" w:rsidRPr="007A6742">
        <w:rPr>
          <w:rFonts w:asciiTheme="minorBidi" w:hAnsiTheme="minorBidi" w:cstheme="minorBidi"/>
        </w:rPr>
        <w:t>u personnel et de la formation/</w:t>
      </w:r>
      <w:r w:rsidR="003C7B49" w:rsidRPr="007A6742">
        <w:rPr>
          <w:rFonts w:asciiTheme="minorBidi" w:hAnsiTheme="minorBidi" w:cstheme="minorBidi"/>
        </w:rPr>
        <w:t xml:space="preserve">CNFPS, </w:t>
      </w:r>
      <w:r w:rsidR="00205A88" w:rsidRPr="007A6742">
        <w:t xml:space="preserve">Direction de </w:t>
      </w:r>
      <w:r w:rsidR="004468FC">
        <w:t>la Conception</w:t>
      </w:r>
      <w:r w:rsidR="00205A88" w:rsidRPr="007A6742">
        <w:t>, du Suivi, de l’Analyse, de l’Evaluation et Développement des Activités de Prise en Charge Institutionnelles</w:t>
      </w:r>
      <w:r w:rsidR="004468FC">
        <w:t xml:space="preserve"> et des Ressources Pédagogiques</w:t>
      </w:r>
      <w:r w:rsidR="003C7B49" w:rsidRPr="007A6742">
        <w:rPr>
          <w:rFonts w:asciiTheme="minorBidi" w:hAnsiTheme="minorBidi" w:cstheme="minorBidi"/>
        </w:rPr>
        <w:t>)</w:t>
      </w:r>
      <w:r w:rsidR="00DB3AFA" w:rsidRPr="007A6742">
        <w:rPr>
          <w:rFonts w:asciiTheme="minorBidi" w:hAnsiTheme="minorBidi" w:cstheme="minorBidi"/>
        </w:rPr>
        <w:t>, du C</w:t>
      </w:r>
      <w:r w:rsidR="001956F0" w:rsidRPr="007A6742">
        <w:rPr>
          <w:rFonts w:asciiTheme="minorBidi" w:hAnsiTheme="minorBidi" w:cstheme="minorBidi"/>
        </w:rPr>
        <w:t>hargé de programme DPE de</w:t>
      </w:r>
      <w:r w:rsidR="003C7B49" w:rsidRPr="007A6742">
        <w:rPr>
          <w:rFonts w:asciiTheme="minorBidi" w:hAnsiTheme="minorBidi" w:cstheme="minorBidi"/>
        </w:rPr>
        <w:t xml:space="preserve"> </w:t>
      </w:r>
      <w:r w:rsidR="001956F0" w:rsidRPr="007A6742">
        <w:rPr>
          <w:rFonts w:asciiTheme="minorBidi" w:hAnsiTheme="minorBidi" w:cstheme="minorBidi"/>
        </w:rPr>
        <w:t>l’UNICEF et de</w:t>
      </w:r>
      <w:r w:rsidR="00DB3AFA" w:rsidRPr="007A6742">
        <w:rPr>
          <w:rFonts w:asciiTheme="minorBidi" w:hAnsiTheme="minorBidi" w:cstheme="minorBidi"/>
        </w:rPr>
        <w:t xml:space="preserve"> représentants des</w:t>
      </w:r>
      <w:r w:rsidR="001956F0" w:rsidRPr="007A6742">
        <w:rPr>
          <w:rFonts w:asciiTheme="minorBidi" w:hAnsiTheme="minorBidi" w:cstheme="minorBidi"/>
        </w:rPr>
        <w:t xml:space="preserve"> partenaires privés et/ou associatifs</w:t>
      </w:r>
      <w:r w:rsidR="00D13658" w:rsidRPr="007A6742">
        <w:rPr>
          <w:rFonts w:asciiTheme="minorBidi" w:hAnsiTheme="minorBidi" w:cstheme="minorBidi"/>
        </w:rPr>
        <w:t>.</w:t>
      </w:r>
      <w:r w:rsidR="003C7B49" w:rsidRPr="007A6742">
        <w:rPr>
          <w:rFonts w:asciiTheme="minorBidi" w:hAnsiTheme="minorBidi" w:cstheme="minorBidi"/>
        </w:rPr>
        <w:t xml:space="preserve"> </w:t>
      </w:r>
      <w:r w:rsidR="00E52A9C" w:rsidRPr="007A6742">
        <w:rPr>
          <w:rFonts w:asciiTheme="minorBidi" w:hAnsiTheme="minorBidi" w:cstheme="minorBidi"/>
        </w:rPr>
        <w:t>Le MS</w:t>
      </w:r>
      <w:r w:rsidR="004F001D" w:rsidRPr="007A6742">
        <w:rPr>
          <w:rFonts w:asciiTheme="minorBidi" w:hAnsiTheme="minorBidi" w:cstheme="minorBidi"/>
        </w:rPr>
        <w:t>NFCF</w:t>
      </w:r>
      <w:r w:rsidR="003C7B49" w:rsidRPr="007A6742">
        <w:rPr>
          <w:rFonts w:asciiTheme="minorBidi" w:hAnsiTheme="minorBidi" w:cstheme="minorBidi"/>
          <w:color w:val="000000" w:themeColor="text1"/>
        </w:rPr>
        <w:t xml:space="preserve"> </w:t>
      </w:r>
      <w:r w:rsidR="00DB3AFA" w:rsidRPr="007A6742">
        <w:rPr>
          <w:rFonts w:asciiTheme="minorBidi" w:hAnsiTheme="minorBidi" w:cstheme="minorBidi"/>
          <w:color w:val="000000" w:themeColor="text1"/>
        </w:rPr>
        <w:t>facilitera</w:t>
      </w:r>
      <w:r w:rsidR="007229A0" w:rsidRPr="007A6742">
        <w:rPr>
          <w:rFonts w:asciiTheme="minorBidi" w:hAnsiTheme="minorBidi" w:cstheme="minorBidi"/>
          <w:color w:val="000000" w:themeColor="text1"/>
        </w:rPr>
        <w:t> l</w:t>
      </w:r>
      <w:r w:rsidR="008F04E6" w:rsidRPr="007A6742">
        <w:rPr>
          <w:rFonts w:asciiTheme="minorBidi" w:hAnsiTheme="minorBidi" w:cstheme="minorBidi"/>
          <w:color w:val="000000" w:themeColor="text1"/>
        </w:rPr>
        <w:t>a</w:t>
      </w:r>
      <w:r w:rsidR="005D073A" w:rsidRPr="007A6742">
        <w:rPr>
          <w:rFonts w:asciiTheme="minorBidi" w:hAnsiTheme="minorBidi" w:cstheme="minorBidi"/>
          <w:color w:val="000000" w:themeColor="text1"/>
        </w:rPr>
        <w:t xml:space="preserve"> planification et l’organisation</w:t>
      </w:r>
      <w:r w:rsidRPr="007A6742">
        <w:rPr>
          <w:rFonts w:asciiTheme="minorBidi" w:hAnsiTheme="minorBidi" w:cstheme="minorBidi"/>
          <w:color w:val="000000" w:themeColor="text1"/>
        </w:rPr>
        <w:t xml:space="preserve"> des </w:t>
      </w:r>
      <w:r w:rsidR="005210C1" w:rsidRPr="007A6742">
        <w:rPr>
          <w:rFonts w:asciiTheme="minorBidi" w:hAnsiTheme="minorBidi" w:cstheme="minorBidi"/>
          <w:color w:val="000000" w:themeColor="text1"/>
        </w:rPr>
        <w:t>réunions de</w:t>
      </w:r>
      <w:r w:rsidR="005D073A" w:rsidRPr="007A6742">
        <w:rPr>
          <w:rFonts w:asciiTheme="minorBidi" w:hAnsiTheme="minorBidi" w:cstheme="minorBidi"/>
          <w:color w:val="000000" w:themeColor="text1"/>
        </w:rPr>
        <w:t xml:space="preserve"> suivi avec les partenaires </w:t>
      </w:r>
      <w:r w:rsidR="005D073A" w:rsidRPr="007A6742">
        <w:rPr>
          <w:rFonts w:asciiTheme="minorBidi" w:hAnsiTheme="minorBidi" w:cstheme="minorBidi"/>
        </w:rPr>
        <w:t xml:space="preserve">du projet en lien </w:t>
      </w:r>
      <w:r w:rsidR="005210C1" w:rsidRPr="007A6742">
        <w:rPr>
          <w:rFonts w:asciiTheme="minorBidi" w:hAnsiTheme="minorBidi" w:cstheme="minorBidi"/>
        </w:rPr>
        <w:t>avec le</w:t>
      </w:r>
      <w:r w:rsidR="005D073A" w:rsidRPr="007A6742">
        <w:rPr>
          <w:rFonts w:asciiTheme="minorBidi" w:hAnsiTheme="minorBidi" w:cstheme="minorBidi"/>
        </w:rPr>
        <w:t xml:space="preserve"> Chargé de Programme </w:t>
      </w:r>
      <w:r w:rsidR="002B3ABF" w:rsidRPr="007A6742">
        <w:rPr>
          <w:rFonts w:asciiTheme="minorBidi" w:hAnsiTheme="minorBidi" w:cstheme="minorBidi"/>
        </w:rPr>
        <w:t xml:space="preserve">DPE </w:t>
      </w:r>
      <w:r w:rsidR="005D073A" w:rsidRPr="007A6742">
        <w:rPr>
          <w:rFonts w:asciiTheme="minorBidi" w:hAnsiTheme="minorBidi" w:cstheme="minorBidi"/>
        </w:rPr>
        <w:t>de l’UNICEF</w:t>
      </w:r>
      <w:r w:rsidR="00DB3AFA" w:rsidRPr="007A6742">
        <w:rPr>
          <w:rFonts w:asciiTheme="minorBidi" w:hAnsiTheme="minorBidi" w:cstheme="minorBidi"/>
        </w:rPr>
        <w:t>.</w:t>
      </w:r>
      <w:r w:rsidR="007229A0" w:rsidRPr="007A6742">
        <w:rPr>
          <w:rFonts w:asciiTheme="minorBidi" w:hAnsiTheme="minorBidi" w:cstheme="minorBidi"/>
        </w:rPr>
        <w:t xml:space="preserve"> Le MSNFCF facilitera le travail de coopération avec le C</w:t>
      </w:r>
      <w:r w:rsidR="001956F0" w:rsidRPr="007A6742">
        <w:rPr>
          <w:rFonts w:asciiTheme="minorBidi" w:hAnsiTheme="minorBidi" w:cstheme="minorBidi"/>
        </w:rPr>
        <w:t xml:space="preserve">omité </w:t>
      </w:r>
      <w:r w:rsidR="00DB3AFA" w:rsidRPr="007A6742">
        <w:rPr>
          <w:rFonts w:asciiTheme="minorBidi" w:hAnsiTheme="minorBidi" w:cstheme="minorBidi"/>
        </w:rPr>
        <w:t>de suivi,</w:t>
      </w:r>
      <w:r w:rsidR="007229A0" w:rsidRPr="007A6742">
        <w:rPr>
          <w:rFonts w:asciiTheme="minorBidi" w:hAnsiTheme="minorBidi" w:cstheme="minorBidi"/>
        </w:rPr>
        <w:t xml:space="preserve"> les réunions et </w:t>
      </w:r>
      <w:r w:rsidR="004F001D" w:rsidRPr="007A6742">
        <w:rPr>
          <w:rFonts w:asciiTheme="minorBidi" w:hAnsiTheme="minorBidi" w:cstheme="minorBidi"/>
        </w:rPr>
        <w:t xml:space="preserve">missions des experts </w:t>
      </w:r>
      <w:r w:rsidR="00DB3AFA" w:rsidRPr="007A6742">
        <w:rPr>
          <w:rFonts w:asciiTheme="minorBidi" w:hAnsiTheme="minorBidi" w:cstheme="minorBidi"/>
        </w:rPr>
        <w:t>et mettra</w:t>
      </w:r>
      <w:r w:rsidR="004F001D" w:rsidRPr="007A6742">
        <w:rPr>
          <w:rFonts w:asciiTheme="minorBidi" w:hAnsiTheme="minorBidi" w:cstheme="minorBidi"/>
        </w:rPr>
        <w:t xml:space="preserve"> à disposition </w:t>
      </w:r>
      <w:r w:rsidR="00DB3AFA" w:rsidRPr="007A6742">
        <w:rPr>
          <w:rFonts w:asciiTheme="minorBidi" w:hAnsiTheme="minorBidi" w:cstheme="minorBidi"/>
        </w:rPr>
        <w:t xml:space="preserve">de l’expertise </w:t>
      </w:r>
      <w:r w:rsidR="004F001D" w:rsidRPr="007A6742">
        <w:rPr>
          <w:rFonts w:asciiTheme="minorBidi" w:hAnsiTheme="minorBidi" w:cstheme="minorBidi"/>
        </w:rPr>
        <w:t>les documents, rapports, contact</w:t>
      </w:r>
      <w:r w:rsidR="001B4978" w:rsidRPr="007A6742">
        <w:rPr>
          <w:rFonts w:asciiTheme="minorBidi" w:hAnsiTheme="minorBidi" w:cstheme="minorBidi"/>
        </w:rPr>
        <w:t>s</w:t>
      </w:r>
      <w:r w:rsidR="004F001D" w:rsidRPr="007A6742">
        <w:rPr>
          <w:rFonts w:asciiTheme="minorBidi" w:hAnsiTheme="minorBidi" w:cstheme="minorBidi"/>
        </w:rPr>
        <w:t xml:space="preserve"> nécessa</w:t>
      </w:r>
      <w:r w:rsidR="00DB3AFA" w:rsidRPr="007A6742">
        <w:rPr>
          <w:rFonts w:asciiTheme="minorBidi" w:hAnsiTheme="minorBidi" w:cstheme="minorBidi"/>
        </w:rPr>
        <w:t>ires à l’accomplissement de la</w:t>
      </w:r>
      <w:r w:rsidR="004F001D" w:rsidRPr="007A6742">
        <w:rPr>
          <w:rFonts w:asciiTheme="minorBidi" w:hAnsiTheme="minorBidi" w:cstheme="minorBidi"/>
        </w:rPr>
        <w:t xml:space="preserve"> mission</w:t>
      </w:r>
      <w:r w:rsidR="007229A0" w:rsidRPr="007A6742">
        <w:rPr>
          <w:rFonts w:asciiTheme="minorBidi" w:hAnsiTheme="minorBidi" w:cstheme="minorBidi"/>
        </w:rPr>
        <w:t>.</w:t>
      </w:r>
      <w:bookmarkStart w:id="9" w:name="_Toc318763978"/>
      <w:bookmarkStart w:id="10" w:name="_Toc334427483"/>
      <w:bookmarkStart w:id="11" w:name="_Toc486943946"/>
      <w:bookmarkStart w:id="12" w:name="_Toc486943945"/>
    </w:p>
    <w:p w14:paraId="63E3FDB7" w14:textId="42794F12" w:rsidR="00884AD9" w:rsidRPr="007A6742" w:rsidRDefault="00DE62FF" w:rsidP="003C0A16">
      <w:pPr>
        <w:pStyle w:val="Heading2"/>
      </w:pPr>
      <w:r w:rsidRPr="007A6742">
        <w:t>Durée de la mission</w:t>
      </w:r>
      <w:bookmarkEnd w:id="9"/>
      <w:bookmarkEnd w:id="10"/>
      <w:bookmarkEnd w:id="11"/>
      <w:r w:rsidRPr="007A6742">
        <w:t xml:space="preserve"> et</w:t>
      </w:r>
      <w:bookmarkEnd w:id="12"/>
      <w:r w:rsidRPr="007A6742">
        <w:t xml:space="preserve"> c</w:t>
      </w:r>
      <w:r w:rsidR="00884AD9" w:rsidRPr="007A6742">
        <w:t>onditions de travail</w:t>
      </w:r>
    </w:p>
    <w:p w14:paraId="3C892FC5" w14:textId="3FCDCF43" w:rsidR="001B4978" w:rsidRPr="007A6742" w:rsidRDefault="00DE62FF" w:rsidP="007A3256">
      <w:pPr>
        <w:rPr>
          <w:rFonts w:asciiTheme="minorBidi" w:hAnsiTheme="minorBidi" w:cstheme="minorBidi"/>
        </w:rPr>
      </w:pPr>
      <w:r w:rsidRPr="007A6742">
        <w:rPr>
          <w:rFonts w:asciiTheme="minorBidi" w:hAnsiTheme="minorBidi" w:cstheme="minorBidi"/>
        </w:rPr>
        <w:t xml:space="preserve">L’expertise </w:t>
      </w:r>
      <w:r w:rsidR="00810C98" w:rsidRPr="007A6742">
        <w:rPr>
          <w:rFonts w:asciiTheme="minorBidi" w:hAnsiTheme="minorBidi" w:cstheme="minorBidi"/>
        </w:rPr>
        <w:t xml:space="preserve">se </w:t>
      </w:r>
      <w:r w:rsidR="00810C98" w:rsidRPr="001047DB">
        <w:rPr>
          <w:rFonts w:asciiTheme="minorBidi" w:hAnsiTheme="minorBidi" w:cstheme="minorBidi"/>
        </w:rPr>
        <w:t>déroulera</w:t>
      </w:r>
      <w:r w:rsidR="007A3256" w:rsidRPr="001047DB">
        <w:rPr>
          <w:rFonts w:asciiTheme="minorBidi" w:hAnsiTheme="minorBidi" w:cstheme="minorBidi"/>
        </w:rPr>
        <w:t xml:space="preserve"> </w:t>
      </w:r>
      <w:r w:rsidR="007A6742" w:rsidRPr="001047DB">
        <w:rPr>
          <w:rFonts w:asciiTheme="minorBidi" w:hAnsiTheme="minorBidi" w:cstheme="minorBidi"/>
        </w:rPr>
        <w:t xml:space="preserve">durant </w:t>
      </w:r>
      <w:r w:rsidR="00C45CE1">
        <w:rPr>
          <w:rFonts w:asciiTheme="minorBidi" w:hAnsiTheme="minorBidi" w:cstheme="minorBidi"/>
        </w:rPr>
        <w:t>12</w:t>
      </w:r>
      <w:r w:rsidR="001047DB" w:rsidRPr="001047DB">
        <w:rPr>
          <w:rFonts w:asciiTheme="minorBidi" w:hAnsiTheme="minorBidi" w:cstheme="minorBidi"/>
        </w:rPr>
        <w:t xml:space="preserve"> mois</w:t>
      </w:r>
      <w:r w:rsidR="006612A8" w:rsidRPr="001047DB">
        <w:rPr>
          <w:rFonts w:asciiTheme="minorBidi" w:hAnsiTheme="minorBidi" w:cstheme="minorBidi"/>
        </w:rPr>
        <w:t>,</w:t>
      </w:r>
      <w:r w:rsidR="00010812" w:rsidRPr="001047DB">
        <w:rPr>
          <w:rFonts w:asciiTheme="minorBidi" w:hAnsiTheme="minorBidi" w:cstheme="minorBidi"/>
        </w:rPr>
        <w:t xml:space="preserve"> entre le </w:t>
      </w:r>
      <w:r w:rsidR="00C45CE1">
        <w:rPr>
          <w:rFonts w:asciiTheme="minorBidi" w:hAnsiTheme="minorBidi" w:cstheme="minorBidi"/>
        </w:rPr>
        <w:t>2</w:t>
      </w:r>
      <w:r w:rsidR="001047DB" w:rsidRPr="001047DB">
        <w:rPr>
          <w:rFonts w:asciiTheme="minorBidi" w:hAnsiTheme="minorBidi" w:cstheme="minorBidi"/>
        </w:rPr>
        <w:t>5</w:t>
      </w:r>
      <w:r w:rsidR="00C45CE1">
        <w:rPr>
          <w:rFonts w:asciiTheme="minorBidi" w:hAnsiTheme="minorBidi" w:cstheme="minorBidi"/>
        </w:rPr>
        <w:t>.12</w:t>
      </w:r>
      <w:r w:rsidR="006612A8" w:rsidRPr="001047DB">
        <w:rPr>
          <w:rFonts w:asciiTheme="minorBidi" w:hAnsiTheme="minorBidi" w:cstheme="minorBidi"/>
        </w:rPr>
        <w:t xml:space="preserve">.2018 et le </w:t>
      </w:r>
      <w:r w:rsidR="00C45CE1">
        <w:rPr>
          <w:rFonts w:asciiTheme="minorBidi" w:hAnsiTheme="minorBidi" w:cstheme="minorBidi"/>
        </w:rPr>
        <w:t>24.12</w:t>
      </w:r>
      <w:r w:rsidR="001047DB" w:rsidRPr="001047DB">
        <w:rPr>
          <w:rFonts w:asciiTheme="minorBidi" w:hAnsiTheme="minorBidi" w:cstheme="minorBidi"/>
        </w:rPr>
        <w:t>.</w:t>
      </w:r>
      <w:r w:rsidR="006612A8" w:rsidRPr="001047DB">
        <w:rPr>
          <w:rFonts w:asciiTheme="minorBidi" w:hAnsiTheme="minorBidi" w:cstheme="minorBidi"/>
        </w:rPr>
        <w:t>2019.</w:t>
      </w:r>
      <w:r w:rsidR="00CD3374" w:rsidRPr="001047DB">
        <w:rPr>
          <w:rFonts w:asciiTheme="minorBidi" w:hAnsiTheme="minorBidi" w:cstheme="minorBidi"/>
        </w:rPr>
        <w:t xml:space="preserve"> </w:t>
      </w:r>
      <w:r w:rsidR="001B4978" w:rsidRPr="001047DB">
        <w:rPr>
          <w:rFonts w:asciiTheme="minorBidi" w:hAnsiTheme="minorBidi" w:cstheme="minorBidi"/>
        </w:rPr>
        <w:t xml:space="preserve">La mission </w:t>
      </w:r>
      <w:r w:rsidR="001B4978" w:rsidRPr="007A6742">
        <w:rPr>
          <w:rFonts w:asciiTheme="minorBidi" w:hAnsiTheme="minorBidi" w:cstheme="minorBidi"/>
        </w:rPr>
        <w:t>se déroulera principalement à Alger avec des dépla</w:t>
      </w:r>
      <w:r w:rsidR="006324A6" w:rsidRPr="007A6742">
        <w:rPr>
          <w:rFonts w:asciiTheme="minorBidi" w:hAnsiTheme="minorBidi" w:cstheme="minorBidi"/>
        </w:rPr>
        <w:t>cements sur d’autres W</w:t>
      </w:r>
      <w:r w:rsidR="00DB3AFA" w:rsidRPr="007A6742">
        <w:rPr>
          <w:rFonts w:asciiTheme="minorBidi" w:hAnsiTheme="minorBidi" w:cstheme="minorBidi"/>
        </w:rPr>
        <w:t>ilayas</w:t>
      </w:r>
      <w:r w:rsidR="001B4978" w:rsidRPr="007A6742">
        <w:rPr>
          <w:rFonts w:asciiTheme="minorBidi" w:hAnsiTheme="minorBidi" w:cstheme="minorBidi"/>
        </w:rPr>
        <w:t>.</w:t>
      </w:r>
      <w:r w:rsidR="00DB3AFA" w:rsidRPr="007A6742">
        <w:rPr>
          <w:rFonts w:asciiTheme="minorBidi" w:hAnsiTheme="minorBidi" w:cstheme="minorBidi"/>
        </w:rPr>
        <w:t xml:space="preserve"> L’expertise sera entièrement </w:t>
      </w:r>
      <w:r w:rsidR="004868F9" w:rsidRPr="007A6742">
        <w:rPr>
          <w:rFonts w:asciiTheme="minorBidi" w:hAnsiTheme="minorBidi" w:cstheme="minorBidi"/>
        </w:rPr>
        <w:t>responsable</w:t>
      </w:r>
      <w:r w:rsidR="00DB3AFA" w:rsidRPr="007A6742">
        <w:rPr>
          <w:rFonts w:asciiTheme="minorBidi" w:hAnsiTheme="minorBidi" w:cstheme="minorBidi"/>
        </w:rPr>
        <w:t xml:space="preserve"> de l’organisation du</w:t>
      </w:r>
      <w:r w:rsidR="007229A0" w:rsidRPr="007A6742">
        <w:rPr>
          <w:rFonts w:asciiTheme="minorBidi" w:hAnsiTheme="minorBidi" w:cstheme="minorBidi"/>
        </w:rPr>
        <w:t xml:space="preserve"> travail</w:t>
      </w:r>
      <w:r w:rsidR="004468FC">
        <w:rPr>
          <w:rFonts w:asciiTheme="minorBidi" w:hAnsiTheme="minorBidi" w:cstheme="minorBidi"/>
        </w:rPr>
        <w:t xml:space="preserve"> depuis le</w:t>
      </w:r>
      <w:r w:rsidR="00B43C8B" w:rsidRPr="007A6742">
        <w:rPr>
          <w:rFonts w:asciiTheme="minorBidi" w:hAnsiTheme="minorBidi" w:cstheme="minorBidi"/>
        </w:rPr>
        <w:t xml:space="preserve"> lieu de résidence, sur Alger et en région</w:t>
      </w:r>
      <w:r w:rsidR="007229A0" w:rsidRPr="007A6742">
        <w:rPr>
          <w:rFonts w:asciiTheme="minorBidi" w:hAnsiTheme="minorBidi" w:cstheme="minorBidi"/>
        </w:rPr>
        <w:t>.</w:t>
      </w:r>
    </w:p>
    <w:p w14:paraId="75FA6DAF" w14:textId="77777777" w:rsidR="007D3E86" w:rsidRPr="007A6742" w:rsidRDefault="008B143C" w:rsidP="00634E49">
      <w:pPr>
        <w:rPr>
          <w:rFonts w:asciiTheme="minorBidi" w:hAnsiTheme="minorBidi" w:cstheme="minorBidi"/>
          <w:color w:val="000000" w:themeColor="text1"/>
        </w:rPr>
      </w:pPr>
      <w:r w:rsidRPr="007A6742">
        <w:rPr>
          <w:rFonts w:asciiTheme="minorBidi" w:hAnsiTheme="minorBidi" w:cstheme="minorBidi"/>
          <w:color w:val="000000" w:themeColor="text1"/>
        </w:rPr>
        <w:t xml:space="preserve">La généralisation </w:t>
      </w:r>
      <w:r w:rsidR="00DB3AFA" w:rsidRPr="007A6742">
        <w:rPr>
          <w:rFonts w:asciiTheme="minorBidi" w:hAnsiTheme="minorBidi" w:cstheme="minorBidi"/>
          <w:color w:val="000000" w:themeColor="text1"/>
        </w:rPr>
        <w:t>du projet à l’ensemble du pays est</w:t>
      </w:r>
      <w:r w:rsidR="00CD3374" w:rsidRPr="007A6742">
        <w:rPr>
          <w:rFonts w:asciiTheme="minorBidi" w:hAnsiTheme="minorBidi" w:cstheme="minorBidi"/>
          <w:color w:val="000000" w:themeColor="text1"/>
        </w:rPr>
        <w:t xml:space="preserve"> </w:t>
      </w:r>
      <w:r w:rsidR="00DB3AFA" w:rsidRPr="007A6742">
        <w:rPr>
          <w:rFonts w:asciiTheme="minorBidi" w:hAnsiTheme="minorBidi" w:cstheme="minorBidi"/>
          <w:color w:val="000000" w:themeColor="text1"/>
        </w:rPr>
        <w:t xml:space="preserve">envisagée par le MSNFCF </w:t>
      </w:r>
      <w:r w:rsidRPr="007A6742">
        <w:rPr>
          <w:rFonts w:asciiTheme="minorBidi" w:hAnsiTheme="minorBidi" w:cstheme="minorBidi"/>
          <w:color w:val="000000" w:themeColor="text1"/>
        </w:rPr>
        <w:t xml:space="preserve">dans </w:t>
      </w:r>
      <w:r w:rsidR="00DB3AFA" w:rsidRPr="007A6742">
        <w:rPr>
          <w:rFonts w:asciiTheme="minorBidi" w:hAnsiTheme="minorBidi" w:cstheme="minorBidi"/>
          <w:color w:val="000000" w:themeColor="text1"/>
        </w:rPr>
        <w:t>une deuxième phase post-2019.</w:t>
      </w:r>
    </w:p>
    <w:p w14:paraId="234EB99A" w14:textId="77777777" w:rsidR="00B43C8B" w:rsidRPr="007A6742" w:rsidRDefault="00B43C8B" w:rsidP="003C0A16">
      <w:pPr>
        <w:pStyle w:val="Heading2"/>
      </w:pPr>
      <w:r w:rsidRPr="007A6742">
        <w:t>Emoluments et conditions de paiement</w:t>
      </w:r>
    </w:p>
    <w:p w14:paraId="1E33197F" w14:textId="77777777" w:rsidR="00B43C8B" w:rsidRPr="007A6742" w:rsidRDefault="00B43C8B" w:rsidP="00B43C8B">
      <w:pPr>
        <w:spacing w:after="0" w:line="276" w:lineRule="auto"/>
      </w:pPr>
      <w:r w:rsidRPr="007A6742">
        <w:t xml:space="preserve">Le montant de la consultation sera négocié et convenu sur la base de l’offre financière présentée. Les paiements seront échelonnés et effectués après réception et acceptation des livrables par l’UNICEF après consultation du partenaire gouvernemental. </w:t>
      </w:r>
    </w:p>
    <w:p w14:paraId="2965DABB" w14:textId="77777777" w:rsidR="00B43C8B" w:rsidRPr="007A6742" w:rsidRDefault="00B43C8B" w:rsidP="00B43C8B">
      <w:pPr>
        <w:rPr>
          <w:rFonts w:asciiTheme="minorBidi" w:hAnsiTheme="minorBidi" w:cstheme="minorBidi"/>
        </w:rPr>
      </w:pPr>
      <w:r w:rsidRPr="007A6742">
        <w:rPr>
          <w:rFonts w:asciiTheme="minorBidi" w:hAnsiTheme="minorBidi" w:cstheme="minorBidi"/>
        </w:rPr>
        <w:t xml:space="preserve">L’UNICEF procédera aux paiements </w:t>
      </w:r>
      <w:r w:rsidR="004468FC">
        <w:rPr>
          <w:rFonts w:asciiTheme="minorBidi" w:hAnsiTheme="minorBidi" w:cstheme="minorBidi"/>
        </w:rPr>
        <w:t>selon</w:t>
      </w:r>
      <w:r w:rsidRPr="007A6742">
        <w:rPr>
          <w:rFonts w:asciiTheme="minorBidi" w:hAnsiTheme="minorBidi" w:cstheme="minorBidi"/>
        </w:rPr>
        <w:t xml:space="preserve"> l’échéancier suivant :</w:t>
      </w:r>
    </w:p>
    <w:p w14:paraId="09A625F9" w14:textId="28F6D420" w:rsidR="00C45CE1" w:rsidRDefault="00B43C8B" w:rsidP="00B43C8B">
      <w:pPr>
        <w:pStyle w:val="BodyText"/>
        <w:numPr>
          <w:ilvl w:val="0"/>
          <w:numId w:val="11"/>
        </w:numPr>
        <w:spacing w:after="0" w:line="240" w:lineRule="auto"/>
        <w:rPr>
          <w:rFonts w:asciiTheme="minorBidi" w:hAnsiTheme="minorBidi" w:cstheme="minorBidi"/>
        </w:rPr>
      </w:pPr>
      <w:r w:rsidRPr="001047DB">
        <w:rPr>
          <w:rFonts w:asciiTheme="minorBidi" w:hAnsiTheme="minorBidi" w:cstheme="minorBidi"/>
        </w:rPr>
        <w:lastRenderedPageBreak/>
        <w:t xml:space="preserve">Paiement de </w:t>
      </w:r>
      <w:r w:rsidR="00C45CE1">
        <w:rPr>
          <w:rFonts w:asciiTheme="minorBidi" w:hAnsiTheme="minorBidi" w:cstheme="minorBidi"/>
        </w:rPr>
        <w:t>2</w:t>
      </w:r>
      <w:r w:rsidR="00352999">
        <w:rPr>
          <w:rFonts w:asciiTheme="minorBidi" w:hAnsiTheme="minorBidi" w:cstheme="minorBidi"/>
        </w:rPr>
        <w:t>5</w:t>
      </w:r>
      <w:r w:rsidR="006612A8" w:rsidRPr="001047DB">
        <w:rPr>
          <w:rFonts w:asciiTheme="minorBidi" w:hAnsiTheme="minorBidi" w:cstheme="minorBidi"/>
        </w:rPr>
        <w:t xml:space="preserve"> %</w:t>
      </w:r>
      <w:r w:rsidRPr="001047DB">
        <w:rPr>
          <w:rFonts w:asciiTheme="minorBidi" w:hAnsiTheme="minorBidi" w:cstheme="minorBidi"/>
        </w:rPr>
        <w:t xml:space="preserve"> du forfait suite à l</w:t>
      </w:r>
      <w:r w:rsidR="00B546E4" w:rsidRPr="001047DB">
        <w:rPr>
          <w:rFonts w:asciiTheme="minorBidi" w:hAnsiTheme="minorBidi" w:cstheme="minorBidi"/>
        </w:rPr>
        <w:t xml:space="preserve">a validation </w:t>
      </w:r>
      <w:r w:rsidR="00352999">
        <w:rPr>
          <w:rFonts w:asciiTheme="minorBidi" w:hAnsiTheme="minorBidi" w:cstheme="minorBidi"/>
        </w:rPr>
        <w:t>des</w:t>
      </w:r>
      <w:r w:rsidR="007A6742" w:rsidRPr="001047DB">
        <w:rPr>
          <w:rFonts w:asciiTheme="minorBidi" w:hAnsiTheme="minorBidi" w:cstheme="minorBidi"/>
        </w:rPr>
        <w:t xml:space="preserve"> livrable</w:t>
      </w:r>
      <w:r w:rsidR="006612A8" w:rsidRPr="001047DB">
        <w:rPr>
          <w:rFonts w:asciiTheme="minorBidi" w:hAnsiTheme="minorBidi" w:cstheme="minorBidi"/>
        </w:rPr>
        <w:t>s</w:t>
      </w:r>
      <w:r w:rsidRPr="001047DB">
        <w:rPr>
          <w:rFonts w:asciiTheme="minorBidi" w:hAnsiTheme="minorBidi" w:cstheme="minorBidi"/>
        </w:rPr>
        <w:t xml:space="preserve"> </w:t>
      </w:r>
      <w:r w:rsidR="00B546E4" w:rsidRPr="001047DB">
        <w:rPr>
          <w:rFonts w:asciiTheme="minorBidi" w:hAnsiTheme="minorBidi" w:cstheme="minorBidi"/>
        </w:rPr>
        <w:t>1</w:t>
      </w:r>
      <w:r w:rsidR="00C45CE1">
        <w:rPr>
          <w:rFonts w:asciiTheme="minorBidi" w:hAnsiTheme="minorBidi" w:cstheme="minorBidi"/>
        </w:rPr>
        <w:t xml:space="preserve"> </w:t>
      </w:r>
      <w:r w:rsidR="00352999">
        <w:rPr>
          <w:rFonts w:asciiTheme="minorBidi" w:hAnsiTheme="minorBidi" w:cstheme="minorBidi"/>
        </w:rPr>
        <w:t>et 2</w:t>
      </w:r>
    </w:p>
    <w:p w14:paraId="7C545CAF" w14:textId="7D0732B2" w:rsidR="00B43C8B" w:rsidRPr="001047DB" w:rsidRDefault="00B43C8B" w:rsidP="006612A8">
      <w:pPr>
        <w:pStyle w:val="BodyText"/>
        <w:numPr>
          <w:ilvl w:val="0"/>
          <w:numId w:val="11"/>
        </w:numPr>
        <w:spacing w:after="0" w:line="240" w:lineRule="auto"/>
        <w:rPr>
          <w:rFonts w:asciiTheme="minorBidi" w:hAnsiTheme="minorBidi" w:cstheme="minorBidi"/>
        </w:rPr>
      </w:pPr>
      <w:r w:rsidRPr="001047DB">
        <w:rPr>
          <w:rFonts w:asciiTheme="minorBidi" w:hAnsiTheme="minorBidi" w:cstheme="minorBidi"/>
        </w:rPr>
        <w:t>Paiement de</w:t>
      </w:r>
      <w:r w:rsidR="00924B58">
        <w:rPr>
          <w:rFonts w:asciiTheme="minorBidi" w:hAnsiTheme="minorBidi" w:cstheme="minorBidi"/>
        </w:rPr>
        <w:t xml:space="preserve"> </w:t>
      </w:r>
      <w:r w:rsidR="00352999">
        <w:rPr>
          <w:rFonts w:asciiTheme="minorBidi" w:hAnsiTheme="minorBidi" w:cstheme="minorBidi"/>
        </w:rPr>
        <w:t>25</w:t>
      </w:r>
      <w:r w:rsidR="006612A8" w:rsidRPr="001047DB">
        <w:rPr>
          <w:rFonts w:asciiTheme="minorBidi" w:hAnsiTheme="minorBidi" w:cstheme="minorBidi"/>
        </w:rPr>
        <w:t xml:space="preserve"> </w:t>
      </w:r>
      <w:r w:rsidRPr="001047DB">
        <w:rPr>
          <w:rFonts w:asciiTheme="minorBidi" w:hAnsiTheme="minorBidi" w:cstheme="minorBidi"/>
        </w:rPr>
        <w:t xml:space="preserve">% du forfait suite à la validation des livrables </w:t>
      </w:r>
      <w:r w:rsidR="00B546E4" w:rsidRPr="001047DB">
        <w:rPr>
          <w:rFonts w:asciiTheme="minorBidi" w:hAnsiTheme="minorBidi" w:cstheme="minorBidi"/>
        </w:rPr>
        <w:t xml:space="preserve">3 </w:t>
      </w:r>
      <w:r w:rsidR="006612A8" w:rsidRPr="001047DB">
        <w:rPr>
          <w:rFonts w:asciiTheme="minorBidi" w:hAnsiTheme="minorBidi" w:cstheme="minorBidi"/>
        </w:rPr>
        <w:t>,</w:t>
      </w:r>
      <w:r w:rsidR="00352999">
        <w:rPr>
          <w:rFonts w:asciiTheme="minorBidi" w:hAnsiTheme="minorBidi" w:cstheme="minorBidi"/>
        </w:rPr>
        <w:t xml:space="preserve">4 et </w:t>
      </w:r>
      <w:r w:rsidR="006612A8" w:rsidRPr="001047DB">
        <w:rPr>
          <w:rFonts w:asciiTheme="minorBidi" w:hAnsiTheme="minorBidi" w:cstheme="minorBidi"/>
        </w:rPr>
        <w:t xml:space="preserve">5 </w:t>
      </w:r>
    </w:p>
    <w:p w14:paraId="187F9935" w14:textId="21699B1E" w:rsidR="00432A8F" w:rsidRDefault="00B43C8B" w:rsidP="003C0A16">
      <w:pPr>
        <w:pStyle w:val="BodyText"/>
        <w:numPr>
          <w:ilvl w:val="0"/>
          <w:numId w:val="11"/>
        </w:numPr>
        <w:spacing w:after="0" w:line="240" w:lineRule="auto"/>
        <w:rPr>
          <w:rFonts w:asciiTheme="minorBidi" w:hAnsiTheme="minorBidi" w:cstheme="minorBidi"/>
        </w:rPr>
      </w:pPr>
      <w:r w:rsidRPr="001047DB">
        <w:rPr>
          <w:rFonts w:asciiTheme="minorBidi" w:hAnsiTheme="minorBidi" w:cstheme="minorBidi"/>
        </w:rPr>
        <w:t xml:space="preserve">Paiement de </w:t>
      </w:r>
      <w:r w:rsidR="00352999">
        <w:rPr>
          <w:rFonts w:asciiTheme="minorBidi" w:hAnsiTheme="minorBidi" w:cstheme="minorBidi"/>
        </w:rPr>
        <w:t>20</w:t>
      </w:r>
      <w:r w:rsidR="006612A8" w:rsidRPr="001047DB">
        <w:rPr>
          <w:rFonts w:asciiTheme="minorBidi" w:hAnsiTheme="minorBidi" w:cstheme="minorBidi"/>
        </w:rPr>
        <w:t xml:space="preserve"> </w:t>
      </w:r>
      <w:r w:rsidRPr="001047DB">
        <w:rPr>
          <w:rFonts w:asciiTheme="minorBidi" w:hAnsiTheme="minorBidi" w:cstheme="minorBidi"/>
        </w:rPr>
        <w:t>% du forfait suite à la validation des livrables</w:t>
      </w:r>
      <w:r w:rsidR="00352999">
        <w:rPr>
          <w:rFonts w:asciiTheme="minorBidi" w:hAnsiTheme="minorBidi" w:cstheme="minorBidi"/>
        </w:rPr>
        <w:t xml:space="preserve"> 6 et</w:t>
      </w:r>
      <w:r w:rsidR="00B546E4" w:rsidRPr="001047DB">
        <w:rPr>
          <w:rFonts w:asciiTheme="minorBidi" w:hAnsiTheme="minorBidi" w:cstheme="minorBidi"/>
        </w:rPr>
        <w:t xml:space="preserve"> </w:t>
      </w:r>
      <w:r w:rsidR="00B24661" w:rsidRPr="001047DB">
        <w:rPr>
          <w:rFonts w:asciiTheme="minorBidi" w:hAnsiTheme="minorBidi" w:cstheme="minorBidi"/>
        </w:rPr>
        <w:t>7</w:t>
      </w:r>
      <w:r w:rsidR="00B546E4" w:rsidRPr="001047DB">
        <w:rPr>
          <w:rFonts w:asciiTheme="minorBidi" w:hAnsiTheme="minorBidi" w:cstheme="minorBidi"/>
        </w:rPr>
        <w:t xml:space="preserve"> </w:t>
      </w:r>
      <w:bookmarkStart w:id="13" w:name="_Toc422729572"/>
      <w:bookmarkEnd w:id="7"/>
      <w:bookmarkEnd w:id="8"/>
    </w:p>
    <w:p w14:paraId="2DCFEEB5" w14:textId="6EA4949D" w:rsidR="00352999" w:rsidRPr="00432A8F" w:rsidRDefault="00352999" w:rsidP="003C0A16">
      <w:pPr>
        <w:pStyle w:val="BodyText"/>
        <w:numPr>
          <w:ilvl w:val="0"/>
          <w:numId w:val="11"/>
        </w:numPr>
        <w:spacing w:after="0" w:line="240" w:lineRule="auto"/>
        <w:rPr>
          <w:rFonts w:asciiTheme="minorBidi" w:hAnsiTheme="minorBidi" w:cstheme="minorBidi"/>
        </w:rPr>
      </w:pPr>
      <w:r w:rsidRPr="001047DB">
        <w:rPr>
          <w:rFonts w:asciiTheme="minorBidi" w:hAnsiTheme="minorBidi" w:cstheme="minorBidi"/>
        </w:rPr>
        <w:t xml:space="preserve">Paiement de </w:t>
      </w:r>
      <w:r>
        <w:rPr>
          <w:rFonts w:asciiTheme="minorBidi" w:hAnsiTheme="minorBidi" w:cstheme="minorBidi"/>
        </w:rPr>
        <w:t>30</w:t>
      </w:r>
      <w:r w:rsidRPr="001047DB">
        <w:rPr>
          <w:rFonts w:asciiTheme="minorBidi" w:hAnsiTheme="minorBidi" w:cstheme="minorBidi"/>
        </w:rPr>
        <w:t xml:space="preserve"> % du forfait suite à la validation des</w:t>
      </w:r>
      <w:r>
        <w:rPr>
          <w:rFonts w:asciiTheme="minorBidi" w:hAnsiTheme="minorBidi" w:cstheme="minorBidi"/>
        </w:rPr>
        <w:t xml:space="preserve"> livrables 8 et 9</w:t>
      </w:r>
    </w:p>
    <w:p w14:paraId="3371CDC7" w14:textId="1FC9B709" w:rsidR="00004CCB" w:rsidRPr="007A6742" w:rsidRDefault="00004CCB" w:rsidP="003C0A16">
      <w:pPr>
        <w:pStyle w:val="Heading2"/>
        <w:rPr>
          <w:bCs/>
          <w:color w:val="00B0F0"/>
        </w:rPr>
      </w:pPr>
      <w:r w:rsidRPr="007A6742">
        <w:t>Compétences et qualification de l’expert</w:t>
      </w:r>
      <w:bookmarkEnd w:id="13"/>
    </w:p>
    <w:p w14:paraId="089A7539" w14:textId="3F947A18" w:rsidR="003C0A16" w:rsidRDefault="003C0A16" w:rsidP="003C0A16">
      <w:pPr>
        <w:rPr>
          <w:rStyle w:val="Emphasis"/>
          <w:color w:val="545454"/>
        </w:rPr>
      </w:pPr>
      <w:r>
        <w:t>Les offres pourront émaner d’un cabinet d’expertise ou être soumise</w:t>
      </w:r>
      <w:r w:rsidR="00CF7A53">
        <w:t>s</w:t>
      </w:r>
      <w:r>
        <w:t xml:space="preserve"> par </w:t>
      </w:r>
      <w:r w:rsidR="00DC6758">
        <w:t>des consultants</w:t>
      </w:r>
      <w:r>
        <w:t xml:space="preserve"> principa</w:t>
      </w:r>
      <w:r w:rsidR="00CF7A53">
        <w:t>ux</w:t>
      </w:r>
      <w:r>
        <w:t xml:space="preserve"> qui prendra</w:t>
      </w:r>
      <w:r w:rsidR="00CF7A53">
        <w:t>ient</w:t>
      </w:r>
      <w:r>
        <w:t xml:space="preserve"> la responsabilité de s’associer à d’autres experts.  </w:t>
      </w:r>
      <w:r w:rsidRPr="00534D23">
        <w:t>Les offres</w:t>
      </w:r>
      <w:r w:rsidRPr="00534D23">
        <w:rPr>
          <w:b/>
        </w:rPr>
        <w:t xml:space="preserve"> </w:t>
      </w:r>
      <w:r w:rsidRPr="00D13F8A">
        <w:rPr>
          <w:rStyle w:val="Emphasis"/>
        </w:rPr>
        <w:t>devront répondre</w:t>
      </w:r>
      <w:r w:rsidRPr="00534D23">
        <w:rPr>
          <w:rStyle w:val="st1"/>
        </w:rPr>
        <w:t xml:space="preserve"> </w:t>
      </w:r>
      <w:r>
        <w:rPr>
          <w:rStyle w:val="st1"/>
        </w:rPr>
        <w:t xml:space="preserve">aux critères </w:t>
      </w:r>
      <w:r w:rsidRPr="00D13F8A">
        <w:rPr>
          <w:rStyle w:val="Emphasis"/>
        </w:rPr>
        <w:t>suivants :</w:t>
      </w:r>
    </w:p>
    <w:p w14:paraId="3A36191F" w14:textId="6EEDF5BD" w:rsidR="003C0A16" w:rsidRDefault="003C0A16" w:rsidP="003C0A16">
      <w:pPr>
        <w:spacing w:after="0"/>
      </w:pPr>
      <w:r>
        <w:t>U</w:t>
      </w:r>
      <w:r w:rsidRPr="00687340">
        <w:t>ne expertise nationale et une expertise intern</w:t>
      </w:r>
      <w:r w:rsidR="00E50045">
        <w:t xml:space="preserve">ationale sont requises. Le soumissionnaire </w:t>
      </w:r>
      <w:r w:rsidRPr="00687340">
        <w:t>devra disposer d’une expérience avérée de mise en œuvre de projet</w:t>
      </w:r>
      <w:r>
        <w:t>s</w:t>
      </w:r>
      <w:r w:rsidRPr="00687340">
        <w:t xml:space="preserve"> similaire</w:t>
      </w:r>
      <w:r>
        <w:t>s</w:t>
      </w:r>
      <w:r w:rsidRPr="00687340">
        <w:t xml:space="preserve"> à l’international et d’une connaissance pointue du secteur </w:t>
      </w:r>
      <w:r>
        <w:t xml:space="preserve">de l’enfance </w:t>
      </w:r>
      <w:r w:rsidRPr="00687340">
        <w:t>en Algérie.</w:t>
      </w:r>
      <w:r>
        <w:t xml:space="preserve"> </w:t>
      </w:r>
    </w:p>
    <w:p w14:paraId="77BC338D" w14:textId="3963D103" w:rsidR="00432A8F" w:rsidRPr="00432A8F" w:rsidRDefault="003C0A16" w:rsidP="00432A8F">
      <w:pPr>
        <w:spacing w:after="60"/>
      </w:pPr>
      <w:r w:rsidRPr="007A6742">
        <w:rPr>
          <w:rFonts w:asciiTheme="minorBidi" w:hAnsiTheme="minorBidi" w:cstheme="minorBidi"/>
        </w:rPr>
        <w:t>Les experts devront avoir une capacité démontrée de travail en équipe dans des contextes multiculturels</w:t>
      </w:r>
      <w:r>
        <w:rPr>
          <w:rFonts w:asciiTheme="minorBidi" w:hAnsiTheme="minorBidi" w:cstheme="minorBidi"/>
        </w:rPr>
        <w:t>.</w:t>
      </w:r>
      <w:r>
        <w:t xml:space="preserve"> En particulier, les personnes contribuant à la mission devront </w:t>
      </w:r>
      <w:r w:rsidR="00CF7A53">
        <w:t xml:space="preserve">disposer </w:t>
      </w:r>
      <w:r>
        <w:t xml:space="preserve">: </w:t>
      </w:r>
    </w:p>
    <w:p w14:paraId="26668DB9" w14:textId="6D693251" w:rsidR="007A6742" w:rsidRPr="007A6742" w:rsidRDefault="00CF7A53" w:rsidP="003C0A16">
      <w:pPr>
        <w:pStyle w:val="BodyText"/>
        <w:spacing w:after="0" w:line="240" w:lineRule="auto"/>
        <w:rPr>
          <w:rFonts w:asciiTheme="minorBidi" w:hAnsiTheme="minorBidi" w:cstheme="minorBidi"/>
          <w:b/>
        </w:rPr>
      </w:pPr>
      <w:r>
        <w:rPr>
          <w:rFonts w:asciiTheme="minorBidi" w:hAnsiTheme="minorBidi" w:cstheme="minorBidi"/>
          <w:b/>
        </w:rPr>
        <w:t>Pour l’e</w:t>
      </w:r>
      <w:r w:rsidR="00004CCB" w:rsidRPr="007A6742">
        <w:rPr>
          <w:rFonts w:asciiTheme="minorBidi" w:hAnsiTheme="minorBidi" w:cstheme="minorBidi"/>
          <w:b/>
        </w:rPr>
        <w:t>xpertise internationale</w:t>
      </w:r>
      <w:r w:rsidR="003C0A16">
        <w:rPr>
          <w:rFonts w:asciiTheme="minorBidi" w:hAnsiTheme="minorBidi" w:cstheme="minorBidi"/>
          <w:b/>
        </w:rPr>
        <w:t> :</w:t>
      </w:r>
    </w:p>
    <w:p w14:paraId="571769D5" w14:textId="16295D11" w:rsidR="001963AD" w:rsidRPr="00A609C5" w:rsidRDefault="00A609C5" w:rsidP="00A609C5">
      <w:pPr>
        <w:spacing w:after="60"/>
        <w:ind w:left="360" w:hanging="360"/>
        <w:contextualSpacing/>
      </w:pPr>
      <w:r>
        <w:t>-</w:t>
      </w:r>
      <w:r w:rsidRPr="00C71D0E">
        <w:t xml:space="preserve"> d’une formati</w:t>
      </w:r>
      <w:r>
        <w:t>on postuniversitaire de niveau M</w:t>
      </w:r>
      <w:r w:rsidRPr="00C71D0E">
        <w:t>aster, de préférence dans le domaine des sciences sociales</w:t>
      </w:r>
      <w:r>
        <w:t xml:space="preserve"> </w:t>
      </w:r>
      <w:r w:rsidRPr="00C71D0E">
        <w:t>ou autres domaines pertinents</w:t>
      </w:r>
    </w:p>
    <w:p w14:paraId="4757A96E" w14:textId="29DE45D6" w:rsidR="00BD07EC" w:rsidRPr="007A6742" w:rsidRDefault="001963AD" w:rsidP="003C0A16">
      <w:pPr>
        <w:pStyle w:val="BodyText"/>
        <w:spacing w:after="0" w:line="240" w:lineRule="auto"/>
        <w:rPr>
          <w:rFonts w:asciiTheme="minorBidi" w:hAnsiTheme="minorBidi" w:cstheme="minorBidi"/>
        </w:rPr>
      </w:pPr>
      <w:r>
        <w:rPr>
          <w:rFonts w:asciiTheme="minorBidi" w:hAnsiTheme="minorBidi" w:cstheme="minorBidi"/>
        </w:rPr>
        <w:t>-</w:t>
      </w:r>
      <w:r w:rsidR="00CF7A53">
        <w:rPr>
          <w:rFonts w:asciiTheme="minorBidi" w:hAnsiTheme="minorBidi" w:cstheme="minorBidi"/>
        </w:rPr>
        <w:t>d’une e</w:t>
      </w:r>
      <w:r w:rsidR="00B546E4" w:rsidRPr="007A6742">
        <w:rPr>
          <w:rFonts w:asciiTheme="minorBidi" w:hAnsiTheme="minorBidi" w:cstheme="minorBidi"/>
        </w:rPr>
        <w:t>xpertise démontrée</w:t>
      </w:r>
      <w:r w:rsidR="008B143C" w:rsidRPr="007A6742">
        <w:rPr>
          <w:rFonts w:asciiTheme="minorBidi" w:hAnsiTheme="minorBidi" w:cstheme="minorBidi"/>
        </w:rPr>
        <w:t xml:space="preserve"> dans le domaine </w:t>
      </w:r>
      <w:r w:rsidR="0060495C" w:rsidRPr="007A6742">
        <w:rPr>
          <w:rFonts w:asciiTheme="minorBidi" w:hAnsiTheme="minorBidi" w:cstheme="minorBidi"/>
        </w:rPr>
        <w:t>du social et de la petite enfance</w:t>
      </w:r>
    </w:p>
    <w:p w14:paraId="504CB216" w14:textId="49DAA2FE" w:rsidR="00C45CE1" w:rsidRDefault="00BD07EC" w:rsidP="003C0A16">
      <w:pPr>
        <w:pStyle w:val="BodyText"/>
        <w:spacing w:after="0" w:line="240" w:lineRule="auto"/>
        <w:rPr>
          <w:rFonts w:asciiTheme="minorBidi" w:hAnsiTheme="minorBidi" w:cstheme="minorBidi"/>
        </w:rPr>
      </w:pPr>
      <w:r w:rsidRPr="007A6742">
        <w:rPr>
          <w:rFonts w:asciiTheme="minorBidi" w:hAnsiTheme="minorBidi" w:cstheme="minorBidi"/>
        </w:rPr>
        <w:t>-</w:t>
      </w:r>
      <w:r w:rsidR="007A6742">
        <w:rPr>
          <w:rFonts w:asciiTheme="minorBidi" w:hAnsiTheme="minorBidi" w:cstheme="minorBidi"/>
        </w:rPr>
        <w:t xml:space="preserve"> </w:t>
      </w:r>
      <w:r w:rsidR="00CF7A53">
        <w:rPr>
          <w:rFonts w:asciiTheme="minorBidi" w:hAnsiTheme="minorBidi" w:cstheme="minorBidi"/>
        </w:rPr>
        <w:t>d’une e</w:t>
      </w:r>
      <w:r w:rsidR="008B143C" w:rsidRPr="007A6742">
        <w:rPr>
          <w:rFonts w:asciiTheme="minorBidi" w:hAnsiTheme="minorBidi" w:cstheme="minorBidi"/>
        </w:rPr>
        <w:t xml:space="preserve">xpérience </w:t>
      </w:r>
      <w:r w:rsidR="00C45CE1">
        <w:rPr>
          <w:rFonts w:asciiTheme="minorBidi" w:hAnsiTheme="minorBidi" w:cstheme="minorBidi"/>
        </w:rPr>
        <w:t>solide en développement d’outils de gestion et de supervision dans le secteur de la petite enfance</w:t>
      </w:r>
    </w:p>
    <w:p w14:paraId="090BB5C9" w14:textId="7EC8A803" w:rsidR="00BD07EC" w:rsidRPr="007A6742" w:rsidRDefault="00C45CE1" w:rsidP="003C0A16">
      <w:pPr>
        <w:pStyle w:val="BodyText"/>
        <w:spacing w:after="0" w:line="240" w:lineRule="auto"/>
        <w:rPr>
          <w:rFonts w:asciiTheme="minorBidi" w:hAnsiTheme="minorBidi" w:cstheme="minorBidi"/>
        </w:rPr>
      </w:pPr>
      <w:r>
        <w:rPr>
          <w:rFonts w:asciiTheme="minorBidi" w:hAnsiTheme="minorBidi" w:cstheme="minorBidi"/>
        </w:rPr>
        <w:t>- d’une expertise avérée en</w:t>
      </w:r>
      <w:r w:rsidR="00B546E4" w:rsidRPr="007A6742">
        <w:rPr>
          <w:rFonts w:asciiTheme="minorBidi" w:hAnsiTheme="minorBidi" w:cstheme="minorBidi"/>
        </w:rPr>
        <w:t xml:space="preserve"> formation et suivi / évaluation</w:t>
      </w:r>
      <w:r>
        <w:rPr>
          <w:rFonts w:asciiTheme="minorBidi" w:hAnsiTheme="minorBidi" w:cstheme="minorBidi"/>
        </w:rPr>
        <w:t xml:space="preserve"> dans le secteur social</w:t>
      </w:r>
    </w:p>
    <w:p w14:paraId="214984D0" w14:textId="17AF2747" w:rsidR="00B546E4" w:rsidRPr="007A6742" w:rsidRDefault="00B546E4" w:rsidP="003C0A16">
      <w:pPr>
        <w:pStyle w:val="BodyText"/>
        <w:spacing w:line="240" w:lineRule="auto"/>
        <w:rPr>
          <w:rFonts w:asciiTheme="minorBidi" w:hAnsiTheme="minorBidi" w:cstheme="minorBidi"/>
        </w:rPr>
      </w:pPr>
      <w:r w:rsidRPr="007A6742">
        <w:rPr>
          <w:rFonts w:asciiTheme="minorBidi" w:hAnsiTheme="minorBidi" w:cstheme="minorBidi"/>
        </w:rPr>
        <w:t xml:space="preserve">- </w:t>
      </w:r>
      <w:r w:rsidR="009A6832">
        <w:rPr>
          <w:rFonts w:asciiTheme="minorBidi" w:hAnsiTheme="minorBidi" w:cstheme="minorBidi"/>
        </w:rPr>
        <w:t>d’une p</w:t>
      </w:r>
      <w:r w:rsidRPr="007A6742">
        <w:rPr>
          <w:rFonts w:asciiTheme="minorBidi" w:hAnsiTheme="minorBidi" w:cstheme="minorBidi"/>
        </w:rPr>
        <w:t xml:space="preserve">arfaite maitrise du </w:t>
      </w:r>
      <w:r w:rsidR="0060495C" w:rsidRPr="007A6742">
        <w:rPr>
          <w:rFonts w:asciiTheme="minorBidi" w:hAnsiTheme="minorBidi" w:cstheme="minorBidi"/>
        </w:rPr>
        <w:t>français</w:t>
      </w:r>
      <w:r w:rsidRPr="007A6742">
        <w:rPr>
          <w:rFonts w:asciiTheme="minorBidi" w:hAnsiTheme="minorBidi" w:cstheme="minorBidi"/>
        </w:rPr>
        <w:t xml:space="preserve"> et de l’anglais, la connaissance de l’arabe </w:t>
      </w:r>
      <w:r w:rsidR="00C45CE1">
        <w:rPr>
          <w:rFonts w:asciiTheme="minorBidi" w:hAnsiTheme="minorBidi" w:cstheme="minorBidi"/>
        </w:rPr>
        <w:t>étant</w:t>
      </w:r>
      <w:r w:rsidRPr="007A6742">
        <w:rPr>
          <w:rFonts w:asciiTheme="minorBidi" w:hAnsiTheme="minorBidi" w:cstheme="minorBidi"/>
        </w:rPr>
        <w:t xml:space="preserve"> un atout</w:t>
      </w:r>
    </w:p>
    <w:p w14:paraId="1C78DA29" w14:textId="769811B6" w:rsidR="00BD07EC" w:rsidRPr="007A6742" w:rsidRDefault="009A6832" w:rsidP="003C0A16">
      <w:pPr>
        <w:pStyle w:val="BodyText"/>
        <w:spacing w:after="0" w:line="240" w:lineRule="auto"/>
        <w:rPr>
          <w:rFonts w:asciiTheme="minorBidi" w:hAnsiTheme="minorBidi" w:cstheme="minorBidi"/>
          <w:b/>
        </w:rPr>
      </w:pPr>
      <w:r>
        <w:rPr>
          <w:rFonts w:asciiTheme="minorBidi" w:hAnsiTheme="minorBidi" w:cstheme="minorBidi"/>
          <w:b/>
        </w:rPr>
        <w:t>Pour l’e</w:t>
      </w:r>
      <w:r w:rsidR="00004CCB" w:rsidRPr="007A6742">
        <w:rPr>
          <w:rFonts w:asciiTheme="minorBidi" w:hAnsiTheme="minorBidi" w:cstheme="minorBidi"/>
          <w:b/>
        </w:rPr>
        <w:t>xpertise nationale</w:t>
      </w:r>
    </w:p>
    <w:p w14:paraId="5BC37364" w14:textId="142A4372" w:rsidR="00A609C5" w:rsidRPr="00A609C5" w:rsidRDefault="00A609C5" w:rsidP="00A609C5">
      <w:pPr>
        <w:spacing w:after="60"/>
        <w:ind w:left="360" w:hanging="360"/>
        <w:contextualSpacing/>
      </w:pPr>
      <w:r>
        <w:t>-</w:t>
      </w:r>
      <w:r w:rsidRPr="00C71D0E">
        <w:t xml:space="preserve"> d’une formati</w:t>
      </w:r>
      <w:r>
        <w:t>on postuniversitaire de niveau M</w:t>
      </w:r>
      <w:r w:rsidRPr="00C71D0E">
        <w:t>aster, de préférence dans le domaine des sciences sociales</w:t>
      </w:r>
      <w:r>
        <w:t xml:space="preserve"> </w:t>
      </w:r>
      <w:r w:rsidRPr="00C71D0E">
        <w:t>ou autres domaines pertinents</w:t>
      </w:r>
    </w:p>
    <w:p w14:paraId="63560C04" w14:textId="0B3BD4B8" w:rsidR="00B546E4" w:rsidRPr="007A6742" w:rsidRDefault="00A609C5" w:rsidP="003C0A16">
      <w:pPr>
        <w:pStyle w:val="BodyText"/>
        <w:spacing w:after="0" w:line="240" w:lineRule="auto"/>
        <w:rPr>
          <w:rFonts w:asciiTheme="minorBidi" w:hAnsiTheme="minorBidi" w:cstheme="minorBidi"/>
        </w:rPr>
      </w:pPr>
      <w:r>
        <w:rPr>
          <w:rFonts w:asciiTheme="minorBidi" w:hAnsiTheme="minorBidi" w:cstheme="minorBidi"/>
        </w:rPr>
        <w:t>-</w:t>
      </w:r>
      <w:r w:rsidR="009A6832">
        <w:rPr>
          <w:rFonts w:asciiTheme="minorBidi" w:hAnsiTheme="minorBidi" w:cstheme="minorBidi"/>
        </w:rPr>
        <w:t>d’une e</w:t>
      </w:r>
      <w:r w:rsidR="00B546E4" w:rsidRPr="007A6742">
        <w:rPr>
          <w:rFonts w:asciiTheme="minorBidi" w:hAnsiTheme="minorBidi" w:cstheme="minorBidi"/>
        </w:rPr>
        <w:t xml:space="preserve">xpertise démontrée du secteur social en </w:t>
      </w:r>
      <w:r w:rsidR="0060495C" w:rsidRPr="007A6742">
        <w:rPr>
          <w:rFonts w:asciiTheme="minorBidi" w:hAnsiTheme="minorBidi" w:cstheme="minorBidi"/>
        </w:rPr>
        <w:t>Algérie</w:t>
      </w:r>
      <w:r w:rsidR="00B546E4" w:rsidRPr="007A6742">
        <w:rPr>
          <w:rFonts w:asciiTheme="minorBidi" w:hAnsiTheme="minorBidi" w:cstheme="minorBidi"/>
        </w:rPr>
        <w:t xml:space="preserve"> et </w:t>
      </w:r>
      <w:r w:rsidR="0060495C" w:rsidRPr="007A6742">
        <w:rPr>
          <w:rFonts w:asciiTheme="minorBidi" w:hAnsiTheme="minorBidi" w:cstheme="minorBidi"/>
        </w:rPr>
        <w:t>expérience</w:t>
      </w:r>
      <w:r w:rsidR="00B546E4" w:rsidRPr="007A6742">
        <w:rPr>
          <w:rFonts w:asciiTheme="minorBidi" w:hAnsiTheme="minorBidi" w:cstheme="minorBidi"/>
        </w:rPr>
        <w:t xml:space="preserve"> de travail </w:t>
      </w:r>
      <w:r w:rsidR="0060495C" w:rsidRPr="007A6742">
        <w:rPr>
          <w:rFonts w:asciiTheme="minorBidi" w:hAnsiTheme="minorBidi" w:cstheme="minorBidi"/>
        </w:rPr>
        <w:t>démontrée</w:t>
      </w:r>
      <w:r w:rsidR="00B546E4" w:rsidRPr="007A6742">
        <w:rPr>
          <w:rFonts w:asciiTheme="minorBidi" w:hAnsiTheme="minorBidi" w:cstheme="minorBidi"/>
        </w:rPr>
        <w:t xml:space="preserve"> dans le secteur d’au moins </w:t>
      </w:r>
      <w:r w:rsidR="00C45CE1">
        <w:rPr>
          <w:rFonts w:asciiTheme="minorBidi" w:hAnsiTheme="minorBidi" w:cstheme="minorBidi"/>
        </w:rPr>
        <w:t>7</w:t>
      </w:r>
      <w:r w:rsidR="00B546E4" w:rsidRPr="007A6742">
        <w:rPr>
          <w:rFonts w:asciiTheme="minorBidi" w:hAnsiTheme="minorBidi" w:cstheme="minorBidi"/>
        </w:rPr>
        <w:t xml:space="preserve"> </w:t>
      </w:r>
      <w:r w:rsidR="0060495C" w:rsidRPr="007A6742">
        <w:rPr>
          <w:rFonts w:asciiTheme="minorBidi" w:hAnsiTheme="minorBidi" w:cstheme="minorBidi"/>
        </w:rPr>
        <w:t>années</w:t>
      </w:r>
    </w:p>
    <w:p w14:paraId="7717ED56" w14:textId="233B965F" w:rsidR="00BD07EC" w:rsidRPr="007A6742" w:rsidRDefault="00C45CE1" w:rsidP="003C0A16">
      <w:pPr>
        <w:pStyle w:val="BodyText"/>
        <w:spacing w:after="0" w:line="240" w:lineRule="auto"/>
        <w:rPr>
          <w:rFonts w:asciiTheme="minorBidi" w:hAnsiTheme="minorBidi" w:cstheme="minorBidi"/>
        </w:rPr>
      </w:pPr>
      <w:r>
        <w:rPr>
          <w:rFonts w:asciiTheme="minorBidi" w:hAnsiTheme="minorBidi" w:cstheme="minorBidi"/>
        </w:rPr>
        <w:t>- d’une t</w:t>
      </w:r>
      <w:r w:rsidR="00B546E4" w:rsidRPr="007A6742">
        <w:rPr>
          <w:rFonts w:asciiTheme="minorBidi" w:hAnsiTheme="minorBidi" w:cstheme="minorBidi"/>
        </w:rPr>
        <w:t>rès b</w:t>
      </w:r>
      <w:r w:rsidR="008B143C" w:rsidRPr="007A6742">
        <w:rPr>
          <w:rFonts w:asciiTheme="minorBidi" w:hAnsiTheme="minorBidi" w:cstheme="minorBidi"/>
        </w:rPr>
        <w:t>onne connaissance de l’organisation des structures rattachées au MSNFCF et des établissements d’accueil de la petite enfance</w:t>
      </w:r>
      <w:r w:rsidR="00B546E4" w:rsidRPr="007A6742">
        <w:rPr>
          <w:rFonts w:asciiTheme="minorBidi" w:hAnsiTheme="minorBidi" w:cstheme="minorBidi"/>
        </w:rPr>
        <w:t xml:space="preserve"> en particulier</w:t>
      </w:r>
    </w:p>
    <w:p w14:paraId="6BF8EE0E" w14:textId="7BB4C380" w:rsidR="00B546E4" w:rsidRPr="007A6742" w:rsidRDefault="00C45CE1" w:rsidP="003C0A16">
      <w:pPr>
        <w:pStyle w:val="BodyText"/>
        <w:spacing w:after="0" w:line="240" w:lineRule="auto"/>
        <w:rPr>
          <w:rFonts w:asciiTheme="minorBidi" w:hAnsiTheme="minorBidi" w:cstheme="minorBidi"/>
        </w:rPr>
      </w:pPr>
      <w:r>
        <w:rPr>
          <w:rFonts w:asciiTheme="minorBidi" w:hAnsiTheme="minorBidi" w:cstheme="minorBidi"/>
        </w:rPr>
        <w:t>- de c</w:t>
      </w:r>
      <w:r w:rsidR="00B546E4" w:rsidRPr="007A6742">
        <w:rPr>
          <w:rFonts w:asciiTheme="minorBidi" w:hAnsiTheme="minorBidi" w:cstheme="minorBidi"/>
        </w:rPr>
        <w:t>ompétences démontrées dans le domaine de la recherche et de l’analyse dans le secteur social</w:t>
      </w:r>
    </w:p>
    <w:p w14:paraId="3DCABB9F" w14:textId="64BFBB9C" w:rsidR="00432A8F" w:rsidRPr="00432A8F" w:rsidRDefault="00BD07EC" w:rsidP="00432A8F">
      <w:pPr>
        <w:pStyle w:val="BodyText"/>
        <w:spacing w:line="240" w:lineRule="auto"/>
        <w:rPr>
          <w:rFonts w:asciiTheme="minorBidi" w:hAnsiTheme="minorBidi" w:cstheme="minorBidi"/>
        </w:rPr>
      </w:pPr>
      <w:r w:rsidRPr="007A6742">
        <w:rPr>
          <w:rFonts w:asciiTheme="minorBidi" w:hAnsiTheme="minorBidi" w:cstheme="minorBidi"/>
        </w:rPr>
        <w:t>-</w:t>
      </w:r>
      <w:r w:rsidR="00C45CE1">
        <w:rPr>
          <w:rFonts w:asciiTheme="minorBidi" w:hAnsiTheme="minorBidi" w:cstheme="minorBidi"/>
        </w:rPr>
        <w:t xml:space="preserve"> d’une p</w:t>
      </w:r>
      <w:r w:rsidR="00B546E4" w:rsidRPr="007A6742">
        <w:rPr>
          <w:rFonts w:asciiTheme="minorBidi" w:hAnsiTheme="minorBidi" w:cstheme="minorBidi"/>
        </w:rPr>
        <w:t>arfaite maitrise des</w:t>
      </w:r>
      <w:r w:rsidR="008B143C" w:rsidRPr="007A6742">
        <w:rPr>
          <w:rFonts w:asciiTheme="minorBidi" w:hAnsiTheme="minorBidi" w:cstheme="minorBidi"/>
        </w:rPr>
        <w:t xml:space="preserve"> langue</w:t>
      </w:r>
      <w:r w:rsidR="00B546E4" w:rsidRPr="007A6742">
        <w:rPr>
          <w:rFonts w:asciiTheme="minorBidi" w:hAnsiTheme="minorBidi" w:cstheme="minorBidi"/>
        </w:rPr>
        <w:t>s</w:t>
      </w:r>
      <w:r w:rsidR="008B143C" w:rsidRPr="007A6742">
        <w:rPr>
          <w:rFonts w:asciiTheme="minorBidi" w:hAnsiTheme="minorBidi" w:cstheme="minorBidi"/>
        </w:rPr>
        <w:t xml:space="preserve"> arabe</w:t>
      </w:r>
      <w:r w:rsidR="00B546E4" w:rsidRPr="007A6742">
        <w:rPr>
          <w:rFonts w:asciiTheme="minorBidi" w:hAnsiTheme="minorBidi" w:cstheme="minorBidi"/>
        </w:rPr>
        <w:t xml:space="preserve"> et </w:t>
      </w:r>
      <w:r w:rsidR="00C45CE1">
        <w:rPr>
          <w:rFonts w:asciiTheme="minorBidi" w:hAnsiTheme="minorBidi" w:cstheme="minorBidi"/>
        </w:rPr>
        <w:t>française</w:t>
      </w:r>
      <w:r w:rsidR="00B546E4" w:rsidRPr="007A6742">
        <w:rPr>
          <w:rFonts w:asciiTheme="minorBidi" w:hAnsiTheme="minorBidi" w:cstheme="minorBidi"/>
        </w:rPr>
        <w:t xml:space="preserve">, la connaissance de l’anglais </w:t>
      </w:r>
      <w:r w:rsidR="00C45CE1">
        <w:rPr>
          <w:rFonts w:asciiTheme="minorBidi" w:hAnsiTheme="minorBidi" w:cstheme="minorBidi"/>
        </w:rPr>
        <w:t>étant</w:t>
      </w:r>
      <w:r w:rsidR="00C45CE1" w:rsidRPr="007A6742">
        <w:rPr>
          <w:rFonts w:asciiTheme="minorBidi" w:hAnsiTheme="minorBidi" w:cstheme="minorBidi"/>
        </w:rPr>
        <w:t xml:space="preserve"> </w:t>
      </w:r>
      <w:r w:rsidR="00B546E4" w:rsidRPr="007A6742">
        <w:rPr>
          <w:rFonts w:asciiTheme="minorBidi" w:hAnsiTheme="minorBidi" w:cstheme="minorBidi"/>
        </w:rPr>
        <w:t>un atout</w:t>
      </w:r>
    </w:p>
    <w:p w14:paraId="2D621742" w14:textId="09A9450D" w:rsidR="003C0A16" w:rsidRDefault="003C0A16" w:rsidP="003C0A16">
      <w:pPr>
        <w:pStyle w:val="Heading2"/>
      </w:pPr>
      <w:r w:rsidRPr="00C71D0E">
        <w:t>Documents à fournir lors de la soumission</w:t>
      </w:r>
    </w:p>
    <w:p w14:paraId="272303C3" w14:textId="77777777" w:rsidR="003C0A16" w:rsidRPr="00C71D0E" w:rsidRDefault="003C0A16" w:rsidP="003C0A16">
      <w:r>
        <w:t xml:space="preserve">Les offres d’expert individuel ou de cabinet d’expertise devront </w:t>
      </w:r>
      <w:r w:rsidRPr="00C71D0E">
        <w:t>inclure dans le dossier de candidature :</w:t>
      </w:r>
    </w:p>
    <w:p w14:paraId="05541FF1" w14:textId="2DDDAB4B" w:rsidR="003C0A16" w:rsidRPr="00C71D0E" w:rsidRDefault="003C0A16" w:rsidP="003C0A16">
      <w:pPr>
        <w:pStyle w:val="ListParagraph"/>
        <w:numPr>
          <w:ilvl w:val="0"/>
          <w:numId w:val="22"/>
        </w:numPr>
        <w:spacing w:after="60"/>
        <w:contextualSpacing/>
      </w:pPr>
      <w:r w:rsidRPr="00C71D0E">
        <w:t xml:space="preserve">Une offre technique </w:t>
      </w:r>
      <w:r w:rsidRPr="00E2400F">
        <w:t xml:space="preserve">explicitant la lecture que </w:t>
      </w:r>
      <w:r>
        <w:t>l’expertise</w:t>
      </w:r>
      <w:r w:rsidRPr="00E2400F">
        <w:t xml:space="preserve"> a des termes de références proposés, incluant les ajouts ou prolongements qu’il ou elle suggère d’apporter, la</w:t>
      </w:r>
      <w:r>
        <w:t xml:space="preserve"> méthodologie qu’</w:t>
      </w:r>
      <w:r w:rsidRPr="00E2400F">
        <w:t>elle compte suivre pour réaliser cette consultation ainsi que le plan de travail proposé explicitant la chronologie des tâches et activités</w:t>
      </w:r>
      <w:r>
        <w:t xml:space="preserve">, ainsi </w:t>
      </w:r>
      <w:r w:rsidR="00DC6758">
        <w:t>qu</w:t>
      </w:r>
      <w:proofErr w:type="gramStart"/>
      <w:r w:rsidR="00DC6758">
        <w:t>’:</w:t>
      </w:r>
      <w:proofErr w:type="gramEnd"/>
    </w:p>
    <w:p w14:paraId="075A1AB3" w14:textId="77777777" w:rsidR="003C0A16" w:rsidRDefault="003C0A16" w:rsidP="003C0A16">
      <w:pPr>
        <w:pStyle w:val="ListParagraph"/>
        <w:numPr>
          <w:ilvl w:val="0"/>
          <w:numId w:val="21"/>
        </w:numPr>
        <w:spacing w:after="60"/>
        <w:contextualSpacing/>
      </w:pPr>
      <w:r w:rsidRPr="00C71D0E">
        <w:t>Une lettre présentant les atouts dont l’expert</w:t>
      </w:r>
      <w:r>
        <w:t>ise</w:t>
      </w:r>
      <w:r w:rsidRPr="00C71D0E">
        <w:t xml:space="preserve"> juge pouvoir se prévaloir pour réaliser ce travail de manière satisfaisante (formation académique, expérience professionnelle, trav</w:t>
      </w:r>
      <w:r>
        <w:t>aux similaires...)</w:t>
      </w:r>
    </w:p>
    <w:p w14:paraId="26BEF6B5" w14:textId="77777777" w:rsidR="003C0A16" w:rsidRPr="00C71D0E" w:rsidRDefault="003C0A16" w:rsidP="003C0A16">
      <w:pPr>
        <w:pStyle w:val="ListParagraph"/>
        <w:numPr>
          <w:ilvl w:val="0"/>
          <w:numId w:val="21"/>
        </w:numPr>
        <w:spacing w:after="60"/>
        <w:contextualSpacing/>
      </w:pPr>
      <w:r>
        <w:t xml:space="preserve">Le </w:t>
      </w:r>
      <w:r w:rsidRPr="00C71D0E">
        <w:t>CV(s) détaillé(s) et à jour de(s) p</w:t>
      </w:r>
      <w:r>
        <w:t>ersonne(s) contribuant à la mission, le P11 de l’expert</w:t>
      </w:r>
      <w:r w:rsidRPr="00C71D0E">
        <w:t>(e) principal(e)</w:t>
      </w:r>
    </w:p>
    <w:p w14:paraId="070B41A5" w14:textId="73D63707" w:rsidR="003C0A16" w:rsidRPr="00C71D0E" w:rsidRDefault="003C0A16" w:rsidP="003C0A16">
      <w:pPr>
        <w:pStyle w:val="ListParagraph"/>
        <w:numPr>
          <w:ilvl w:val="0"/>
          <w:numId w:val="21"/>
        </w:numPr>
        <w:spacing w:after="60"/>
        <w:contextualSpacing/>
      </w:pPr>
      <w:r>
        <w:t>Des</w:t>
      </w:r>
      <w:r w:rsidRPr="00C71D0E">
        <w:t xml:space="preserve"> références de personnes pouvant être contactées en lien à des travaux similaires </w:t>
      </w:r>
      <w:r w:rsidR="00642DE9">
        <w:t xml:space="preserve">ou comparables </w:t>
      </w:r>
      <w:r w:rsidRPr="00C71D0E">
        <w:t xml:space="preserve">effectués par </w:t>
      </w:r>
      <w:r>
        <w:t>l’expertise</w:t>
      </w:r>
    </w:p>
    <w:p w14:paraId="55E1F9C8" w14:textId="74A86BB9" w:rsidR="003C0A16" w:rsidRDefault="003C0A16" w:rsidP="003C0A16">
      <w:pPr>
        <w:pStyle w:val="ListParagraph"/>
        <w:numPr>
          <w:ilvl w:val="0"/>
          <w:numId w:val="22"/>
        </w:numPr>
        <w:spacing w:after="60"/>
        <w:contextualSpacing/>
      </w:pPr>
      <w:r w:rsidRPr="00C71D0E">
        <w:t xml:space="preserve">Une offre financière </w:t>
      </w:r>
      <w:r>
        <w:t>détaillant</w:t>
      </w:r>
      <w:r w:rsidRPr="00E2400F">
        <w:t xml:space="preserve"> la rémunération souhaitée incluant </w:t>
      </w:r>
      <w:r w:rsidR="00642DE9">
        <w:t>les émoluments évalués en jour/</w:t>
      </w:r>
      <w:r w:rsidR="008A5DF2">
        <w:t>personne</w:t>
      </w:r>
      <w:r w:rsidR="00642DE9">
        <w:t xml:space="preserve"> ainsi que </w:t>
      </w:r>
      <w:r w:rsidRPr="00E2400F">
        <w:t xml:space="preserve">tous les frais annexes détaillés, dont les frais de </w:t>
      </w:r>
      <w:r>
        <w:t>déplacement,</w:t>
      </w:r>
      <w:r w:rsidR="008A5DF2">
        <w:t xml:space="preserve"> de communication, de réunions</w:t>
      </w:r>
      <w:r>
        <w:t>, etc. ..</w:t>
      </w:r>
      <w:r w:rsidRPr="00E2400F">
        <w:t>.</w:t>
      </w:r>
    </w:p>
    <w:p w14:paraId="59385941" w14:textId="77777777" w:rsidR="003C0A16" w:rsidRPr="00CE6460" w:rsidRDefault="003C0A16" w:rsidP="003C0A16">
      <w:pPr>
        <w:pStyle w:val="ListParagraph"/>
        <w:numPr>
          <w:ilvl w:val="0"/>
          <w:numId w:val="22"/>
        </w:numPr>
        <w:spacing w:after="60"/>
        <w:contextualSpacing/>
        <w:rPr>
          <w:bCs/>
        </w:rPr>
      </w:pPr>
      <w:r w:rsidRPr="00CE6460">
        <w:t>Les annexes de soumission (ici attachés), à savoir :</w:t>
      </w:r>
    </w:p>
    <w:p w14:paraId="61C4E628" w14:textId="77777777" w:rsidR="003C0A16" w:rsidRDefault="003C0A16" w:rsidP="003C0A16">
      <w:pPr>
        <w:numPr>
          <w:ilvl w:val="0"/>
          <w:numId w:val="23"/>
        </w:numPr>
        <w:spacing w:after="200" w:line="276" w:lineRule="auto"/>
        <w:contextualSpacing/>
        <w:jc w:val="left"/>
      </w:pPr>
      <w:r>
        <w:t>Formulaire de présentation de l'offre technique</w:t>
      </w:r>
    </w:p>
    <w:p w14:paraId="28F55A68" w14:textId="0C6FBAE0" w:rsidR="003C0A16" w:rsidRDefault="003C0A16" w:rsidP="003C0A16">
      <w:pPr>
        <w:numPr>
          <w:ilvl w:val="0"/>
          <w:numId w:val="23"/>
        </w:numPr>
        <w:spacing w:after="60" w:line="276" w:lineRule="auto"/>
        <w:contextualSpacing/>
        <w:jc w:val="left"/>
      </w:pPr>
      <w:r>
        <w:t>Formulaire de présentation de l'offre financière</w:t>
      </w:r>
    </w:p>
    <w:p w14:paraId="5376C3D3" w14:textId="77777777" w:rsidR="00432A8F" w:rsidRDefault="003C0A16" w:rsidP="00432A8F">
      <w:pPr>
        <w:ind w:left="720"/>
      </w:pPr>
      <w:r>
        <w:t>Ces formulaires aideront l’évaluation des offres ;</w:t>
      </w:r>
    </w:p>
    <w:p w14:paraId="1DA1529A" w14:textId="51374D0C" w:rsidR="003C0A16" w:rsidRPr="00E2400F" w:rsidRDefault="00432A8F" w:rsidP="00432A8F">
      <w:pPr>
        <w:ind w:left="720"/>
      </w:pPr>
      <w:r w:rsidRPr="00432A8F">
        <w:lastRenderedPageBreak/>
        <w:t xml:space="preserve"> </w:t>
      </w:r>
      <w:bookmarkStart w:id="14" w:name="_MON_1604902127"/>
      <w:bookmarkEnd w:id="14"/>
      <w:r w:rsidR="008A5DF2">
        <w:object w:dxaOrig="1508" w:dyaOrig="982" w14:anchorId="6D912E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9.5pt" o:ole="">
            <v:imagedata r:id="rId9" o:title=""/>
          </v:shape>
          <o:OLEObject Type="Embed" ProgID="Word.Document.12" ShapeID="_x0000_i1025" DrawAspect="Icon" ObjectID="_1605515357" r:id="rId10">
            <o:FieldCodes>\s</o:FieldCodes>
          </o:OLEObject>
        </w:object>
      </w:r>
      <w:bookmarkStart w:id="15" w:name="_MON_1604902144"/>
      <w:bookmarkEnd w:id="15"/>
      <w:r w:rsidR="008A5DF2">
        <w:object w:dxaOrig="1508" w:dyaOrig="982" w14:anchorId="5C9876E1">
          <v:shape id="_x0000_i1026" type="#_x0000_t75" style="width:75.5pt;height:49.5pt" o:ole="">
            <v:imagedata r:id="rId11" o:title=""/>
          </v:shape>
          <o:OLEObject Type="Embed" ProgID="Word.Document.12" ShapeID="_x0000_i1026" DrawAspect="Icon" ObjectID="_1605515358" r:id="rId12">
            <o:FieldCodes>\s</o:FieldCodes>
          </o:OLEObject>
        </w:object>
      </w:r>
    </w:p>
    <w:p w14:paraId="5281F157" w14:textId="647B2BD0" w:rsidR="00004CCB" w:rsidRPr="003C0A16" w:rsidRDefault="003C0A16" w:rsidP="003C0A16">
      <w:r w:rsidRPr="00C71D0E">
        <w:t>Il est à noter que les offre</w:t>
      </w:r>
      <w:r>
        <w:t>s</w:t>
      </w:r>
      <w:r w:rsidRPr="00C71D0E">
        <w:t xml:space="preserve"> financières ne seront examinées que si les offres techniques sont jugées recevables et de qualité acceptable.</w:t>
      </w:r>
    </w:p>
    <w:p w14:paraId="5E14808D" w14:textId="77777777" w:rsidR="00004CCB" w:rsidRPr="007A6742" w:rsidRDefault="00004CCB" w:rsidP="00004CCB">
      <w:pPr>
        <w:spacing w:before="60" w:after="0" w:line="276" w:lineRule="auto"/>
      </w:pPr>
      <w:r w:rsidRPr="007A6742">
        <w:t>L‘expert</w:t>
      </w:r>
      <w:r w:rsidR="0060495C" w:rsidRPr="007A6742">
        <w:t>ise retenue</w:t>
      </w:r>
      <w:r w:rsidRPr="007A6742">
        <w:t xml:space="preserve"> devra fournir pour finalisation du contrat :</w:t>
      </w:r>
    </w:p>
    <w:p w14:paraId="53949B48" w14:textId="77777777" w:rsidR="00004CCB" w:rsidRPr="007A6742" w:rsidRDefault="00004CCB" w:rsidP="007A6742">
      <w:pPr>
        <w:pStyle w:val="ListParagraph"/>
        <w:numPr>
          <w:ilvl w:val="0"/>
          <w:numId w:val="19"/>
        </w:numPr>
      </w:pPr>
      <w:r w:rsidRPr="007A6742">
        <w:t>Copies des diplômes universitaires et certificats de formation</w:t>
      </w:r>
    </w:p>
    <w:p w14:paraId="218366D2" w14:textId="729B0937" w:rsidR="00432A8F" w:rsidRDefault="00004CCB" w:rsidP="006612A8">
      <w:pPr>
        <w:pStyle w:val="ListParagraph"/>
        <w:numPr>
          <w:ilvl w:val="0"/>
          <w:numId w:val="19"/>
        </w:numPr>
      </w:pPr>
      <w:r w:rsidRPr="007A6742">
        <w:t xml:space="preserve">Un formulaire P11 disponible sur le site de </w:t>
      </w:r>
      <w:r w:rsidR="007A6742" w:rsidRPr="007A6742">
        <w:t>l’UNICEF :</w:t>
      </w:r>
      <w:r w:rsidRPr="007A6742">
        <w:t xml:space="preserve"> </w:t>
      </w:r>
      <w:hyperlink r:id="rId13" w:history="1">
        <w:r w:rsidRPr="007A6742">
          <w:rPr>
            <w:rStyle w:val="Hyperlink"/>
          </w:rPr>
          <w:t>http://www.unicef.org/about/employ/files/P11.doc</w:t>
        </w:r>
      </w:hyperlink>
      <w:r w:rsidRPr="007A6742">
        <w:t>, dument rempli par le/la candidat(e)</w:t>
      </w:r>
    </w:p>
    <w:p w14:paraId="355D183C" w14:textId="18737CB2" w:rsidR="006612A8" w:rsidRPr="00E2400F" w:rsidRDefault="006612A8" w:rsidP="006612A8">
      <w:pPr>
        <w:pStyle w:val="Heading2"/>
      </w:pPr>
      <w:r w:rsidRPr="00E2400F">
        <w:t xml:space="preserve">Evaluation des offres </w:t>
      </w:r>
    </w:p>
    <w:p w14:paraId="4F777363" w14:textId="77777777" w:rsidR="006612A8" w:rsidRPr="00E2400F" w:rsidRDefault="006612A8" w:rsidP="006612A8">
      <w:r w:rsidRPr="00E2400F">
        <w:t>L’évaluation des offres sera faite sur la base suivante :</w:t>
      </w:r>
    </w:p>
    <w:p w14:paraId="349282A5" w14:textId="77777777" w:rsidR="006612A8" w:rsidRPr="00E2400F" w:rsidRDefault="006612A8" w:rsidP="006612A8">
      <w:pPr>
        <w:pStyle w:val="ListParagraph"/>
        <w:numPr>
          <w:ilvl w:val="0"/>
          <w:numId w:val="19"/>
        </w:numPr>
        <w:spacing w:after="60"/>
        <w:contextualSpacing/>
      </w:pPr>
      <w:r w:rsidRPr="00E2400F">
        <w:t>Scor</w:t>
      </w:r>
      <w:r>
        <w:t>e pour l’offre</w:t>
      </w:r>
      <w:r w:rsidRPr="00E2400F">
        <w:t xml:space="preserve"> technique : 70 points</w:t>
      </w:r>
    </w:p>
    <w:p w14:paraId="73AABA12" w14:textId="77777777" w:rsidR="006612A8" w:rsidRPr="00C71D0E" w:rsidRDefault="006612A8" w:rsidP="006612A8">
      <w:pPr>
        <w:pStyle w:val="ListParagraph"/>
        <w:numPr>
          <w:ilvl w:val="0"/>
          <w:numId w:val="19"/>
        </w:numPr>
        <w:spacing w:after="120"/>
      </w:pPr>
      <w:r w:rsidRPr="00E2400F">
        <w:t xml:space="preserve">Score pour </w:t>
      </w:r>
      <w:r>
        <w:t>l’offre</w:t>
      </w:r>
      <w:r w:rsidRPr="00E2400F">
        <w:t xml:space="preserve"> financière : 30 points</w:t>
      </w:r>
    </w:p>
    <w:tbl>
      <w:tblPr>
        <w:tblStyle w:val="TableGrid"/>
        <w:tblW w:w="0" w:type="auto"/>
        <w:shd w:val="clear" w:color="auto" w:fill="FFFFFF" w:themeFill="background1"/>
        <w:tblLook w:val="04A0" w:firstRow="1" w:lastRow="0" w:firstColumn="1" w:lastColumn="0" w:noHBand="0" w:noVBand="1"/>
      </w:tblPr>
      <w:tblGrid>
        <w:gridCol w:w="7015"/>
        <w:gridCol w:w="2001"/>
      </w:tblGrid>
      <w:tr w:rsidR="006612A8" w:rsidRPr="000234E7" w14:paraId="21BBFB20" w14:textId="77777777" w:rsidTr="00AF7BB8">
        <w:tc>
          <w:tcPr>
            <w:tcW w:w="7015" w:type="dxa"/>
            <w:shd w:val="clear" w:color="auto" w:fill="00B0F0"/>
          </w:tcPr>
          <w:p w14:paraId="77B14556" w14:textId="77777777" w:rsidR="006612A8" w:rsidRPr="000234E7" w:rsidRDefault="006612A8" w:rsidP="00AF7BB8">
            <w:pPr>
              <w:rPr>
                <w:b/>
                <w:color w:val="FFFFFF" w:themeColor="background1"/>
              </w:rPr>
            </w:pPr>
            <w:r w:rsidRPr="000234E7">
              <w:rPr>
                <w:b/>
                <w:color w:val="FFFFFF" w:themeColor="background1"/>
              </w:rPr>
              <w:t>EVALUATION TECHNIQUE</w:t>
            </w:r>
          </w:p>
        </w:tc>
        <w:tc>
          <w:tcPr>
            <w:tcW w:w="2001" w:type="dxa"/>
            <w:shd w:val="clear" w:color="auto" w:fill="00B0F0"/>
          </w:tcPr>
          <w:p w14:paraId="66BDFDBC" w14:textId="77777777" w:rsidR="006612A8" w:rsidRPr="000234E7" w:rsidRDefault="006612A8" w:rsidP="00AF7BB8">
            <w:pPr>
              <w:rPr>
                <w:b/>
                <w:color w:val="FFFFFF" w:themeColor="background1"/>
              </w:rPr>
            </w:pPr>
          </w:p>
        </w:tc>
      </w:tr>
      <w:tr w:rsidR="006612A8" w:rsidRPr="00C71D0E" w14:paraId="2A603A50" w14:textId="77777777" w:rsidTr="00AF7BB8">
        <w:tc>
          <w:tcPr>
            <w:tcW w:w="7015" w:type="dxa"/>
            <w:shd w:val="clear" w:color="auto" w:fill="FFFFFF" w:themeFill="background1"/>
          </w:tcPr>
          <w:p w14:paraId="439DCEB2" w14:textId="77777777" w:rsidR="006612A8" w:rsidRDefault="006612A8" w:rsidP="00A609C5">
            <w:pPr>
              <w:spacing w:after="0"/>
            </w:pPr>
            <w:r w:rsidRPr="00C71D0E">
              <w:t>Correspondance globale entre les exigences des TDR et la proposition</w:t>
            </w:r>
          </w:p>
          <w:p w14:paraId="180F54DD" w14:textId="77777777" w:rsidR="006612A8" w:rsidRPr="00C71D0E" w:rsidRDefault="006612A8" w:rsidP="00A609C5">
            <w:pPr>
              <w:pStyle w:val="ListParagraph"/>
              <w:numPr>
                <w:ilvl w:val="0"/>
                <w:numId w:val="24"/>
              </w:numPr>
              <w:contextualSpacing/>
            </w:pPr>
            <w:r w:rsidRPr="00C71D0E">
              <w:t>Compréhension des tâches, des objectifs et la cohérence de la réponse</w:t>
            </w:r>
          </w:p>
        </w:tc>
        <w:tc>
          <w:tcPr>
            <w:tcW w:w="2001" w:type="dxa"/>
            <w:shd w:val="clear" w:color="auto" w:fill="FFFFFF" w:themeFill="background1"/>
          </w:tcPr>
          <w:p w14:paraId="1F375FBB" w14:textId="77777777" w:rsidR="006612A8" w:rsidRPr="00C71D0E" w:rsidRDefault="006612A8" w:rsidP="00AF7BB8">
            <w:r>
              <w:t>25</w:t>
            </w:r>
          </w:p>
        </w:tc>
      </w:tr>
      <w:tr w:rsidR="006612A8" w:rsidRPr="00C71D0E" w14:paraId="11FFACD6" w14:textId="77777777" w:rsidTr="00AF7BB8">
        <w:tc>
          <w:tcPr>
            <w:tcW w:w="7015" w:type="dxa"/>
            <w:shd w:val="clear" w:color="auto" w:fill="FFFFFF" w:themeFill="background1"/>
          </w:tcPr>
          <w:p w14:paraId="48A9DD70" w14:textId="77777777" w:rsidR="006612A8" w:rsidRDefault="006612A8" w:rsidP="00A609C5">
            <w:pPr>
              <w:spacing w:after="0"/>
            </w:pPr>
            <w:r w:rsidRPr="00C71D0E">
              <w:t>Méthodologie et approche proposée</w:t>
            </w:r>
          </w:p>
          <w:p w14:paraId="37A0EB61" w14:textId="77777777" w:rsidR="006612A8" w:rsidRDefault="006612A8" w:rsidP="00A609C5">
            <w:pPr>
              <w:pStyle w:val="ListParagraph"/>
              <w:numPr>
                <w:ilvl w:val="0"/>
                <w:numId w:val="24"/>
              </w:numPr>
              <w:contextualSpacing/>
            </w:pPr>
            <w:r w:rsidRPr="00C71D0E">
              <w:t>Qualité de l’approche proposée/méthodologie</w:t>
            </w:r>
          </w:p>
          <w:p w14:paraId="3372ABF9" w14:textId="77777777" w:rsidR="006612A8" w:rsidRPr="00C71D0E" w:rsidRDefault="006612A8" w:rsidP="00A609C5">
            <w:pPr>
              <w:pStyle w:val="ListParagraph"/>
              <w:numPr>
                <w:ilvl w:val="0"/>
                <w:numId w:val="24"/>
              </w:numPr>
              <w:contextualSpacing/>
            </w:pPr>
            <w:r w:rsidRPr="00C71D0E">
              <w:t>Qualité du plan de travail proposé</w:t>
            </w:r>
          </w:p>
        </w:tc>
        <w:tc>
          <w:tcPr>
            <w:tcW w:w="2001" w:type="dxa"/>
            <w:shd w:val="clear" w:color="auto" w:fill="FFFFFF" w:themeFill="background1"/>
          </w:tcPr>
          <w:p w14:paraId="19FFE9F7" w14:textId="77777777" w:rsidR="006612A8" w:rsidRDefault="006612A8" w:rsidP="00AF7BB8"/>
          <w:p w14:paraId="792DE9B2" w14:textId="77777777" w:rsidR="008A5DF2" w:rsidRDefault="008A5DF2" w:rsidP="00AF7BB8">
            <w:r>
              <w:t>13</w:t>
            </w:r>
          </w:p>
          <w:p w14:paraId="513C5116" w14:textId="78C636CD" w:rsidR="008A5DF2" w:rsidRPr="00C71D0E" w:rsidRDefault="008A5DF2" w:rsidP="00AF7BB8">
            <w:r>
              <w:t>12</w:t>
            </w:r>
          </w:p>
        </w:tc>
      </w:tr>
      <w:tr w:rsidR="006612A8" w:rsidRPr="00C71D0E" w14:paraId="3B2E00BB" w14:textId="77777777" w:rsidTr="00AF7BB8">
        <w:tc>
          <w:tcPr>
            <w:tcW w:w="7015" w:type="dxa"/>
            <w:shd w:val="clear" w:color="auto" w:fill="FFFFFF" w:themeFill="background1"/>
          </w:tcPr>
          <w:p w14:paraId="18963A2D" w14:textId="77777777" w:rsidR="006612A8" w:rsidRDefault="006612A8" w:rsidP="00A609C5">
            <w:pPr>
              <w:spacing w:after="0"/>
            </w:pPr>
            <w:r w:rsidRPr="00C71D0E">
              <w:t>Profil du candidat/Capacité technique</w:t>
            </w:r>
          </w:p>
          <w:p w14:paraId="56429F2C" w14:textId="77777777" w:rsidR="006612A8" w:rsidRDefault="006612A8" w:rsidP="00A609C5">
            <w:pPr>
              <w:pStyle w:val="ListParagraph"/>
              <w:numPr>
                <w:ilvl w:val="0"/>
                <w:numId w:val="25"/>
              </w:numPr>
              <w:contextualSpacing/>
            </w:pPr>
            <w:r w:rsidRPr="00C71D0E">
              <w:t xml:space="preserve">Pertinence du profil et </w:t>
            </w:r>
            <w:r>
              <w:t>de l’expérience du/</w:t>
            </w:r>
            <w:r w:rsidRPr="00C71D0E">
              <w:t>des consultant</w:t>
            </w:r>
            <w:r>
              <w:t>(</w:t>
            </w:r>
            <w:r w:rsidRPr="00C71D0E">
              <w:t>s</w:t>
            </w:r>
            <w:r>
              <w:t>)</w:t>
            </w:r>
            <w:r w:rsidRPr="00C71D0E">
              <w:t xml:space="preserve"> avec des projets similaires et selon les qualifications requises</w:t>
            </w:r>
          </w:p>
          <w:p w14:paraId="54E1381F" w14:textId="77777777" w:rsidR="006612A8" w:rsidRPr="00C71D0E" w:rsidRDefault="006612A8" w:rsidP="00A609C5">
            <w:pPr>
              <w:pStyle w:val="ListParagraph"/>
              <w:numPr>
                <w:ilvl w:val="0"/>
                <w:numId w:val="25"/>
              </w:numPr>
              <w:contextualSpacing/>
            </w:pPr>
            <w:r>
              <w:t>Q</w:t>
            </w:r>
            <w:r w:rsidRPr="00C71D0E">
              <w:t>ual</w:t>
            </w:r>
            <w:r>
              <w:t xml:space="preserve">ité du travail précédent et </w:t>
            </w:r>
            <w:r w:rsidRPr="00C71D0E">
              <w:t>références</w:t>
            </w:r>
          </w:p>
        </w:tc>
        <w:tc>
          <w:tcPr>
            <w:tcW w:w="2001" w:type="dxa"/>
            <w:shd w:val="clear" w:color="auto" w:fill="FFFFFF" w:themeFill="background1"/>
          </w:tcPr>
          <w:p w14:paraId="47BC2C9E" w14:textId="77777777" w:rsidR="008A5DF2" w:rsidRDefault="008A5DF2" w:rsidP="00AF7BB8"/>
          <w:p w14:paraId="2882DB1C" w14:textId="09D83D81" w:rsidR="006612A8" w:rsidRDefault="008A5DF2" w:rsidP="00AF7BB8">
            <w:r>
              <w:t>10</w:t>
            </w:r>
          </w:p>
          <w:p w14:paraId="5F32CEA2" w14:textId="4EE10C09" w:rsidR="008A5DF2" w:rsidRPr="00C71D0E" w:rsidRDefault="008A5DF2" w:rsidP="00AF7BB8">
            <w:r>
              <w:t>10</w:t>
            </w:r>
          </w:p>
        </w:tc>
      </w:tr>
      <w:tr w:rsidR="006612A8" w:rsidRPr="00C71D0E" w14:paraId="40A2504E" w14:textId="77777777" w:rsidTr="00AF7BB8">
        <w:tc>
          <w:tcPr>
            <w:tcW w:w="7015" w:type="dxa"/>
            <w:shd w:val="clear" w:color="auto" w:fill="D5DCE4" w:themeFill="text2" w:themeFillTint="33"/>
          </w:tcPr>
          <w:p w14:paraId="6EDEE4A4" w14:textId="77777777" w:rsidR="006612A8" w:rsidRPr="00C71D0E" w:rsidRDefault="006612A8" w:rsidP="00AF7BB8">
            <w:r w:rsidRPr="00C71D0E">
              <w:t xml:space="preserve">Total des points </w:t>
            </w:r>
            <w:r>
              <w:t>de l’évaluation technique</w:t>
            </w:r>
          </w:p>
        </w:tc>
        <w:tc>
          <w:tcPr>
            <w:tcW w:w="2001" w:type="dxa"/>
            <w:shd w:val="clear" w:color="auto" w:fill="D5DCE4" w:themeFill="text2" w:themeFillTint="33"/>
          </w:tcPr>
          <w:p w14:paraId="77F65831" w14:textId="77777777" w:rsidR="006612A8" w:rsidRPr="00C71D0E" w:rsidRDefault="006612A8" w:rsidP="00AF7BB8">
            <w:r w:rsidRPr="00C71D0E">
              <w:t>70</w:t>
            </w:r>
          </w:p>
        </w:tc>
      </w:tr>
      <w:tr w:rsidR="006612A8" w:rsidRPr="000234E7" w14:paraId="60243E52" w14:textId="77777777" w:rsidTr="00AF7BB8">
        <w:tc>
          <w:tcPr>
            <w:tcW w:w="7015" w:type="dxa"/>
            <w:shd w:val="clear" w:color="auto" w:fill="00B0F0"/>
          </w:tcPr>
          <w:p w14:paraId="2DEF8798" w14:textId="77777777" w:rsidR="006612A8" w:rsidRPr="000234E7" w:rsidRDefault="006612A8" w:rsidP="00AF7BB8">
            <w:pPr>
              <w:rPr>
                <w:b/>
                <w:color w:val="FFFFFF" w:themeColor="background1"/>
              </w:rPr>
            </w:pPr>
            <w:r w:rsidRPr="000234E7">
              <w:rPr>
                <w:b/>
                <w:color w:val="FFFFFF" w:themeColor="background1"/>
              </w:rPr>
              <w:t>EVALUATION FINANCIERE</w:t>
            </w:r>
          </w:p>
        </w:tc>
        <w:tc>
          <w:tcPr>
            <w:tcW w:w="2001" w:type="dxa"/>
            <w:shd w:val="clear" w:color="auto" w:fill="00B0F0"/>
          </w:tcPr>
          <w:p w14:paraId="5931A217" w14:textId="77777777" w:rsidR="006612A8" w:rsidRPr="000234E7" w:rsidRDefault="006612A8" w:rsidP="00AF7BB8">
            <w:pPr>
              <w:rPr>
                <w:b/>
                <w:color w:val="FFFFFF" w:themeColor="background1"/>
              </w:rPr>
            </w:pPr>
          </w:p>
        </w:tc>
      </w:tr>
      <w:tr w:rsidR="006612A8" w:rsidRPr="00C71D0E" w14:paraId="6DEBEBDD" w14:textId="77777777" w:rsidTr="00AF7BB8">
        <w:tc>
          <w:tcPr>
            <w:tcW w:w="7015" w:type="dxa"/>
            <w:shd w:val="clear" w:color="auto" w:fill="FFFFFF" w:themeFill="background1"/>
          </w:tcPr>
          <w:p w14:paraId="6977B431" w14:textId="77777777" w:rsidR="006612A8" w:rsidRPr="00C71D0E" w:rsidRDefault="006612A8" w:rsidP="00AF7BB8">
            <w:r w:rsidRPr="00C71D0E">
              <w:t>Pertinence</w:t>
            </w:r>
          </w:p>
        </w:tc>
        <w:tc>
          <w:tcPr>
            <w:tcW w:w="2001" w:type="dxa"/>
            <w:shd w:val="clear" w:color="auto" w:fill="FFFFFF" w:themeFill="background1"/>
          </w:tcPr>
          <w:p w14:paraId="3048A4ED" w14:textId="77777777" w:rsidR="006612A8" w:rsidRPr="00C71D0E" w:rsidRDefault="006612A8" w:rsidP="00AF7BB8">
            <w:r w:rsidRPr="00C71D0E">
              <w:t>30</w:t>
            </w:r>
          </w:p>
        </w:tc>
      </w:tr>
      <w:tr w:rsidR="006612A8" w:rsidRPr="000234E7" w14:paraId="6E79F4BB" w14:textId="77777777" w:rsidTr="00AF7BB8">
        <w:tc>
          <w:tcPr>
            <w:tcW w:w="7015" w:type="dxa"/>
            <w:shd w:val="clear" w:color="auto" w:fill="00B0F0"/>
          </w:tcPr>
          <w:p w14:paraId="0EC48057" w14:textId="77777777" w:rsidR="006612A8" w:rsidRPr="000234E7" w:rsidRDefault="006612A8" w:rsidP="00AF7BB8">
            <w:pPr>
              <w:rPr>
                <w:b/>
                <w:color w:val="FFFFFF" w:themeColor="background1"/>
              </w:rPr>
            </w:pPr>
            <w:r w:rsidRPr="000234E7">
              <w:rPr>
                <w:b/>
                <w:color w:val="FFFFFF" w:themeColor="background1"/>
              </w:rPr>
              <w:t>TOTAL</w:t>
            </w:r>
          </w:p>
        </w:tc>
        <w:tc>
          <w:tcPr>
            <w:tcW w:w="2001" w:type="dxa"/>
            <w:shd w:val="clear" w:color="auto" w:fill="00B0F0"/>
          </w:tcPr>
          <w:p w14:paraId="237C313F" w14:textId="77777777" w:rsidR="006612A8" w:rsidRPr="000234E7" w:rsidRDefault="006612A8" w:rsidP="00AF7BB8">
            <w:pPr>
              <w:rPr>
                <w:b/>
                <w:color w:val="FFFFFF" w:themeColor="background1"/>
              </w:rPr>
            </w:pPr>
            <w:r w:rsidRPr="000234E7">
              <w:rPr>
                <w:b/>
                <w:color w:val="FFFFFF" w:themeColor="background1"/>
              </w:rPr>
              <w:t>100</w:t>
            </w:r>
          </w:p>
        </w:tc>
      </w:tr>
    </w:tbl>
    <w:p w14:paraId="57AEA8A3" w14:textId="0FC87F65" w:rsidR="006612A8" w:rsidRPr="00C71D0E" w:rsidRDefault="006612A8" w:rsidP="006612A8">
      <w:pPr>
        <w:spacing w:before="120"/>
      </w:pPr>
      <w:r w:rsidRPr="00C71D0E">
        <w:t xml:space="preserve">L`évaluation des offres financières sera faite uniquement pour les candidats ayant obtenu au moins un score de </w:t>
      </w:r>
      <w:r w:rsidR="00C45CE1">
        <w:t>40</w:t>
      </w:r>
      <w:r w:rsidRPr="00C71D0E">
        <w:t xml:space="preserve"> points au terme de l`évaluation technique.</w:t>
      </w:r>
    </w:p>
    <w:p w14:paraId="6288550C" w14:textId="77777777" w:rsidR="006612A8" w:rsidRPr="00C71D0E" w:rsidRDefault="006612A8" w:rsidP="006612A8">
      <w:r w:rsidRPr="00C71D0E">
        <w:t>Tout dossier incomplet sera considéré comme irrecevable.</w:t>
      </w:r>
    </w:p>
    <w:p w14:paraId="207151AC" w14:textId="61C81D4D" w:rsidR="00432A8F" w:rsidRDefault="00B52A9C" w:rsidP="006612A8">
      <w:pPr>
        <w:spacing w:after="240"/>
      </w:pPr>
      <w:r>
        <w:t>La candidature se fera en ligne</w:t>
      </w:r>
    </w:p>
    <w:p w14:paraId="35AFE82A" w14:textId="77777777" w:rsidR="00432A8F" w:rsidRDefault="006612A8" w:rsidP="00432A8F">
      <w:pPr>
        <w:spacing w:after="240"/>
        <w:rPr>
          <w:lang w:val="fr-CA"/>
        </w:rPr>
      </w:pPr>
      <w:r>
        <w:rPr>
          <w:lang w:val="fr-CA"/>
        </w:rPr>
        <w:t>L'UNICEF ne tolère aucune forme d'exploitation sexuelle, d'abus et de harcèlement sexuel.</w:t>
      </w:r>
    </w:p>
    <w:p w14:paraId="2E08FB86" w14:textId="5E56F42F" w:rsidR="003C0A16" w:rsidRPr="00432A8F" w:rsidRDefault="003C0A16" w:rsidP="00432A8F">
      <w:pPr>
        <w:spacing w:after="240"/>
      </w:pPr>
      <w:r w:rsidRPr="0023546F">
        <w:rPr>
          <w:b/>
        </w:rPr>
        <w:t xml:space="preserve">Alger, </w:t>
      </w:r>
      <w:r w:rsidR="00D634BD">
        <w:rPr>
          <w:b/>
        </w:rPr>
        <w:t xml:space="preserve">le </w:t>
      </w:r>
      <w:r w:rsidR="001047DB" w:rsidRPr="0023546F">
        <w:rPr>
          <w:b/>
        </w:rPr>
        <w:t>25</w:t>
      </w:r>
      <w:r w:rsidR="006612A8" w:rsidRPr="0023546F">
        <w:rPr>
          <w:b/>
        </w:rPr>
        <w:t xml:space="preserve"> </w:t>
      </w:r>
      <w:r w:rsidRPr="0023546F">
        <w:rPr>
          <w:b/>
        </w:rPr>
        <w:t>novembre 2018</w:t>
      </w:r>
    </w:p>
    <w:p w14:paraId="5FEA34F1" w14:textId="7A5B38A8" w:rsidR="003C0A16" w:rsidRDefault="00DE62FF" w:rsidP="003C0A16">
      <w:pPr>
        <w:spacing w:after="360"/>
        <w:rPr>
          <w:rFonts w:asciiTheme="minorBidi" w:eastAsiaTheme="minorHAnsi" w:hAnsiTheme="minorBidi" w:cstheme="minorBidi"/>
          <w:lang w:eastAsia="en-US"/>
        </w:rPr>
      </w:pPr>
      <w:r w:rsidRPr="003C0A16">
        <w:t xml:space="preserve">Préparé </w:t>
      </w:r>
      <w:r w:rsidR="008F04E6" w:rsidRPr="003C0A16">
        <w:t>par :</w:t>
      </w:r>
      <w:r w:rsidR="00004CCB" w:rsidRPr="003C0A16">
        <w:tab/>
      </w:r>
      <w:r w:rsidR="00634E49" w:rsidRPr="003C0A16">
        <w:t>Ilyes Kessal</w:t>
      </w:r>
      <w:r w:rsidR="003C0A16">
        <w:t xml:space="preserve">, </w:t>
      </w:r>
      <w:r w:rsidR="00634E49" w:rsidRPr="007A6742">
        <w:rPr>
          <w:rFonts w:asciiTheme="minorBidi" w:eastAsiaTheme="minorHAnsi" w:hAnsiTheme="minorBidi" w:cstheme="minorBidi"/>
          <w:bCs/>
          <w:lang w:eastAsia="en-US"/>
        </w:rPr>
        <w:t>Chargé de Programme Développement de la Petite Enfance</w:t>
      </w:r>
      <w:r w:rsidR="00892D32">
        <w:rPr>
          <w:rFonts w:asciiTheme="minorBidi" w:eastAsiaTheme="minorHAnsi" w:hAnsiTheme="minorBidi" w:cstheme="minorBidi"/>
          <w:bCs/>
          <w:lang w:eastAsia="en-US"/>
        </w:rPr>
        <w:t> </w:t>
      </w:r>
    </w:p>
    <w:p w14:paraId="78B7F33F" w14:textId="34669EE3" w:rsidR="003C0A16" w:rsidRPr="003C0A16" w:rsidRDefault="003C0A16" w:rsidP="003C0A16">
      <w:pPr>
        <w:spacing w:after="360"/>
        <w:rPr>
          <w:rFonts w:asciiTheme="minorBidi" w:eastAsiaTheme="minorHAnsi" w:hAnsiTheme="minorBidi" w:cstheme="minorBidi"/>
          <w:bCs/>
          <w:lang w:eastAsia="en-US"/>
        </w:rPr>
      </w:pPr>
      <w:r>
        <w:t xml:space="preserve">Revu </w:t>
      </w:r>
      <w:r w:rsidRPr="00C71D0E">
        <w:t>par</w:t>
      </w:r>
      <w:r>
        <w:t xml:space="preserve"> </w:t>
      </w:r>
      <w:r w:rsidRPr="00C71D0E">
        <w:t xml:space="preserve">: </w:t>
      </w:r>
      <w:r w:rsidRPr="00C71D0E">
        <w:tab/>
        <w:t>Kristine Peduto, Responsable Programmes « Développement, Protection et Participation de l’Enfant »</w:t>
      </w:r>
    </w:p>
    <w:p w14:paraId="6A5B414E" w14:textId="0F3C4661" w:rsidR="00A46FCA" w:rsidRPr="003C0A16" w:rsidRDefault="003C0A16" w:rsidP="003C0A16">
      <w:r>
        <w:t>Approuvé par : Moncef Moalla, Représentant-Adjoint</w:t>
      </w:r>
    </w:p>
    <w:sectPr w:rsidR="00A46FCA" w:rsidRPr="003C0A16" w:rsidSect="00432A8F">
      <w:footerReference w:type="default" r:id="rId14"/>
      <w:headerReference w:type="first" r:id="rId15"/>
      <w:footerReference w:type="first" r:id="rId16"/>
      <w:pgSz w:w="11907" w:h="16840" w:code="9"/>
      <w:pgMar w:top="1440" w:right="1080" w:bottom="1440" w:left="108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0FF0A" w14:textId="77777777" w:rsidR="00DC3883" w:rsidRDefault="00DC3883">
      <w:pPr>
        <w:spacing w:after="0"/>
      </w:pPr>
      <w:r>
        <w:separator/>
      </w:r>
    </w:p>
  </w:endnote>
  <w:endnote w:type="continuationSeparator" w:id="0">
    <w:p w14:paraId="7CA92995" w14:textId="77777777" w:rsidR="00DC3883" w:rsidRDefault="00DC38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857F1" w14:textId="6690E391" w:rsidR="002F203C" w:rsidRDefault="002F203C" w:rsidP="00EA5E94">
    <w:pPr>
      <w:pStyle w:val="Footer"/>
    </w:pPr>
    <w:r>
      <w:tab/>
    </w:r>
    <w:r>
      <w:tab/>
    </w:r>
    <w:r w:rsidR="00A832A3">
      <w:fldChar w:fldCharType="begin"/>
    </w:r>
    <w:r w:rsidR="00A832A3">
      <w:instrText xml:space="preserve"> PAGE   \* MERGEFORMAT </w:instrText>
    </w:r>
    <w:r w:rsidR="00A832A3">
      <w:fldChar w:fldCharType="separate"/>
    </w:r>
    <w:r w:rsidR="009C7D9C">
      <w:rPr>
        <w:noProof/>
      </w:rPr>
      <w:t>5</w:t>
    </w:r>
    <w:r w:rsidR="00A832A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9608041"/>
      <w:docPartObj>
        <w:docPartGallery w:val="Page Numbers (Bottom of Page)"/>
        <w:docPartUnique/>
      </w:docPartObj>
    </w:sdtPr>
    <w:sdtEndPr>
      <w:rPr>
        <w:noProof/>
      </w:rPr>
    </w:sdtEndPr>
    <w:sdtContent>
      <w:p w14:paraId="72638CFC" w14:textId="2E26C9D8" w:rsidR="0023546F" w:rsidRDefault="0023546F">
        <w:pPr>
          <w:pStyle w:val="Footer"/>
          <w:jc w:val="right"/>
        </w:pPr>
        <w:r>
          <w:fldChar w:fldCharType="begin"/>
        </w:r>
        <w:r>
          <w:instrText xml:space="preserve"> PAGE   \* MERGEFORMAT </w:instrText>
        </w:r>
        <w:r>
          <w:fldChar w:fldCharType="separate"/>
        </w:r>
        <w:r w:rsidR="009C7D9C">
          <w:rPr>
            <w:noProof/>
          </w:rPr>
          <w:t>1</w:t>
        </w:r>
        <w:r>
          <w:rPr>
            <w:noProof/>
          </w:rPr>
          <w:fldChar w:fldCharType="end"/>
        </w:r>
      </w:p>
    </w:sdtContent>
  </w:sdt>
  <w:p w14:paraId="0B31A237" w14:textId="337D8BA8" w:rsidR="002F203C" w:rsidRDefault="002F203C" w:rsidP="00235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8B903" w14:textId="77777777" w:rsidR="00DC3883" w:rsidRDefault="00DC3883">
      <w:pPr>
        <w:spacing w:after="0"/>
      </w:pPr>
      <w:r>
        <w:separator/>
      </w:r>
    </w:p>
  </w:footnote>
  <w:footnote w:type="continuationSeparator" w:id="0">
    <w:p w14:paraId="7A75E601" w14:textId="77777777" w:rsidR="00DC3883" w:rsidRDefault="00DC3883">
      <w:pPr>
        <w:spacing w:after="0"/>
      </w:pPr>
      <w:r>
        <w:continuationSeparator/>
      </w:r>
    </w:p>
  </w:footnote>
  <w:footnote w:id="1">
    <w:p w14:paraId="3FE8709D" w14:textId="77777777" w:rsidR="002F203C" w:rsidRDefault="002F203C" w:rsidP="006F35E0">
      <w:pPr>
        <w:pStyle w:val="FootnoteText"/>
      </w:pPr>
      <w:r>
        <w:rPr>
          <w:rStyle w:val="FootnoteReference"/>
        </w:rPr>
        <w:footnoteRef/>
      </w:r>
      <w:hyperlink r:id="rId1" w:history="1">
        <w:r w:rsidRPr="00C143F8">
          <w:rPr>
            <w:rStyle w:val="Hyperlink"/>
            <w:rFonts w:cs="Arial"/>
            <w:sz w:val="18"/>
          </w:rPr>
          <w:t>https://www.vitaminedz.com/articlesfiche/1294/1294679.pdf</w:t>
        </w:r>
      </w:hyperlink>
    </w:p>
  </w:footnote>
  <w:footnote w:id="2">
    <w:p w14:paraId="53350CE7" w14:textId="77777777" w:rsidR="0061103E" w:rsidRDefault="0061103E">
      <w:pPr>
        <w:pStyle w:val="FootnoteText"/>
      </w:pPr>
      <w:r>
        <w:rPr>
          <w:rStyle w:val="FootnoteReference"/>
        </w:rPr>
        <w:footnoteRef/>
      </w:r>
      <w:r>
        <w:t xml:space="preserve"> </w:t>
      </w:r>
      <w:r w:rsidRPr="0061103E">
        <w:t>http://www.education.gov.dz/wp-content/uploads/2015/02/loi0804Fr.pdf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A622D" w14:textId="492C6E55" w:rsidR="00B04DE2" w:rsidRDefault="00B04DE2">
    <w:pPr>
      <w:pStyle w:val="Header"/>
      <w:jc w:val="right"/>
    </w:pPr>
  </w:p>
  <w:p w14:paraId="1E41C54A" w14:textId="77777777" w:rsidR="00B04DE2" w:rsidRDefault="00B04D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9A0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E551D4"/>
    <w:multiLevelType w:val="hybridMultilevel"/>
    <w:tmpl w:val="5616F812"/>
    <w:lvl w:ilvl="0" w:tplc="873EE3E4">
      <w:start w:val="29"/>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C66762"/>
    <w:multiLevelType w:val="hybridMultilevel"/>
    <w:tmpl w:val="15D87574"/>
    <w:lvl w:ilvl="0" w:tplc="FDCC0556">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900A8"/>
    <w:multiLevelType w:val="hybridMultilevel"/>
    <w:tmpl w:val="49186B70"/>
    <w:lvl w:ilvl="0" w:tplc="168A07A2">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770E40"/>
    <w:multiLevelType w:val="hybridMultilevel"/>
    <w:tmpl w:val="D4903B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5395E"/>
    <w:multiLevelType w:val="hybridMultilevel"/>
    <w:tmpl w:val="02EEE34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A20DA"/>
    <w:multiLevelType w:val="hybridMultilevel"/>
    <w:tmpl w:val="2BA826A2"/>
    <w:lvl w:ilvl="0" w:tplc="A086C7D0">
      <w:start w:val="27"/>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722B57"/>
    <w:multiLevelType w:val="hybridMultilevel"/>
    <w:tmpl w:val="2AA2F5F8"/>
    <w:lvl w:ilvl="0" w:tplc="040C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567440"/>
    <w:multiLevelType w:val="multilevel"/>
    <w:tmpl w:val="8C0C44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15:restartNumberingAfterBreak="0">
    <w:nsid w:val="2B7274AC"/>
    <w:multiLevelType w:val="hybridMultilevel"/>
    <w:tmpl w:val="D612324A"/>
    <w:lvl w:ilvl="0" w:tplc="517C87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DE72021"/>
    <w:multiLevelType w:val="hybridMultilevel"/>
    <w:tmpl w:val="88548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C701A6"/>
    <w:multiLevelType w:val="hybridMultilevel"/>
    <w:tmpl w:val="E348BEF8"/>
    <w:lvl w:ilvl="0" w:tplc="CFE40326">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4526430"/>
    <w:multiLevelType w:val="hybridMultilevel"/>
    <w:tmpl w:val="6C50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2B4F4D"/>
    <w:multiLevelType w:val="hybridMultilevel"/>
    <w:tmpl w:val="FD567C66"/>
    <w:lvl w:ilvl="0" w:tplc="41AE186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492F7B"/>
    <w:multiLevelType w:val="hybridMultilevel"/>
    <w:tmpl w:val="7B3C2136"/>
    <w:lvl w:ilvl="0" w:tplc="263071C8">
      <w:start w:val="1"/>
      <w:numFmt w:val="lowerRoman"/>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02462F8"/>
    <w:multiLevelType w:val="hybridMultilevel"/>
    <w:tmpl w:val="CBCA80C4"/>
    <w:lvl w:ilvl="0" w:tplc="009A505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98A6784"/>
    <w:multiLevelType w:val="hybridMultilevel"/>
    <w:tmpl w:val="01D6AD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DD35C49"/>
    <w:multiLevelType w:val="hybridMultilevel"/>
    <w:tmpl w:val="DB5CE306"/>
    <w:lvl w:ilvl="0" w:tplc="F6107EA4">
      <w:start w:val="1"/>
      <w:numFmt w:val="decimalZero"/>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1AF73F3"/>
    <w:multiLevelType w:val="hybridMultilevel"/>
    <w:tmpl w:val="F5A0A61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BD5FF7"/>
    <w:multiLevelType w:val="hybridMultilevel"/>
    <w:tmpl w:val="BB8A1B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CBB4076"/>
    <w:multiLevelType w:val="hybridMultilevel"/>
    <w:tmpl w:val="20EC6954"/>
    <w:lvl w:ilvl="0" w:tplc="8D8A66FE">
      <w:start w:val="1"/>
      <w:numFmt w:val="bullet"/>
      <w:pStyle w:val="List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21" w15:restartNumberingAfterBreak="0">
    <w:nsid w:val="6A534B3B"/>
    <w:multiLevelType w:val="hybridMultilevel"/>
    <w:tmpl w:val="B768C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8036FB"/>
    <w:multiLevelType w:val="hybridMultilevel"/>
    <w:tmpl w:val="1F125F86"/>
    <w:lvl w:ilvl="0" w:tplc="7C845E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E87999"/>
    <w:multiLevelType w:val="hybridMultilevel"/>
    <w:tmpl w:val="AB661908"/>
    <w:lvl w:ilvl="0" w:tplc="B71092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A26B2A"/>
    <w:multiLevelType w:val="hybridMultilevel"/>
    <w:tmpl w:val="D9206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0"/>
  </w:num>
  <w:num w:numId="4">
    <w:abstractNumId w:val="13"/>
  </w:num>
  <w:num w:numId="5">
    <w:abstractNumId w:val="10"/>
  </w:num>
  <w:num w:numId="6">
    <w:abstractNumId w:val="21"/>
  </w:num>
  <w:num w:numId="7">
    <w:abstractNumId w:val="7"/>
  </w:num>
  <w:num w:numId="8">
    <w:abstractNumId w:val="8"/>
    <w:lvlOverride w:ilvl="0">
      <w:startOverride w:val="6"/>
    </w:lvlOverride>
  </w:num>
  <w:num w:numId="9">
    <w:abstractNumId w:val="9"/>
  </w:num>
  <w:num w:numId="10">
    <w:abstractNumId w:val="15"/>
  </w:num>
  <w:num w:numId="11">
    <w:abstractNumId w:val="18"/>
  </w:num>
  <w:num w:numId="12">
    <w:abstractNumId w:val="23"/>
  </w:num>
  <w:num w:numId="13">
    <w:abstractNumId w:val="0"/>
  </w:num>
  <w:num w:numId="14">
    <w:abstractNumId w:val="17"/>
  </w:num>
  <w:num w:numId="15">
    <w:abstractNumId w:val="11"/>
  </w:num>
  <w:num w:numId="16">
    <w:abstractNumId w:val="3"/>
  </w:num>
  <w:num w:numId="17">
    <w:abstractNumId w:val="16"/>
  </w:num>
  <w:num w:numId="18">
    <w:abstractNumId w:val="5"/>
  </w:num>
  <w:num w:numId="19">
    <w:abstractNumId w:val="22"/>
  </w:num>
  <w:num w:numId="20">
    <w:abstractNumId w:val="4"/>
  </w:num>
  <w:num w:numId="21">
    <w:abstractNumId w:val="14"/>
  </w:num>
  <w:num w:numId="22">
    <w:abstractNumId w:val="19"/>
  </w:num>
  <w:num w:numId="23">
    <w:abstractNumId w:val="1"/>
  </w:num>
  <w:num w:numId="24">
    <w:abstractNumId w:val="12"/>
  </w:num>
  <w:num w:numId="25">
    <w:abstractNumId w:val="2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570"/>
    <w:rsid w:val="000001D2"/>
    <w:rsid w:val="00004CCB"/>
    <w:rsid w:val="00010812"/>
    <w:rsid w:val="000208E2"/>
    <w:rsid w:val="00042DF5"/>
    <w:rsid w:val="00053021"/>
    <w:rsid w:val="00083B1F"/>
    <w:rsid w:val="00086405"/>
    <w:rsid w:val="000A2070"/>
    <w:rsid w:val="000B2353"/>
    <w:rsid w:val="000C04C4"/>
    <w:rsid w:val="000C2325"/>
    <w:rsid w:val="000C64AE"/>
    <w:rsid w:val="000E1249"/>
    <w:rsid w:val="000E3ED5"/>
    <w:rsid w:val="000E79FA"/>
    <w:rsid w:val="000F70D6"/>
    <w:rsid w:val="001047DB"/>
    <w:rsid w:val="0011680A"/>
    <w:rsid w:val="00131F43"/>
    <w:rsid w:val="00135A05"/>
    <w:rsid w:val="00146744"/>
    <w:rsid w:val="00184557"/>
    <w:rsid w:val="00186FA4"/>
    <w:rsid w:val="001956F0"/>
    <w:rsid w:val="001963AD"/>
    <w:rsid w:val="001A3531"/>
    <w:rsid w:val="001A55CB"/>
    <w:rsid w:val="001A7B9E"/>
    <w:rsid w:val="001B4978"/>
    <w:rsid w:val="001D2D7E"/>
    <w:rsid w:val="001E1F87"/>
    <w:rsid w:val="001E4641"/>
    <w:rsid w:val="001E68C6"/>
    <w:rsid w:val="001F63EC"/>
    <w:rsid w:val="001F7649"/>
    <w:rsid w:val="00200E5D"/>
    <w:rsid w:val="00205A88"/>
    <w:rsid w:val="00222E99"/>
    <w:rsid w:val="0023546F"/>
    <w:rsid w:val="00242860"/>
    <w:rsid w:val="0025541C"/>
    <w:rsid w:val="00273850"/>
    <w:rsid w:val="002778D4"/>
    <w:rsid w:val="0028765F"/>
    <w:rsid w:val="002B3ABF"/>
    <w:rsid w:val="002B6551"/>
    <w:rsid w:val="002C1CEC"/>
    <w:rsid w:val="002C2FFB"/>
    <w:rsid w:val="002C6395"/>
    <w:rsid w:val="002D7962"/>
    <w:rsid w:val="002E3C08"/>
    <w:rsid w:val="002E6CD3"/>
    <w:rsid w:val="002E6DB4"/>
    <w:rsid w:val="002F203C"/>
    <w:rsid w:val="00303AB6"/>
    <w:rsid w:val="00323B2D"/>
    <w:rsid w:val="00334C07"/>
    <w:rsid w:val="00352999"/>
    <w:rsid w:val="00356B70"/>
    <w:rsid w:val="003572BB"/>
    <w:rsid w:val="00367A5C"/>
    <w:rsid w:val="003778F9"/>
    <w:rsid w:val="0038401E"/>
    <w:rsid w:val="003C0A16"/>
    <w:rsid w:val="003C7B49"/>
    <w:rsid w:val="003D0CEE"/>
    <w:rsid w:val="003D0F01"/>
    <w:rsid w:val="003D28B8"/>
    <w:rsid w:val="003F288B"/>
    <w:rsid w:val="003F4BEC"/>
    <w:rsid w:val="003F57FA"/>
    <w:rsid w:val="00405553"/>
    <w:rsid w:val="00406A5F"/>
    <w:rsid w:val="0041085B"/>
    <w:rsid w:val="00425452"/>
    <w:rsid w:val="00431B33"/>
    <w:rsid w:val="00432A8F"/>
    <w:rsid w:val="00441846"/>
    <w:rsid w:val="004468FC"/>
    <w:rsid w:val="004712B5"/>
    <w:rsid w:val="00482FF9"/>
    <w:rsid w:val="00485601"/>
    <w:rsid w:val="004868F9"/>
    <w:rsid w:val="0049041A"/>
    <w:rsid w:val="00497003"/>
    <w:rsid w:val="004A4260"/>
    <w:rsid w:val="004B1181"/>
    <w:rsid w:val="004B459B"/>
    <w:rsid w:val="004B5A76"/>
    <w:rsid w:val="004C5F51"/>
    <w:rsid w:val="004D37B5"/>
    <w:rsid w:val="004D58E9"/>
    <w:rsid w:val="004D5AD7"/>
    <w:rsid w:val="004F001D"/>
    <w:rsid w:val="004F4080"/>
    <w:rsid w:val="0050597E"/>
    <w:rsid w:val="0051242D"/>
    <w:rsid w:val="005210C1"/>
    <w:rsid w:val="0052146F"/>
    <w:rsid w:val="005242BE"/>
    <w:rsid w:val="00524815"/>
    <w:rsid w:val="00532BF2"/>
    <w:rsid w:val="00556E87"/>
    <w:rsid w:val="00572473"/>
    <w:rsid w:val="00586137"/>
    <w:rsid w:val="005A4C6D"/>
    <w:rsid w:val="005B5575"/>
    <w:rsid w:val="005D073A"/>
    <w:rsid w:val="005D594A"/>
    <w:rsid w:val="005D634F"/>
    <w:rsid w:val="00603AED"/>
    <w:rsid w:val="0060495C"/>
    <w:rsid w:val="0061103E"/>
    <w:rsid w:val="00624CD3"/>
    <w:rsid w:val="006324A6"/>
    <w:rsid w:val="00634E49"/>
    <w:rsid w:val="00642B8A"/>
    <w:rsid w:val="00642DE9"/>
    <w:rsid w:val="00653909"/>
    <w:rsid w:val="006612A8"/>
    <w:rsid w:val="006623B0"/>
    <w:rsid w:val="006725CE"/>
    <w:rsid w:val="006750A5"/>
    <w:rsid w:val="00676D5C"/>
    <w:rsid w:val="006969CD"/>
    <w:rsid w:val="006A4561"/>
    <w:rsid w:val="006C38E0"/>
    <w:rsid w:val="006E70B0"/>
    <w:rsid w:val="006F35E0"/>
    <w:rsid w:val="00702DFD"/>
    <w:rsid w:val="0071222B"/>
    <w:rsid w:val="00716C70"/>
    <w:rsid w:val="007229A0"/>
    <w:rsid w:val="00730FCC"/>
    <w:rsid w:val="0073127F"/>
    <w:rsid w:val="00743AB7"/>
    <w:rsid w:val="00754D0C"/>
    <w:rsid w:val="00793D70"/>
    <w:rsid w:val="00797768"/>
    <w:rsid w:val="007A3256"/>
    <w:rsid w:val="007A665C"/>
    <w:rsid w:val="007A6742"/>
    <w:rsid w:val="007C1259"/>
    <w:rsid w:val="007D1CA3"/>
    <w:rsid w:val="007D3E86"/>
    <w:rsid w:val="00810C98"/>
    <w:rsid w:val="0082637F"/>
    <w:rsid w:val="0082726E"/>
    <w:rsid w:val="008404A3"/>
    <w:rsid w:val="00860F6C"/>
    <w:rsid w:val="00881BFF"/>
    <w:rsid w:val="00884AD9"/>
    <w:rsid w:val="00887D59"/>
    <w:rsid w:val="008922D9"/>
    <w:rsid w:val="00892D32"/>
    <w:rsid w:val="0089478A"/>
    <w:rsid w:val="008A0C58"/>
    <w:rsid w:val="008A1BB4"/>
    <w:rsid w:val="008A5DF2"/>
    <w:rsid w:val="008B143C"/>
    <w:rsid w:val="008B7CAA"/>
    <w:rsid w:val="008C308F"/>
    <w:rsid w:val="008D00AE"/>
    <w:rsid w:val="008D3570"/>
    <w:rsid w:val="008E6D49"/>
    <w:rsid w:val="008E6D6B"/>
    <w:rsid w:val="008F04E6"/>
    <w:rsid w:val="008F3A67"/>
    <w:rsid w:val="008F4AE4"/>
    <w:rsid w:val="00901497"/>
    <w:rsid w:val="009201ED"/>
    <w:rsid w:val="009211EE"/>
    <w:rsid w:val="00924B58"/>
    <w:rsid w:val="00927C8F"/>
    <w:rsid w:val="00927E76"/>
    <w:rsid w:val="00930823"/>
    <w:rsid w:val="00941E43"/>
    <w:rsid w:val="00962515"/>
    <w:rsid w:val="00976DFD"/>
    <w:rsid w:val="009A0892"/>
    <w:rsid w:val="009A3029"/>
    <w:rsid w:val="009A6832"/>
    <w:rsid w:val="009B0235"/>
    <w:rsid w:val="009B2B66"/>
    <w:rsid w:val="009B74BE"/>
    <w:rsid w:val="009B7EE2"/>
    <w:rsid w:val="009C02DA"/>
    <w:rsid w:val="009C7D9C"/>
    <w:rsid w:val="00A15CCA"/>
    <w:rsid w:val="00A16AA9"/>
    <w:rsid w:val="00A206BE"/>
    <w:rsid w:val="00A209C6"/>
    <w:rsid w:val="00A30AC0"/>
    <w:rsid w:val="00A46FCA"/>
    <w:rsid w:val="00A609C5"/>
    <w:rsid w:val="00A6144F"/>
    <w:rsid w:val="00A75691"/>
    <w:rsid w:val="00A832A3"/>
    <w:rsid w:val="00AB250A"/>
    <w:rsid w:val="00AB4A17"/>
    <w:rsid w:val="00AB4DE7"/>
    <w:rsid w:val="00AB54C2"/>
    <w:rsid w:val="00AC1241"/>
    <w:rsid w:val="00AD0ED5"/>
    <w:rsid w:val="00AE3283"/>
    <w:rsid w:val="00AF6EB6"/>
    <w:rsid w:val="00B04DE2"/>
    <w:rsid w:val="00B118AE"/>
    <w:rsid w:val="00B17E4B"/>
    <w:rsid w:val="00B24661"/>
    <w:rsid w:val="00B43C8B"/>
    <w:rsid w:val="00B52A9C"/>
    <w:rsid w:val="00B545AD"/>
    <w:rsid w:val="00B546E4"/>
    <w:rsid w:val="00B56549"/>
    <w:rsid w:val="00B56BA3"/>
    <w:rsid w:val="00B91676"/>
    <w:rsid w:val="00B935B0"/>
    <w:rsid w:val="00BB11C0"/>
    <w:rsid w:val="00BC251B"/>
    <w:rsid w:val="00BD07EC"/>
    <w:rsid w:val="00BD1934"/>
    <w:rsid w:val="00BD4FCF"/>
    <w:rsid w:val="00BE1770"/>
    <w:rsid w:val="00BE421C"/>
    <w:rsid w:val="00BE48C4"/>
    <w:rsid w:val="00C11101"/>
    <w:rsid w:val="00C2271E"/>
    <w:rsid w:val="00C2343C"/>
    <w:rsid w:val="00C23C13"/>
    <w:rsid w:val="00C329D1"/>
    <w:rsid w:val="00C45CE1"/>
    <w:rsid w:val="00C46B59"/>
    <w:rsid w:val="00C66071"/>
    <w:rsid w:val="00C8694C"/>
    <w:rsid w:val="00C9010B"/>
    <w:rsid w:val="00C9123C"/>
    <w:rsid w:val="00C92705"/>
    <w:rsid w:val="00C9510C"/>
    <w:rsid w:val="00CA42E5"/>
    <w:rsid w:val="00CC0522"/>
    <w:rsid w:val="00CD3374"/>
    <w:rsid w:val="00CD5640"/>
    <w:rsid w:val="00CD71C5"/>
    <w:rsid w:val="00CE3E4F"/>
    <w:rsid w:val="00CE6063"/>
    <w:rsid w:val="00CE7B99"/>
    <w:rsid w:val="00CF4488"/>
    <w:rsid w:val="00CF7A53"/>
    <w:rsid w:val="00D04561"/>
    <w:rsid w:val="00D063A0"/>
    <w:rsid w:val="00D13658"/>
    <w:rsid w:val="00D26092"/>
    <w:rsid w:val="00D32B10"/>
    <w:rsid w:val="00D33E63"/>
    <w:rsid w:val="00D634BD"/>
    <w:rsid w:val="00D73466"/>
    <w:rsid w:val="00D823B8"/>
    <w:rsid w:val="00D94C58"/>
    <w:rsid w:val="00DA0F9E"/>
    <w:rsid w:val="00DA4C8D"/>
    <w:rsid w:val="00DA59A3"/>
    <w:rsid w:val="00DB0692"/>
    <w:rsid w:val="00DB3AFA"/>
    <w:rsid w:val="00DC3883"/>
    <w:rsid w:val="00DC6758"/>
    <w:rsid w:val="00DD2391"/>
    <w:rsid w:val="00DE62FF"/>
    <w:rsid w:val="00DF0E60"/>
    <w:rsid w:val="00E145DF"/>
    <w:rsid w:val="00E2545D"/>
    <w:rsid w:val="00E31E79"/>
    <w:rsid w:val="00E50045"/>
    <w:rsid w:val="00E52A9C"/>
    <w:rsid w:val="00E83DAA"/>
    <w:rsid w:val="00EA1295"/>
    <w:rsid w:val="00EA5E94"/>
    <w:rsid w:val="00EC2A8B"/>
    <w:rsid w:val="00EC6076"/>
    <w:rsid w:val="00EE1404"/>
    <w:rsid w:val="00F33E0A"/>
    <w:rsid w:val="00F431C3"/>
    <w:rsid w:val="00F444E7"/>
    <w:rsid w:val="00F459BD"/>
    <w:rsid w:val="00F54F34"/>
    <w:rsid w:val="00F60F8C"/>
    <w:rsid w:val="00F71603"/>
    <w:rsid w:val="00F8262D"/>
    <w:rsid w:val="00F87D21"/>
    <w:rsid w:val="00FA1179"/>
    <w:rsid w:val="00FA4914"/>
    <w:rsid w:val="00FB3A05"/>
    <w:rsid w:val="00FB614F"/>
    <w:rsid w:val="00FC2867"/>
    <w:rsid w:val="00FC37B6"/>
    <w:rsid w:val="00FE2286"/>
    <w:rsid w:val="00FE5E4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8F53B"/>
  <w15:docId w15:val="{F48AEB98-D359-463B-B7E0-754952180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color w:val="2E74B5" w:themeColor="accent1" w:themeShade="BF"/>
        <w:sz w:val="28"/>
        <w:szCs w:val="3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6137"/>
    <w:pPr>
      <w:spacing w:after="120" w:line="240" w:lineRule="auto"/>
      <w:jc w:val="both"/>
    </w:pPr>
    <w:rPr>
      <w:rFonts w:eastAsia="Times New Roman"/>
      <w:color w:val="auto"/>
      <w:sz w:val="22"/>
      <w:szCs w:val="22"/>
      <w:lang w:eastAsia="fr-BE"/>
    </w:rPr>
  </w:style>
  <w:style w:type="paragraph" w:styleId="Heading1">
    <w:name w:val="heading 1"/>
    <w:basedOn w:val="Normal"/>
    <w:next w:val="Normal"/>
    <w:link w:val="Heading1Char"/>
    <w:autoRedefine/>
    <w:uiPriority w:val="99"/>
    <w:qFormat/>
    <w:rsid w:val="00C2343C"/>
    <w:pPr>
      <w:keepNext/>
      <w:keepLines/>
      <w:spacing w:before="120"/>
      <w:jc w:val="left"/>
      <w:outlineLvl w:val="0"/>
    </w:pPr>
    <w:rPr>
      <w:rFonts w:asciiTheme="minorBidi" w:eastAsiaTheme="majorEastAsia" w:hAnsiTheme="minorBidi" w:cstheme="minorBidi"/>
      <w:b/>
      <w:color w:val="4472C4" w:themeColor="accent5"/>
      <w:sz w:val="24"/>
    </w:rPr>
  </w:style>
  <w:style w:type="paragraph" w:styleId="Heading2">
    <w:name w:val="heading 2"/>
    <w:basedOn w:val="Normal"/>
    <w:next w:val="Normal"/>
    <w:link w:val="Heading2Char"/>
    <w:autoRedefine/>
    <w:uiPriority w:val="99"/>
    <w:unhideWhenUsed/>
    <w:qFormat/>
    <w:rsid w:val="003C0A16"/>
    <w:pPr>
      <w:keepNext/>
      <w:keepLines/>
      <w:spacing w:before="40" w:after="0"/>
      <w:outlineLvl w:val="1"/>
    </w:pPr>
    <w:rPr>
      <w:rFonts w:asciiTheme="minorBidi" w:eastAsiaTheme="majorEastAsia" w:hAnsiTheme="minorBidi" w:cstheme="minorBidi"/>
      <w:b/>
      <w:color w:val="0070C0"/>
    </w:rPr>
  </w:style>
  <w:style w:type="paragraph" w:styleId="Heading3">
    <w:name w:val="heading 3"/>
    <w:basedOn w:val="Normal"/>
    <w:next w:val="Normal"/>
    <w:link w:val="Heading3Char"/>
    <w:autoRedefine/>
    <w:uiPriority w:val="99"/>
    <w:unhideWhenUsed/>
    <w:qFormat/>
    <w:rsid w:val="00797768"/>
    <w:pPr>
      <w:keepNext/>
      <w:keepLines/>
      <w:spacing w:before="40" w:after="0"/>
      <w:outlineLvl w:val="2"/>
    </w:pPr>
    <w:rPr>
      <w:rFonts w:eastAsiaTheme="majorEastAsia"/>
      <w:b/>
      <w:sz w:val="24"/>
      <w:szCs w:val="24"/>
    </w:rPr>
  </w:style>
  <w:style w:type="paragraph" w:styleId="Heading5">
    <w:name w:val="heading 5"/>
    <w:basedOn w:val="Normal"/>
    <w:next w:val="Normal"/>
    <w:link w:val="Heading5Char"/>
    <w:uiPriority w:val="99"/>
    <w:qFormat/>
    <w:rsid w:val="008D3570"/>
    <w:pPr>
      <w:keepNext/>
      <w:keepLines/>
      <w:spacing w:before="200"/>
      <w:ind w:left="1008" w:hanging="1008"/>
      <w:outlineLvl w:val="4"/>
    </w:pPr>
    <w:rPr>
      <w:rFonts w:ascii="Cambria" w:hAnsi="Cambria"/>
      <w:color w:val="243F60"/>
    </w:rPr>
  </w:style>
  <w:style w:type="paragraph" w:styleId="Heading6">
    <w:name w:val="heading 6"/>
    <w:basedOn w:val="Normal"/>
    <w:next w:val="Normal"/>
    <w:link w:val="Heading6Char"/>
    <w:uiPriority w:val="99"/>
    <w:qFormat/>
    <w:rsid w:val="008D3570"/>
    <w:pPr>
      <w:keepNext/>
      <w:keepLines/>
      <w:spacing w:before="200"/>
      <w:ind w:left="1152" w:hanging="1152"/>
      <w:outlineLvl w:val="5"/>
    </w:pPr>
    <w:rPr>
      <w:rFonts w:ascii="Cambria" w:hAnsi="Cambria"/>
      <w:i/>
      <w:iCs/>
      <w:color w:val="243F60"/>
    </w:rPr>
  </w:style>
  <w:style w:type="paragraph" w:styleId="Heading7">
    <w:name w:val="heading 7"/>
    <w:basedOn w:val="Normal"/>
    <w:next w:val="Normal"/>
    <w:link w:val="Heading7Char"/>
    <w:uiPriority w:val="99"/>
    <w:qFormat/>
    <w:rsid w:val="008D3570"/>
    <w:pPr>
      <w:keepNext/>
      <w:keepLines/>
      <w:spacing w:before="200"/>
      <w:ind w:left="1296" w:hanging="1296"/>
      <w:outlineLvl w:val="6"/>
    </w:pPr>
    <w:rPr>
      <w:rFonts w:ascii="Cambria" w:hAnsi="Cambria"/>
      <w:i/>
      <w:iCs/>
      <w:color w:val="404040"/>
    </w:rPr>
  </w:style>
  <w:style w:type="paragraph" w:styleId="Heading8">
    <w:name w:val="heading 8"/>
    <w:basedOn w:val="Normal"/>
    <w:next w:val="Normal"/>
    <w:link w:val="Heading8Char"/>
    <w:uiPriority w:val="99"/>
    <w:qFormat/>
    <w:rsid w:val="008D3570"/>
    <w:pPr>
      <w:keepNext/>
      <w:keepLines/>
      <w:spacing w:before="200"/>
      <w:ind w:left="1440" w:hanging="144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D3570"/>
    <w:pPr>
      <w:keepNext/>
      <w:keepLines/>
      <w:spacing w:before="200"/>
      <w:ind w:left="1584" w:hanging="158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2343C"/>
    <w:rPr>
      <w:rFonts w:asciiTheme="minorBidi" w:eastAsiaTheme="majorEastAsia" w:hAnsiTheme="minorBidi" w:cstheme="minorBidi"/>
      <w:b/>
      <w:color w:val="4472C4" w:themeColor="accent5"/>
      <w:sz w:val="24"/>
      <w:szCs w:val="22"/>
      <w:lang w:eastAsia="fr-BE"/>
    </w:rPr>
  </w:style>
  <w:style w:type="character" w:customStyle="1" w:styleId="Heading2Char">
    <w:name w:val="Heading 2 Char"/>
    <w:basedOn w:val="DefaultParagraphFont"/>
    <w:link w:val="Heading2"/>
    <w:uiPriority w:val="99"/>
    <w:rsid w:val="003C0A16"/>
    <w:rPr>
      <w:rFonts w:asciiTheme="minorBidi" w:eastAsiaTheme="majorEastAsia" w:hAnsiTheme="minorBidi" w:cstheme="minorBidi"/>
      <w:b/>
      <w:color w:val="0070C0"/>
      <w:sz w:val="22"/>
      <w:szCs w:val="22"/>
      <w:lang w:eastAsia="fr-BE"/>
    </w:rPr>
  </w:style>
  <w:style w:type="character" w:customStyle="1" w:styleId="Heading3Char">
    <w:name w:val="Heading 3 Char"/>
    <w:basedOn w:val="DefaultParagraphFont"/>
    <w:link w:val="Heading3"/>
    <w:uiPriority w:val="99"/>
    <w:rsid w:val="00797768"/>
    <w:rPr>
      <w:rFonts w:eastAsiaTheme="majorEastAsia"/>
      <w:b/>
      <w:color w:val="auto"/>
      <w:sz w:val="24"/>
      <w:szCs w:val="24"/>
    </w:rPr>
  </w:style>
  <w:style w:type="paragraph" w:styleId="ListParagraph">
    <w:name w:val="List Paragraph"/>
    <w:aliases w:val="Lapis Bulleted List,List Paragraph (numbered (a)),List Paragraph1,WB Para"/>
    <w:basedOn w:val="Normal"/>
    <w:link w:val="ListParagraphChar"/>
    <w:autoRedefine/>
    <w:uiPriority w:val="34"/>
    <w:qFormat/>
    <w:rsid w:val="007A6742"/>
    <w:pPr>
      <w:numPr>
        <w:numId w:val="15"/>
      </w:numPr>
      <w:spacing w:after="0"/>
    </w:pPr>
    <w:rPr>
      <w:lang w:eastAsia="fr-FR"/>
    </w:rPr>
  </w:style>
  <w:style w:type="character" w:customStyle="1" w:styleId="Heading5Char">
    <w:name w:val="Heading 5 Char"/>
    <w:basedOn w:val="DefaultParagraphFont"/>
    <w:link w:val="Heading5"/>
    <w:uiPriority w:val="99"/>
    <w:rsid w:val="008D3570"/>
    <w:rPr>
      <w:rFonts w:ascii="Cambria" w:eastAsia="Times New Roman" w:hAnsi="Cambria" w:cs="Times New Roman"/>
      <w:color w:val="243F60"/>
      <w:sz w:val="22"/>
      <w:szCs w:val="22"/>
      <w:lang w:eastAsia="fr-BE"/>
    </w:rPr>
  </w:style>
  <w:style w:type="character" w:customStyle="1" w:styleId="Heading6Char">
    <w:name w:val="Heading 6 Char"/>
    <w:basedOn w:val="DefaultParagraphFont"/>
    <w:link w:val="Heading6"/>
    <w:uiPriority w:val="99"/>
    <w:rsid w:val="008D3570"/>
    <w:rPr>
      <w:rFonts w:ascii="Cambria" w:eastAsia="Times New Roman" w:hAnsi="Cambria" w:cs="Times New Roman"/>
      <w:i/>
      <w:iCs/>
      <w:color w:val="243F60"/>
      <w:sz w:val="22"/>
      <w:szCs w:val="22"/>
      <w:lang w:eastAsia="fr-BE"/>
    </w:rPr>
  </w:style>
  <w:style w:type="character" w:customStyle="1" w:styleId="Heading7Char">
    <w:name w:val="Heading 7 Char"/>
    <w:basedOn w:val="DefaultParagraphFont"/>
    <w:link w:val="Heading7"/>
    <w:uiPriority w:val="99"/>
    <w:rsid w:val="008D3570"/>
    <w:rPr>
      <w:rFonts w:ascii="Cambria" w:eastAsia="Times New Roman" w:hAnsi="Cambria" w:cs="Times New Roman"/>
      <w:i/>
      <w:iCs/>
      <w:color w:val="404040"/>
      <w:sz w:val="22"/>
      <w:szCs w:val="22"/>
      <w:lang w:eastAsia="fr-BE"/>
    </w:rPr>
  </w:style>
  <w:style w:type="character" w:customStyle="1" w:styleId="Heading8Char">
    <w:name w:val="Heading 8 Char"/>
    <w:basedOn w:val="DefaultParagraphFont"/>
    <w:link w:val="Heading8"/>
    <w:uiPriority w:val="99"/>
    <w:rsid w:val="008D3570"/>
    <w:rPr>
      <w:rFonts w:ascii="Cambria" w:eastAsia="Times New Roman" w:hAnsi="Cambria" w:cs="Times New Roman"/>
      <w:color w:val="404040"/>
      <w:sz w:val="20"/>
      <w:szCs w:val="20"/>
      <w:lang w:eastAsia="fr-BE"/>
    </w:rPr>
  </w:style>
  <w:style w:type="character" w:customStyle="1" w:styleId="Heading9Char">
    <w:name w:val="Heading 9 Char"/>
    <w:basedOn w:val="DefaultParagraphFont"/>
    <w:link w:val="Heading9"/>
    <w:uiPriority w:val="99"/>
    <w:rsid w:val="008D3570"/>
    <w:rPr>
      <w:rFonts w:ascii="Cambria" w:eastAsia="Times New Roman" w:hAnsi="Cambria" w:cs="Times New Roman"/>
      <w:i/>
      <w:iCs/>
      <w:color w:val="404040"/>
      <w:sz w:val="20"/>
      <w:szCs w:val="20"/>
      <w:lang w:eastAsia="fr-BE"/>
    </w:rPr>
  </w:style>
  <w:style w:type="paragraph" w:styleId="Footer">
    <w:name w:val="footer"/>
    <w:basedOn w:val="Normal"/>
    <w:link w:val="FooterChar"/>
    <w:uiPriority w:val="99"/>
    <w:rsid w:val="008D3570"/>
    <w:pPr>
      <w:pBdr>
        <w:top w:val="thinThickSmallGap" w:sz="12" w:space="1" w:color="404040"/>
      </w:pBdr>
      <w:tabs>
        <w:tab w:val="center" w:pos="4536"/>
        <w:tab w:val="right" w:pos="9072"/>
      </w:tabs>
    </w:pPr>
    <w:rPr>
      <w:b/>
      <w:color w:val="404040"/>
      <w:sz w:val="20"/>
    </w:rPr>
  </w:style>
  <w:style w:type="character" w:customStyle="1" w:styleId="FooterChar">
    <w:name w:val="Footer Char"/>
    <w:basedOn w:val="DefaultParagraphFont"/>
    <w:link w:val="Footer"/>
    <w:uiPriority w:val="99"/>
    <w:rsid w:val="008D3570"/>
    <w:rPr>
      <w:rFonts w:eastAsia="Times New Roman" w:cs="Times New Roman"/>
      <w:b/>
      <w:color w:val="404040"/>
      <w:sz w:val="20"/>
      <w:szCs w:val="22"/>
      <w:lang w:eastAsia="fr-BE"/>
    </w:rPr>
  </w:style>
  <w:style w:type="paragraph" w:styleId="BodyText">
    <w:name w:val="Body Text"/>
    <w:basedOn w:val="Normal"/>
    <w:link w:val="BodyTextChar"/>
    <w:uiPriority w:val="99"/>
    <w:rsid w:val="008D3570"/>
    <w:pPr>
      <w:spacing w:line="360" w:lineRule="auto"/>
    </w:pPr>
  </w:style>
  <w:style w:type="character" w:customStyle="1" w:styleId="BodyTextChar">
    <w:name w:val="Body Text Char"/>
    <w:basedOn w:val="DefaultParagraphFont"/>
    <w:link w:val="BodyText"/>
    <w:uiPriority w:val="99"/>
    <w:rsid w:val="008D3570"/>
    <w:rPr>
      <w:rFonts w:ascii="Times New Roman" w:eastAsia="Times New Roman" w:hAnsi="Times New Roman" w:cs="Times New Roman"/>
      <w:color w:val="auto"/>
      <w:sz w:val="22"/>
      <w:szCs w:val="22"/>
      <w:lang w:eastAsia="fr-BE"/>
    </w:rPr>
  </w:style>
  <w:style w:type="paragraph" w:styleId="ListBullet">
    <w:name w:val="List Bullet"/>
    <w:basedOn w:val="Normal"/>
    <w:uiPriority w:val="99"/>
    <w:rsid w:val="008D3570"/>
    <w:pPr>
      <w:numPr>
        <w:numId w:val="3"/>
      </w:numPr>
      <w:tabs>
        <w:tab w:val="left" w:pos="567"/>
      </w:tabs>
      <w:spacing w:line="360" w:lineRule="auto"/>
      <w:ind w:left="567" w:hanging="357"/>
      <w:contextualSpacing/>
    </w:pPr>
  </w:style>
  <w:style w:type="paragraph" w:styleId="Subtitle">
    <w:name w:val="Subtitle"/>
    <w:basedOn w:val="Normal"/>
    <w:next w:val="Normal"/>
    <w:link w:val="SubtitleChar"/>
    <w:uiPriority w:val="99"/>
    <w:qFormat/>
    <w:rsid w:val="008D3570"/>
    <w:pPr>
      <w:numPr>
        <w:ilvl w:val="1"/>
      </w:numPr>
      <w:spacing w:line="360" w:lineRule="auto"/>
      <w:ind w:left="567" w:right="567"/>
      <w:jc w:val="center"/>
    </w:pPr>
    <w:rPr>
      <w:rFonts w:ascii="Cambria" w:hAnsi="Cambria"/>
      <w:b/>
      <w:i/>
      <w:iCs/>
      <w:color w:val="4F81BD"/>
      <w:spacing w:val="15"/>
      <w:sz w:val="24"/>
      <w:szCs w:val="24"/>
    </w:rPr>
  </w:style>
  <w:style w:type="character" w:customStyle="1" w:styleId="SubtitleChar">
    <w:name w:val="Subtitle Char"/>
    <w:basedOn w:val="DefaultParagraphFont"/>
    <w:link w:val="Subtitle"/>
    <w:uiPriority w:val="99"/>
    <w:rsid w:val="008D3570"/>
    <w:rPr>
      <w:rFonts w:ascii="Cambria" w:eastAsia="Times New Roman" w:hAnsi="Cambria" w:cs="Times New Roman"/>
      <w:b/>
      <w:i/>
      <w:iCs/>
      <w:color w:val="4F81BD"/>
      <w:spacing w:val="15"/>
      <w:sz w:val="24"/>
      <w:szCs w:val="24"/>
      <w:lang w:eastAsia="fr-BE"/>
    </w:rPr>
  </w:style>
  <w:style w:type="character" w:styleId="Hyperlink">
    <w:name w:val="Hyperlink"/>
    <w:basedOn w:val="DefaultParagraphFont"/>
    <w:uiPriority w:val="99"/>
    <w:rsid w:val="008D3570"/>
    <w:rPr>
      <w:rFonts w:cs="Times New Roman"/>
      <w:color w:val="0000FF"/>
      <w:u w:val="single"/>
    </w:rPr>
  </w:style>
  <w:style w:type="character" w:styleId="CommentReference">
    <w:name w:val="annotation reference"/>
    <w:basedOn w:val="DefaultParagraphFont"/>
    <w:uiPriority w:val="99"/>
    <w:semiHidden/>
    <w:rsid w:val="008D3570"/>
    <w:rPr>
      <w:rFonts w:cs="Times New Roman"/>
      <w:sz w:val="16"/>
      <w:szCs w:val="16"/>
    </w:rPr>
  </w:style>
  <w:style w:type="paragraph" w:styleId="CommentText">
    <w:name w:val="annotation text"/>
    <w:basedOn w:val="Normal"/>
    <w:link w:val="CommentTextChar"/>
    <w:uiPriority w:val="99"/>
    <w:semiHidden/>
    <w:rsid w:val="008D3570"/>
    <w:pPr>
      <w:spacing w:after="200"/>
    </w:pPr>
    <w:rPr>
      <w:rFonts w:ascii="Calibri" w:hAnsi="Calibri"/>
      <w:sz w:val="20"/>
      <w:szCs w:val="20"/>
      <w:lang w:val="fr-BE"/>
    </w:rPr>
  </w:style>
  <w:style w:type="character" w:customStyle="1" w:styleId="CommentTextChar">
    <w:name w:val="Comment Text Char"/>
    <w:basedOn w:val="DefaultParagraphFont"/>
    <w:link w:val="CommentText"/>
    <w:uiPriority w:val="99"/>
    <w:semiHidden/>
    <w:rsid w:val="008D3570"/>
    <w:rPr>
      <w:rFonts w:ascii="Calibri" w:eastAsia="Times New Roman" w:hAnsi="Calibri" w:cs="Times New Roman"/>
      <w:color w:val="auto"/>
      <w:sz w:val="20"/>
      <w:szCs w:val="20"/>
      <w:lang w:val="fr-BE" w:eastAsia="fr-BE"/>
    </w:rPr>
  </w:style>
  <w:style w:type="paragraph" w:styleId="TOCHeading">
    <w:name w:val="TOC Heading"/>
    <w:basedOn w:val="Heading1"/>
    <w:next w:val="Normal"/>
    <w:uiPriority w:val="39"/>
    <w:qFormat/>
    <w:rsid w:val="008D3570"/>
    <w:pPr>
      <w:spacing w:before="0" w:after="0" w:line="360" w:lineRule="auto"/>
      <w:outlineLvl w:val="9"/>
    </w:pPr>
    <w:rPr>
      <w:rFonts w:ascii="Cambria" w:eastAsia="Times New Roman" w:hAnsi="Cambria" w:cs="Times New Roman"/>
      <w:bCs/>
      <w:color w:val="365F91"/>
    </w:rPr>
  </w:style>
  <w:style w:type="character" w:customStyle="1" w:styleId="st1">
    <w:name w:val="st1"/>
    <w:basedOn w:val="DefaultParagraphFont"/>
    <w:rsid w:val="008D3570"/>
  </w:style>
  <w:style w:type="paragraph" w:styleId="BalloonText">
    <w:name w:val="Balloon Text"/>
    <w:basedOn w:val="Normal"/>
    <w:link w:val="BalloonTextChar"/>
    <w:uiPriority w:val="99"/>
    <w:semiHidden/>
    <w:unhideWhenUsed/>
    <w:rsid w:val="008D35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570"/>
    <w:rPr>
      <w:rFonts w:ascii="Segoe UI" w:eastAsia="Times New Roman" w:hAnsi="Segoe UI" w:cs="Segoe UI"/>
      <w:color w:val="auto"/>
      <w:sz w:val="18"/>
      <w:szCs w:val="18"/>
      <w:lang w:eastAsia="fr-BE"/>
    </w:rPr>
  </w:style>
  <w:style w:type="table" w:styleId="TableGrid">
    <w:name w:val="Table Grid"/>
    <w:basedOn w:val="TableNormal"/>
    <w:uiPriority w:val="39"/>
    <w:rsid w:val="003D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D1CA3"/>
    <w:pPr>
      <w:spacing w:after="120"/>
    </w:pPr>
    <w:rPr>
      <w:rFonts w:ascii="Arial" w:hAnsi="Arial"/>
      <w:b/>
      <w:bCs/>
      <w:lang w:val="fr-FR"/>
    </w:rPr>
  </w:style>
  <w:style w:type="character" w:customStyle="1" w:styleId="CommentSubjectChar">
    <w:name w:val="Comment Subject Char"/>
    <w:basedOn w:val="CommentTextChar"/>
    <w:link w:val="CommentSubject"/>
    <w:uiPriority w:val="99"/>
    <w:semiHidden/>
    <w:rsid w:val="007D1CA3"/>
    <w:rPr>
      <w:rFonts w:ascii="Calibri" w:eastAsia="Times New Roman" w:hAnsi="Calibri" w:cs="Times New Roman"/>
      <w:b/>
      <w:bCs/>
      <w:color w:val="auto"/>
      <w:sz w:val="20"/>
      <w:szCs w:val="20"/>
      <w:lang w:val="fr-BE" w:eastAsia="fr-BE"/>
    </w:rPr>
  </w:style>
  <w:style w:type="paragraph" w:styleId="Header">
    <w:name w:val="header"/>
    <w:basedOn w:val="Normal"/>
    <w:link w:val="HeaderChar"/>
    <w:uiPriority w:val="99"/>
    <w:unhideWhenUsed/>
    <w:rsid w:val="00EA5E94"/>
    <w:pPr>
      <w:tabs>
        <w:tab w:val="center" w:pos="4513"/>
        <w:tab w:val="right" w:pos="9026"/>
      </w:tabs>
      <w:spacing w:after="0"/>
    </w:pPr>
  </w:style>
  <w:style w:type="character" w:customStyle="1" w:styleId="HeaderChar">
    <w:name w:val="Header Char"/>
    <w:basedOn w:val="DefaultParagraphFont"/>
    <w:link w:val="Header"/>
    <w:uiPriority w:val="99"/>
    <w:rsid w:val="00EA5E94"/>
    <w:rPr>
      <w:rFonts w:eastAsia="Times New Roman"/>
      <w:color w:val="auto"/>
      <w:sz w:val="22"/>
      <w:szCs w:val="22"/>
      <w:lang w:eastAsia="fr-BE"/>
    </w:rPr>
  </w:style>
  <w:style w:type="paragraph" w:styleId="FootnoteText">
    <w:name w:val="footnote text"/>
    <w:basedOn w:val="Normal"/>
    <w:link w:val="FootnoteTextChar"/>
    <w:uiPriority w:val="99"/>
    <w:semiHidden/>
    <w:unhideWhenUsed/>
    <w:rsid w:val="00AF6EB6"/>
    <w:pPr>
      <w:spacing w:after="0"/>
    </w:pPr>
    <w:rPr>
      <w:sz w:val="20"/>
      <w:szCs w:val="20"/>
    </w:rPr>
  </w:style>
  <w:style w:type="character" w:customStyle="1" w:styleId="FootnoteTextChar">
    <w:name w:val="Footnote Text Char"/>
    <w:basedOn w:val="DefaultParagraphFont"/>
    <w:link w:val="FootnoteText"/>
    <w:uiPriority w:val="99"/>
    <w:semiHidden/>
    <w:rsid w:val="00AF6EB6"/>
    <w:rPr>
      <w:rFonts w:eastAsia="Times New Roman"/>
      <w:color w:val="auto"/>
      <w:sz w:val="20"/>
      <w:szCs w:val="20"/>
      <w:lang w:eastAsia="fr-BE"/>
    </w:rPr>
  </w:style>
  <w:style w:type="character" w:styleId="FootnoteReference">
    <w:name w:val="footnote reference"/>
    <w:basedOn w:val="DefaultParagraphFont"/>
    <w:uiPriority w:val="99"/>
    <w:semiHidden/>
    <w:unhideWhenUsed/>
    <w:rsid w:val="00AF6EB6"/>
    <w:rPr>
      <w:vertAlign w:val="superscript"/>
    </w:rPr>
  </w:style>
  <w:style w:type="character" w:customStyle="1" w:styleId="Mention1">
    <w:name w:val="Mention1"/>
    <w:basedOn w:val="DefaultParagraphFont"/>
    <w:uiPriority w:val="99"/>
    <w:semiHidden/>
    <w:unhideWhenUsed/>
    <w:rsid w:val="00976DFD"/>
    <w:rPr>
      <w:color w:val="2B579A"/>
      <w:shd w:val="clear" w:color="auto" w:fill="E6E6E6"/>
    </w:rPr>
  </w:style>
  <w:style w:type="character" w:styleId="Emphasis">
    <w:name w:val="Emphasis"/>
    <w:basedOn w:val="DefaultParagraphFont"/>
    <w:uiPriority w:val="20"/>
    <w:qFormat/>
    <w:rsid w:val="003C0A16"/>
    <w:rPr>
      <w:i/>
      <w:iCs/>
    </w:rPr>
  </w:style>
  <w:style w:type="character" w:customStyle="1" w:styleId="ListParagraphChar">
    <w:name w:val="List Paragraph Char"/>
    <w:aliases w:val="Lapis Bulleted List Char,List Paragraph (numbered (a)) Char,List Paragraph1 Char,WB Para Char"/>
    <w:link w:val="ListParagraph"/>
    <w:uiPriority w:val="34"/>
    <w:rsid w:val="003C0A16"/>
    <w:rPr>
      <w:rFonts w:eastAsia="Times New Roman"/>
      <w:color w:val="auto"/>
      <w:sz w:val="22"/>
      <w:szCs w:val="22"/>
      <w:lang w:eastAsia="fr-FR"/>
    </w:rPr>
  </w:style>
  <w:style w:type="character" w:styleId="UnresolvedMention">
    <w:name w:val="Unresolved Mention"/>
    <w:basedOn w:val="DefaultParagraphFont"/>
    <w:uiPriority w:val="99"/>
    <w:semiHidden/>
    <w:unhideWhenUsed/>
    <w:rsid w:val="004D37B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ree.gov.dz/wp-content/uploads/2016/10/F2008053.pdf" TargetMode="External"/><Relationship Id="rId13" Type="http://schemas.openxmlformats.org/officeDocument/2006/relationships/hyperlink" Target="http://www.unicef.org/about/employ/files/P11.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1.docx"/><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vitaminedz.com/articlesfiche/1294/129467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F643F-F00B-4B26-AAE9-5DCFC68E6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2612</Words>
  <Characters>14893</Characters>
  <Application>Microsoft Office Word</Application>
  <DocSecurity>0</DocSecurity>
  <Lines>124</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UNICEF</Company>
  <LinksUpToDate>false</LinksUpToDate>
  <CharactersWithSpaces>17471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 Peduto</dc:creator>
  <cp:lastModifiedBy>Ilyes Kessal</cp:lastModifiedBy>
  <cp:revision>3</cp:revision>
  <cp:lastPrinted>2018-11-28T09:22:00Z</cp:lastPrinted>
  <dcterms:created xsi:type="dcterms:W3CDTF">2018-11-28T12:53:00Z</dcterms:created>
  <dcterms:modified xsi:type="dcterms:W3CDTF">2018-12-05T10:42:00Z</dcterms:modified>
</cp:coreProperties>
</file>