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E35716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III</w:t>
      </w: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proofErr w:type="gramStart"/>
      <w:r>
        <w:rPr>
          <w:rFonts w:ascii="Arial" w:hAnsi="Arial" w:cs="Arial"/>
          <w:caps/>
          <w:color w:val="000000"/>
          <w:sz w:val="20"/>
          <w:lang w:val="fr-FR"/>
        </w:rPr>
        <w:t>BORDEREAU  DE</w:t>
      </w:r>
      <w:proofErr w:type="gramEnd"/>
      <w:r>
        <w:rPr>
          <w:rFonts w:ascii="Arial" w:hAnsi="Arial" w:cs="Arial"/>
          <w:caps/>
          <w:color w:val="000000"/>
          <w:sz w:val="20"/>
          <w:lang w:val="fr-FR"/>
        </w:rPr>
        <w:t xml:space="preserve"> DEVIS DESCRIPTIF ET QUANTITATIF</w:t>
      </w:r>
    </w:p>
    <w:p w:rsidR="00CA760D" w:rsidRPr="00CA760D" w:rsidRDefault="00CA760D" w:rsidP="00CA760D">
      <w:pPr>
        <w:jc w:val="center"/>
        <w:rPr>
          <w:rFonts w:ascii="Rockwell" w:hAnsi="Rockwell" w:cs="Calibri"/>
          <w:b/>
          <w:bCs/>
          <w:color w:val="000000"/>
          <w:lang w:val="fr-FR"/>
        </w:rPr>
      </w:pPr>
      <w:r w:rsidRPr="00CA760D">
        <w:rPr>
          <w:rFonts w:ascii="Rockwell" w:hAnsi="Rockwell" w:cs="Calibri"/>
          <w:b/>
          <w:bCs/>
          <w:color w:val="000000"/>
          <w:lang w:val="fr-FR"/>
        </w:rPr>
        <w:t xml:space="preserve">LOT 4 : </w:t>
      </w:r>
      <w:proofErr w:type="gramStart"/>
      <w:r w:rsidRPr="00CA760D">
        <w:rPr>
          <w:rFonts w:ascii="Rockwell" w:hAnsi="Rockwell" w:cs="Calibri"/>
          <w:b/>
          <w:bCs/>
          <w:color w:val="000000"/>
          <w:lang w:val="fr-FR"/>
        </w:rPr>
        <w:t>AXE  BULAMBIKA</w:t>
      </w:r>
      <w:proofErr w:type="gramEnd"/>
      <w:r w:rsidRPr="00CA760D">
        <w:rPr>
          <w:rFonts w:ascii="Rockwell" w:hAnsi="Rockwell" w:cs="Calibri"/>
          <w:b/>
          <w:bCs/>
          <w:color w:val="000000"/>
          <w:lang w:val="fr-FR"/>
        </w:rPr>
        <w:t xml:space="preserve"> – KARASI- CIGOMA  (12,00 km) : 4 tronçons</w:t>
      </w:r>
    </w:p>
    <w:p w:rsidR="00CA760D" w:rsidRDefault="00CA760D" w:rsidP="00CA760D">
      <w:pPr>
        <w:jc w:val="center"/>
        <w:rPr>
          <w:rFonts w:ascii="Rockwell" w:hAnsi="Rockwell" w:cs="Calibri"/>
          <w:b/>
          <w:bCs/>
          <w:color w:val="000000"/>
          <w:lang w:val="fr-FR"/>
        </w:rPr>
      </w:pPr>
      <w:r>
        <w:rPr>
          <w:rFonts w:ascii="Rockwell" w:hAnsi="Rockwell" w:cs="Calibri"/>
          <w:b/>
          <w:bCs/>
          <w:color w:val="000000"/>
          <w:lang w:val="fr-FR"/>
        </w:rPr>
        <w:t>AXE MAYIBANO – KARASHI (3,50 km) : 1 tronçon</w:t>
      </w:r>
      <w:bookmarkStart w:id="0" w:name="_GoBack"/>
      <w:bookmarkEnd w:id="0"/>
    </w:p>
    <w:p w:rsidR="00CA760D" w:rsidRPr="00CA760D" w:rsidRDefault="00CA760D" w:rsidP="00CA760D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</w:p>
    <w:p w:rsidR="006F6545" w:rsidRPr="0093056C" w:rsidRDefault="006F6545" w:rsidP="006F6545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fr-FR"/>
        </w:rPr>
      </w:pPr>
    </w:p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Montant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Réprofilage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augmentée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matériaux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profilage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b w:val="0"/>
          <w:bCs/>
          <w:u w:val="single"/>
          <w:lang w:val="fr-BE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 ET ESTIMATIF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 w:val="0"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tbl>
      <w:tblPr>
        <w:tblW w:w="2240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3"/>
      </w:tblGrid>
      <w:tr w:rsidR="006D2963" w:rsidRPr="00E35716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5716" w:rsidRDefault="00E35716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E35716" w:rsidRPr="00CA760D" w:rsidRDefault="00E35716" w:rsidP="00E35716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LOT 4 : </w:t>
            </w:r>
            <w:proofErr w:type="gramStart"/>
            <w:r w:rsidRP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>AXE  BULAMBIKA</w:t>
            </w:r>
            <w:proofErr w:type="gramEnd"/>
            <w:r w:rsidRP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– KARASI- CIGOMA </w:t>
            </w:r>
            <w:r w:rsidR="00CA760D" w:rsidRP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(12,00 km) : 4 tronçons</w:t>
            </w:r>
          </w:p>
          <w:p w:rsidR="00E35716" w:rsidRDefault="00E35716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              </w:t>
            </w: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AXE MAYIBANO – KARASHI </w:t>
            </w:r>
            <w:r w:rsidR="00CA760D">
              <w:rPr>
                <w:rFonts w:ascii="Rockwell" w:hAnsi="Rockwell" w:cs="Calibri"/>
                <w:b/>
                <w:bCs/>
                <w:color w:val="000000"/>
                <w:lang w:val="fr-FR"/>
              </w:rPr>
              <w:t>(3,50 km) : 1 tronçon</w:t>
            </w:r>
          </w:p>
          <w:p w:rsidR="00E35716" w:rsidRDefault="00E35716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Pr="000947CB" w:rsidRDefault="00853E4D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1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</w:t>
            </w: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Bulambika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–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karasi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-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Cigoma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 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r w:rsidR="006D2963" w:rsidRPr="00853E4D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12+500 AU PK 15+500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E35716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E35716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E35716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E35716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853E4D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D2963"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E35716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Default="006D2963" w:rsidP="00853E4D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0947CB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853E4D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2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</w:t>
            </w: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Bulambika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–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karasi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-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Cigoma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 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r w:rsidR="006D2963" w:rsidRPr="00853E4D">
              <w:rPr>
                <w:rFonts w:ascii="Rockwell" w:hAnsi="Rockwell" w:cs="Calibri"/>
                <w:b/>
                <w:u w:val="single"/>
                <w:lang w:val="fr-FR"/>
              </w:rPr>
              <w:t>DE PK 15+500 AU PK 18+500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853E4D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D2963"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Default="006D2963" w:rsidP="00E35716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0947CB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853E4D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3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 </w:t>
            </w: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Bulambika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–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karasi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-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Cigoma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 </w:t>
            </w:r>
            <w:r>
              <w:rPr>
                <w:rFonts w:ascii="Rockwell" w:hAnsi="Rockwell" w:cs="Calibri"/>
                <w:b/>
                <w:bCs/>
                <w:color w:val="000000"/>
                <w:highlight w:val="yellow"/>
                <w:lang w:val="fr-FR"/>
              </w:rPr>
              <w:t xml:space="preserve"> </w:t>
            </w:r>
            <w:r w:rsidR="006D2963" w:rsidRPr="00853E4D">
              <w:rPr>
                <w:rFonts w:ascii="Rockwell" w:hAnsi="Rockwell" w:cs="Calibri"/>
                <w:b/>
                <w:u w:val="single"/>
                <w:lang w:val="fr-FR"/>
              </w:rPr>
              <w:t>DE PK 18+500 AU PK 21+500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853E4D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D2963"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D2963" w:rsidRDefault="006D2963" w:rsidP="00F74907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E35716" w:rsidRDefault="00E35716" w:rsidP="00F74907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E35716" w:rsidRDefault="00E35716" w:rsidP="00F74907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E35716" w:rsidRDefault="00E35716" w:rsidP="00F74907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  <w:tr w:rsidR="006D2963" w:rsidRPr="000947CB" w:rsidTr="00E35716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853E4D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lastRenderedPageBreak/>
              <w:t>TRONCON 4</w:t>
            </w:r>
            <w:r w:rsidR="006D2963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Bulambika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– </w:t>
            </w:r>
            <w:proofErr w:type="spellStart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>karasi</w:t>
            </w:r>
            <w:proofErr w:type="spellEnd"/>
            <w:r w:rsidRPr="006D2963">
              <w:rPr>
                <w:rFonts w:ascii="Rockwell" w:hAnsi="Rockwell" w:cs="Calibri"/>
                <w:b/>
                <w:u w:val="single"/>
                <w:lang w:val="fr-FR"/>
              </w:rPr>
              <w:t xml:space="preserve"> - </w:t>
            </w:r>
            <w:proofErr w:type="spellStart"/>
            <w:r w:rsidRPr="00853E4D">
              <w:rPr>
                <w:rFonts w:ascii="Rockwell" w:hAnsi="Rockwell" w:cs="Calibri"/>
                <w:b/>
                <w:u w:val="single"/>
                <w:lang w:val="fr-FR"/>
              </w:rPr>
              <w:t>Cigoma</w:t>
            </w:r>
            <w:proofErr w:type="spellEnd"/>
            <w:r w:rsidRPr="00853E4D">
              <w:rPr>
                <w:rFonts w:ascii="Rockwell" w:hAnsi="Rockwell" w:cs="Calibri"/>
                <w:b/>
                <w:u w:val="single"/>
                <w:lang w:val="fr-FR"/>
              </w:rPr>
              <w:t xml:space="preserve">  </w:t>
            </w:r>
            <w:r w:rsidRPr="00853E4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</w:t>
            </w:r>
            <w:r w:rsidR="006D2963" w:rsidRPr="00853E4D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21+500 AU PK 24+500 SOIT 3,00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3,00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853E4D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D2963"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D2963" w:rsidRPr="00153D6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153D6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D2963" w:rsidRPr="00153D64" w:rsidRDefault="006D2963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</w:tr>
    </w:tbl>
    <w:p w:rsidR="00E35716" w:rsidRDefault="00E35716"/>
    <w:p w:rsidR="00E35716" w:rsidRDefault="00E35716"/>
    <w:tbl>
      <w:tblPr>
        <w:tblW w:w="221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6265"/>
        <w:gridCol w:w="1858"/>
        <w:gridCol w:w="825"/>
        <w:gridCol w:w="1182"/>
        <w:gridCol w:w="1335"/>
        <w:gridCol w:w="2268"/>
      </w:tblGrid>
      <w:tr w:rsidR="00E35716" w:rsidRPr="00E35716" w:rsidTr="00C96411">
        <w:trPr>
          <w:trHeight w:val="300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0947CB" w:rsidRDefault="00E35716" w:rsidP="00C96411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TRONCON 5 : </w:t>
            </w:r>
            <w:r w:rsidRPr="00853E4D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Axe Routier bifurcation MAIBANO-KARASI </w:t>
            </w:r>
            <w:r w:rsidRPr="00F25E52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3+500 AU PK 7+000 SOIT 3,500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E35716" w:rsidRPr="00E35716" w:rsidTr="00C96411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E35716" w:rsidRPr="00E35716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</w:pPr>
                  <w:r w:rsidRPr="00E3571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CD" w:eastAsia="fr-FR"/>
                    </w:rPr>
                    <w:t>PT EN USD</w:t>
                  </w:r>
                </w:p>
              </w:tc>
            </w:tr>
            <w:tr w:rsidR="00E35716" w:rsidRPr="00E35716" w:rsidTr="00C96411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Poste 400 Réhabilitation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E35716" w:rsidRPr="00E35716" w:rsidTr="00C96411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E35716" w:rsidRPr="00E35716" w:rsidTr="00C96411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E35716" w:rsidRPr="00E35716" w:rsidTr="00C96411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853E4D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E35716" w:rsidRPr="00853E4D" w:rsidRDefault="00E35716" w:rsidP="00C96411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716" w:rsidRPr="00853E4D" w:rsidRDefault="00E35716" w:rsidP="00C96411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</w:tr>
    </w:tbl>
    <w:p w:rsidR="00E35716" w:rsidRPr="00853E4D" w:rsidRDefault="00E35716" w:rsidP="00E35716">
      <w:pPr>
        <w:rPr>
          <w:rFonts w:ascii="Rockwell" w:hAnsi="Rockwell" w:cs="Calibri"/>
          <w:b/>
          <w:lang w:val="fr-FR"/>
        </w:rPr>
      </w:pPr>
    </w:p>
    <w:p w:rsidR="00E35716" w:rsidRPr="00DE2D75" w:rsidRDefault="00E35716" w:rsidP="00E35716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>NOUS DISONS DOLLARS AMERICAINS………………………………………………</w:t>
      </w:r>
    </w:p>
    <w:p w:rsidR="00E35716" w:rsidRPr="00DE2D75" w:rsidRDefault="00E35716" w:rsidP="00E35716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E35716" w:rsidRDefault="00E35716" w:rsidP="00E35716">
      <w:pPr>
        <w:ind w:left="2127" w:hanging="2127"/>
      </w:pPr>
      <w:r w:rsidRPr="00DE2D75">
        <w:rPr>
          <w:b/>
          <w:sz w:val="20"/>
          <w:szCs w:val="20"/>
          <w:lang w:val="fr-FR"/>
        </w:rPr>
        <w:t>(Nom, signature et cachet)</w:t>
      </w:r>
    </w:p>
    <w:sectPr w:rsidR="00E35716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CA760D">
            <w:rPr>
              <w:rFonts w:cs="Arial"/>
              <w:b/>
              <w:noProof/>
              <w:sz w:val="18"/>
              <w:szCs w:val="18"/>
            </w:rPr>
            <w:t>6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A99BC4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1A2FF4"/>
    <w:rsid w:val="00210B9C"/>
    <w:rsid w:val="003A2E7A"/>
    <w:rsid w:val="00451230"/>
    <w:rsid w:val="004D4A06"/>
    <w:rsid w:val="004E7501"/>
    <w:rsid w:val="0064082D"/>
    <w:rsid w:val="006968D4"/>
    <w:rsid w:val="006C22DB"/>
    <w:rsid w:val="006D2963"/>
    <w:rsid w:val="006F6545"/>
    <w:rsid w:val="007265CC"/>
    <w:rsid w:val="007974A8"/>
    <w:rsid w:val="00853E4D"/>
    <w:rsid w:val="00930162"/>
    <w:rsid w:val="00987B1F"/>
    <w:rsid w:val="009F6E01"/>
    <w:rsid w:val="00A86FC4"/>
    <w:rsid w:val="00C81891"/>
    <w:rsid w:val="00CA760D"/>
    <w:rsid w:val="00CF12C8"/>
    <w:rsid w:val="00D41DD1"/>
    <w:rsid w:val="00E01018"/>
    <w:rsid w:val="00E23836"/>
    <w:rsid w:val="00E35716"/>
    <w:rsid w:val="00ED0F88"/>
    <w:rsid w:val="00F25E52"/>
    <w:rsid w:val="00F7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BE9F"/>
  <w15:docId w15:val="{12C40852-EED6-4194-9E0D-F35B2B84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1545</Words>
  <Characters>8501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4</cp:revision>
  <dcterms:created xsi:type="dcterms:W3CDTF">2019-02-13T15:04:00Z</dcterms:created>
  <dcterms:modified xsi:type="dcterms:W3CDTF">2019-02-14T09:00:00Z</dcterms:modified>
</cp:coreProperties>
</file>