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D9B" w:rsidRDefault="004345F1" w:rsidP="00C27FB8">
      <w:pPr>
        <w:jc w:val="center"/>
        <w:rPr>
          <w:b/>
          <w:bCs/>
          <w:color w:val="auto"/>
          <w:sz w:val="32"/>
          <w:szCs w:val="22"/>
          <w:u w:val="single"/>
          <w:lang w:val="en-US"/>
        </w:rPr>
      </w:pPr>
      <w:r w:rsidRPr="004345F1">
        <w:rPr>
          <w:b/>
          <w:bCs/>
          <w:color w:val="auto"/>
          <w:sz w:val="32"/>
          <w:szCs w:val="22"/>
          <w:u w:val="single"/>
          <w:lang w:val="en-US"/>
        </w:rPr>
        <w:t xml:space="preserve">ASSESSMENT OF </w:t>
      </w:r>
      <w:r w:rsidR="00087D9B">
        <w:rPr>
          <w:b/>
          <w:bCs/>
          <w:color w:val="auto"/>
          <w:sz w:val="32"/>
          <w:szCs w:val="22"/>
          <w:u w:val="single"/>
          <w:lang w:val="en-US"/>
        </w:rPr>
        <w:t>MALE LATEX CONDOM</w:t>
      </w:r>
    </w:p>
    <w:p w:rsidR="004345F1" w:rsidRPr="004345F1" w:rsidRDefault="004345F1" w:rsidP="004345F1">
      <w:pPr>
        <w:jc w:val="center"/>
        <w:rPr>
          <w:sz w:val="40"/>
          <w:u w:val="single"/>
          <w:lang w:val="en-GB"/>
        </w:rPr>
      </w:pPr>
      <w:r w:rsidRPr="004345F1">
        <w:rPr>
          <w:b/>
          <w:bCs/>
          <w:color w:val="auto"/>
          <w:sz w:val="32"/>
          <w:szCs w:val="22"/>
          <w:u w:val="single"/>
          <w:lang w:val="en-US"/>
        </w:rPr>
        <w:t>PRE-QUALIFICATION APPLICATION</w:t>
      </w:r>
    </w:p>
    <w:p w:rsidR="004345F1" w:rsidRDefault="004345F1">
      <w:pPr>
        <w:rPr>
          <w:sz w:val="24"/>
          <w:lang w:val="en-GB"/>
        </w:rPr>
      </w:pPr>
    </w:p>
    <w:p w:rsidR="000A65C0" w:rsidRPr="004345F1" w:rsidRDefault="00B92E16">
      <w:pPr>
        <w:rPr>
          <w:sz w:val="24"/>
          <w:lang w:val="en-GB"/>
        </w:rPr>
      </w:pPr>
      <w:r>
        <w:rPr>
          <w:b/>
          <w:sz w:val="24"/>
          <w:lang w:val="en-GB"/>
        </w:rPr>
        <w:t>Manufacturer’s</w:t>
      </w:r>
      <w:r w:rsidR="004345F1" w:rsidRPr="004345F1">
        <w:rPr>
          <w:b/>
          <w:sz w:val="24"/>
          <w:lang w:val="en-GB"/>
        </w:rPr>
        <w:t xml:space="preserve"> Name &amp; Address</w:t>
      </w:r>
      <w:r w:rsidR="004345F1" w:rsidRPr="004345F1">
        <w:rPr>
          <w:sz w:val="24"/>
          <w:lang w:val="en-GB"/>
        </w:rPr>
        <w:t>:</w:t>
      </w:r>
    </w:p>
    <w:p w:rsidR="004345F1" w:rsidRPr="004345F1" w:rsidRDefault="004345F1">
      <w:pPr>
        <w:rPr>
          <w:sz w:val="24"/>
          <w:lang w:val="en-GB"/>
        </w:rPr>
      </w:pPr>
      <w:r w:rsidRPr="004345F1">
        <w:rPr>
          <w:b/>
          <w:sz w:val="24"/>
          <w:lang w:val="en-GB"/>
        </w:rPr>
        <w:t>Date</w:t>
      </w:r>
      <w:r w:rsidRPr="004345F1">
        <w:rPr>
          <w:sz w:val="24"/>
          <w:lang w:val="en-GB"/>
        </w:rPr>
        <w:t xml:space="preserve">: </w:t>
      </w:r>
    </w:p>
    <w:p w:rsidR="004345F1" w:rsidRDefault="004345F1">
      <w:pPr>
        <w:rPr>
          <w:lang w:val="en-GB"/>
        </w:rPr>
      </w:pPr>
      <w:bookmarkStart w:id="0" w:name="_GoBack"/>
      <w:bookmarkEnd w:id="0"/>
    </w:p>
    <w:tbl>
      <w:tblPr>
        <w:tblStyle w:val="TableGrid"/>
        <w:tblW w:w="13671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1530"/>
        <w:gridCol w:w="2520"/>
        <w:gridCol w:w="2950"/>
        <w:gridCol w:w="1285"/>
        <w:gridCol w:w="5386"/>
      </w:tblGrid>
      <w:tr w:rsidR="004345F1" w:rsidRPr="00861029" w:rsidTr="00C27FB8">
        <w:trPr>
          <w:tblHeader/>
        </w:trPr>
        <w:tc>
          <w:tcPr>
            <w:tcW w:w="1530" w:type="dxa"/>
          </w:tcPr>
          <w:p w:rsidR="004345F1" w:rsidRPr="00861029" w:rsidRDefault="004345F1" w:rsidP="00A43458">
            <w:pPr>
              <w:jc w:val="center"/>
              <w:rPr>
                <w:b/>
                <w:sz w:val="22"/>
                <w:lang w:val="en-GB"/>
              </w:rPr>
            </w:pPr>
            <w:r w:rsidRPr="00861029">
              <w:rPr>
                <w:b/>
                <w:sz w:val="22"/>
                <w:lang w:val="en-GB"/>
              </w:rPr>
              <w:t>Documents</w:t>
            </w:r>
          </w:p>
        </w:tc>
        <w:tc>
          <w:tcPr>
            <w:tcW w:w="5470" w:type="dxa"/>
            <w:gridSpan w:val="2"/>
          </w:tcPr>
          <w:p w:rsidR="004345F1" w:rsidRPr="00861029" w:rsidRDefault="004345F1" w:rsidP="00A43458">
            <w:pPr>
              <w:jc w:val="center"/>
              <w:rPr>
                <w:b/>
                <w:sz w:val="22"/>
                <w:lang w:val="en-GB"/>
              </w:rPr>
            </w:pPr>
            <w:r w:rsidRPr="00861029">
              <w:rPr>
                <w:b/>
                <w:sz w:val="22"/>
                <w:lang w:val="en-GB"/>
              </w:rPr>
              <w:t>Information required in the WHO /UNFPA Guidelines, 2010</w:t>
            </w:r>
            <w:r w:rsidR="005A6CF7">
              <w:rPr>
                <w:rStyle w:val="EndnoteReference"/>
                <w:b/>
                <w:sz w:val="22"/>
                <w:lang w:val="en-GB"/>
              </w:rPr>
              <w:endnoteReference w:id="1"/>
            </w:r>
            <w:r w:rsidRPr="00861029">
              <w:rPr>
                <w:b/>
                <w:sz w:val="22"/>
                <w:lang w:val="en-GB"/>
              </w:rPr>
              <w:t xml:space="preserve">  </w:t>
            </w:r>
          </w:p>
        </w:tc>
        <w:tc>
          <w:tcPr>
            <w:tcW w:w="1285" w:type="dxa"/>
          </w:tcPr>
          <w:p w:rsidR="005A6CF7" w:rsidRDefault="005A6CF7" w:rsidP="004345F1">
            <w:pPr>
              <w:jc w:val="center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Accepted/</w:t>
            </w:r>
          </w:p>
          <w:p w:rsidR="004345F1" w:rsidRPr="00861029" w:rsidRDefault="005A6CF7" w:rsidP="004345F1">
            <w:pPr>
              <w:jc w:val="center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Not Accepted</w:t>
            </w:r>
          </w:p>
        </w:tc>
        <w:tc>
          <w:tcPr>
            <w:tcW w:w="5386" w:type="dxa"/>
          </w:tcPr>
          <w:p w:rsidR="004345F1" w:rsidRPr="00861029" w:rsidRDefault="004345F1" w:rsidP="00A43458">
            <w:pPr>
              <w:jc w:val="center"/>
              <w:rPr>
                <w:b/>
                <w:sz w:val="22"/>
                <w:lang w:val="en-GB"/>
              </w:rPr>
            </w:pPr>
            <w:r w:rsidRPr="00861029">
              <w:rPr>
                <w:b/>
                <w:sz w:val="22"/>
                <w:lang w:val="en-GB"/>
              </w:rPr>
              <w:t>Comments</w:t>
            </w:r>
          </w:p>
        </w:tc>
      </w:tr>
      <w:tr w:rsidR="004345F1" w:rsidRPr="00861029" w:rsidTr="005A6CF7">
        <w:tc>
          <w:tcPr>
            <w:tcW w:w="1530" w:type="dxa"/>
            <w:vMerge w:val="restart"/>
          </w:tcPr>
          <w:p w:rsidR="004345F1" w:rsidRPr="004345F1" w:rsidRDefault="004345F1" w:rsidP="00A43458">
            <w:pPr>
              <w:rPr>
                <w:i/>
                <w:sz w:val="22"/>
                <w:lang w:val="en-GB"/>
              </w:rPr>
            </w:pPr>
            <w:r w:rsidRPr="004345F1">
              <w:rPr>
                <w:i/>
                <w:sz w:val="22"/>
                <w:lang w:val="en-GB"/>
              </w:rPr>
              <w:t>1.Expression of interest</w:t>
            </w:r>
          </w:p>
        </w:tc>
        <w:tc>
          <w:tcPr>
            <w:tcW w:w="2520" w:type="dxa"/>
          </w:tcPr>
          <w:p w:rsidR="004345F1" w:rsidRPr="00861029" w:rsidRDefault="004345F1" w:rsidP="00A43458">
            <w:pPr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1.1 </w:t>
            </w:r>
            <w:r w:rsidRPr="00861029">
              <w:rPr>
                <w:sz w:val="22"/>
                <w:lang w:val="en-GB"/>
              </w:rPr>
              <w:t>Cover Letter</w:t>
            </w:r>
          </w:p>
        </w:tc>
        <w:tc>
          <w:tcPr>
            <w:tcW w:w="2950" w:type="dxa"/>
          </w:tcPr>
          <w:p w:rsidR="004345F1" w:rsidRPr="00861029" w:rsidRDefault="004345F1" w:rsidP="00A43458">
            <w:pPr>
              <w:rPr>
                <w:sz w:val="22"/>
                <w:lang w:val="en-GB"/>
              </w:rPr>
            </w:pPr>
          </w:p>
        </w:tc>
        <w:tc>
          <w:tcPr>
            <w:tcW w:w="1285" w:type="dxa"/>
            <w:shd w:val="clear" w:color="auto" w:fill="auto"/>
          </w:tcPr>
          <w:p w:rsidR="004345F1" w:rsidRPr="00861029" w:rsidRDefault="004345F1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4345F1" w:rsidRPr="00861029" w:rsidRDefault="004345F1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4345F1" w:rsidRPr="00861029" w:rsidTr="005A6CF7">
        <w:tc>
          <w:tcPr>
            <w:tcW w:w="1530" w:type="dxa"/>
            <w:vMerge/>
          </w:tcPr>
          <w:p w:rsidR="004345F1" w:rsidRPr="00861029" w:rsidRDefault="004345F1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</w:tcPr>
          <w:p w:rsidR="004345F1" w:rsidRPr="00861029" w:rsidRDefault="004345F1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1.2 </w:t>
            </w:r>
            <w:r w:rsidRPr="00861029">
              <w:rPr>
                <w:sz w:val="22"/>
                <w:lang w:val="en-GB"/>
              </w:rPr>
              <w:t xml:space="preserve">Documents in English </w:t>
            </w:r>
          </w:p>
        </w:tc>
        <w:tc>
          <w:tcPr>
            <w:tcW w:w="2950" w:type="dxa"/>
          </w:tcPr>
          <w:p w:rsidR="004345F1" w:rsidRPr="00861029" w:rsidRDefault="004345F1" w:rsidP="00A43458">
            <w:pPr>
              <w:rPr>
                <w:sz w:val="22"/>
                <w:lang w:val="en-GB"/>
              </w:rPr>
            </w:pPr>
          </w:p>
        </w:tc>
        <w:tc>
          <w:tcPr>
            <w:tcW w:w="1285" w:type="dxa"/>
            <w:shd w:val="clear" w:color="auto" w:fill="auto"/>
          </w:tcPr>
          <w:p w:rsidR="004345F1" w:rsidRPr="00861029" w:rsidRDefault="004345F1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4345F1" w:rsidRPr="00861029" w:rsidRDefault="004345F1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332E69" w:rsidRPr="00861029" w:rsidTr="005A6CF7">
        <w:tc>
          <w:tcPr>
            <w:tcW w:w="1530" w:type="dxa"/>
            <w:vMerge w:val="restart"/>
          </w:tcPr>
          <w:p w:rsidR="00332E69" w:rsidRPr="004345F1" w:rsidRDefault="00332E69" w:rsidP="00A43458">
            <w:pPr>
              <w:rPr>
                <w:i/>
                <w:sz w:val="22"/>
                <w:lang w:val="en-GB"/>
              </w:rPr>
            </w:pPr>
            <w:r w:rsidRPr="004345F1">
              <w:rPr>
                <w:i/>
                <w:sz w:val="22"/>
                <w:lang w:val="en-GB"/>
              </w:rPr>
              <w:t>2.Product Dossier</w:t>
            </w:r>
          </w:p>
          <w:p w:rsidR="00332E69" w:rsidRPr="004345F1" w:rsidRDefault="00332E69" w:rsidP="00A43458">
            <w:pPr>
              <w:rPr>
                <w:i/>
                <w:sz w:val="22"/>
                <w:lang w:val="en-GB"/>
              </w:rPr>
            </w:pPr>
            <w:r w:rsidRPr="00861029">
              <w:rPr>
                <w:lang w:val="en-GB"/>
              </w:rPr>
              <w:br w:type="page"/>
            </w:r>
          </w:p>
        </w:tc>
        <w:tc>
          <w:tcPr>
            <w:tcW w:w="2520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2.0 Table of Contents </w:t>
            </w:r>
          </w:p>
        </w:tc>
        <w:tc>
          <w:tcPr>
            <w:tcW w:w="2950" w:type="dxa"/>
          </w:tcPr>
          <w:p w:rsidR="00332E6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332E69" w:rsidRPr="00861029" w:rsidTr="005A6CF7">
        <w:tc>
          <w:tcPr>
            <w:tcW w:w="1530" w:type="dxa"/>
            <w:vMerge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2.1 Product characteristics</w:t>
            </w:r>
          </w:p>
        </w:tc>
        <w:tc>
          <w:tcPr>
            <w:tcW w:w="2950" w:type="dxa"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Widths, thickness range, lengths, shapes, textures, lubricants, flavours, finishing powders, colours, ancillary components, other</w:t>
            </w: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332E69" w:rsidRPr="00861029" w:rsidTr="005A6CF7">
        <w:tc>
          <w:tcPr>
            <w:tcW w:w="1530" w:type="dxa"/>
            <w:vMerge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</w:tcPr>
          <w:p w:rsidR="00332E69" w:rsidRPr="00861029" w:rsidRDefault="00332E69" w:rsidP="0091785A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2.</w:t>
            </w:r>
            <w:r w:rsidR="0091785A">
              <w:rPr>
                <w:sz w:val="22"/>
                <w:lang w:val="en-GB"/>
              </w:rPr>
              <w:t>2</w:t>
            </w:r>
            <w:r w:rsidRPr="00861029">
              <w:rPr>
                <w:sz w:val="22"/>
                <w:lang w:val="en-GB"/>
              </w:rPr>
              <w:t xml:space="preserve"> Regulatory approvals</w:t>
            </w:r>
          </w:p>
        </w:tc>
        <w:tc>
          <w:tcPr>
            <w:tcW w:w="2950" w:type="dxa"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Local, country, regional, regulatory</w:t>
            </w: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332E69" w:rsidRPr="00861029" w:rsidTr="005A6CF7">
        <w:tc>
          <w:tcPr>
            <w:tcW w:w="1530" w:type="dxa"/>
            <w:vMerge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</w:tcPr>
          <w:p w:rsidR="00332E69" w:rsidRPr="00861029" w:rsidRDefault="0091785A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2.3</w:t>
            </w:r>
            <w:r w:rsidR="00332E69" w:rsidRPr="00861029">
              <w:rPr>
                <w:sz w:val="22"/>
                <w:lang w:val="en-GB"/>
              </w:rPr>
              <w:t xml:space="preserve"> Raw materials</w:t>
            </w:r>
          </w:p>
        </w:tc>
        <w:tc>
          <w:tcPr>
            <w:tcW w:w="2950" w:type="dxa"/>
          </w:tcPr>
          <w:p w:rsidR="00332E69" w:rsidRDefault="00332E69" w:rsidP="00A43458">
            <w:pPr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All listed</w:t>
            </w:r>
          </w:p>
          <w:p w:rsidR="00332E69" w:rsidRPr="00861029" w:rsidRDefault="00332E69" w:rsidP="00A43458">
            <w:pPr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Chemical brand, name &amp; function</w:t>
            </w: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332E69" w:rsidRPr="00861029" w:rsidTr="005A6CF7">
        <w:tc>
          <w:tcPr>
            <w:tcW w:w="1530" w:type="dxa"/>
            <w:vMerge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 w:val="restart"/>
          </w:tcPr>
          <w:p w:rsidR="00332E69" w:rsidRPr="00861029" w:rsidRDefault="00332E69" w:rsidP="0091785A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2.</w:t>
            </w:r>
            <w:r w:rsidR="0091785A">
              <w:rPr>
                <w:sz w:val="22"/>
                <w:lang w:val="en-GB"/>
              </w:rPr>
              <w:t>4</w:t>
            </w:r>
            <w:r w:rsidRPr="00861029">
              <w:rPr>
                <w:sz w:val="22"/>
                <w:lang w:val="en-GB"/>
              </w:rPr>
              <w:t xml:space="preserve"> Suppliers</w:t>
            </w:r>
          </w:p>
        </w:tc>
        <w:tc>
          <w:tcPr>
            <w:tcW w:w="2950" w:type="dxa"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Name</w:t>
            </w: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332E69" w:rsidRPr="00861029" w:rsidTr="005A6CF7">
        <w:tc>
          <w:tcPr>
            <w:tcW w:w="1530" w:type="dxa"/>
            <w:vMerge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Street address &amp; Country</w:t>
            </w: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332E69" w:rsidRPr="00861029" w:rsidTr="005A6CF7">
        <w:tc>
          <w:tcPr>
            <w:tcW w:w="1530" w:type="dxa"/>
            <w:vMerge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 w:val="restart"/>
          </w:tcPr>
          <w:p w:rsidR="00332E69" w:rsidRPr="00861029" w:rsidRDefault="0091785A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2.5</w:t>
            </w:r>
            <w:r w:rsidR="00332E69" w:rsidRPr="00861029">
              <w:rPr>
                <w:sz w:val="22"/>
                <w:lang w:val="en-GB"/>
              </w:rPr>
              <w:t xml:space="preserve"> Manufacturing sites</w:t>
            </w:r>
            <w:r w:rsidR="00332E69">
              <w:rPr>
                <w:sz w:val="22"/>
                <w:lang w:val="en-GB"/>
              </w:rPr>
              <w:t xml:space="preserve"> (all used for product components)</w:t>
            </w:r>
          </w:p>
        </w:tc>
        <w:tc>
          <w:tcPr>
            <w:tcW w:w="2950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Name &amp; address</w:t>
            </w: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332E69" w:rsidRPr="00861029" w:rsidTr="005A6CF7">
        <w:tc>
          <w:tcPr>
            <w:tcW w:w="1530" w:type="dxa"/>
            <w:vMerge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Contact details</w:t>
            </w: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332E69" w:rsidRPr="00861029" w:rsidTr="005A6CF7">
        <w:tc>
          <w:tcPr>
            <w:tcW w:w="1530" w:type="dxa"/>
            <w:vMerge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Description of site activity</w:t>
            </w: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332E69" w:rsidRPr="00861029" w:rsidTr="005A6CF7">
        <w:tc>
          <w:tcPr>
            <w:tcW w:w="1530" w:type="dxa"/>
            <w:vMerge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</w:tcPr>
          <w:p w:rsidR="00332E69" w:rsidRPr="00861029" w:rsidRDefault="0091785A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2.6</w:t>
            </w:r>
            <w:r w:rsidR="00332E69" w:rsidRPr="00861029">
              <w:rPr>
                <w:sz w:val="22"/>
                <w:lang w:val="en-GB"/>
              </w:rPr>
              <w:t xml:space="preserve"> Risk management</w:t>
            </w:r>
          </w:p>
        </w:tc>
        <w:tc>
          <w:tcPr>
            <w:tcW w:w="2950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Plan according to ISO 14971 &amp; ISO 13485</w:t>
            </w: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332E69" w:rsidRPr="00861029" w:rsidTr="005A6CF7">
        <w:tc>
          <w:tcPr>
            <w:tcW w:w="1530" w:type="dxa"/>
            <w:vMerge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 w:val="restart"/>
          </w:tcPr>
          <w:p w:rsidR="00332E69" w:rsidRPr="00861029" w:rsidRDefault="00332E69" w:rsidP="00A43458">
            <w:pPr>
              <w:jc w:val="left"/>
              <w:rPr>
                <w:strike/>
                <w:sz w:val="22"/>
                <w:lang w:val="en-GB"/>
              </w:rPr>
            </w:pPr>
            <w:r>
              <w:rPr>
                <w:sz w:val="22"/>
                <w:lang w:val="en-GB"/>
              </w:rPr>
              <w:t>2</w:t>
            </w:r>
            <w:r w:rsidR="0091785A">
              <w:rPr>
                <w:sz w:val="22"/>
                <w:lang w:val="en-GB"/>
              </w:rPr>
              <w:t>.7</w:t>
            </w:r>
            <w:r w:rsidRPr="00861029">
              <w:rPr>
                <w:sz w:val="22"/>
                <w:lang w:val="en-GB"/>
              </w:rPr>
              <w:t xml:space="preserve"> Finished product </w:t>
            </w:r>
            <w:r w:rsidRPr="00861029">
              <w:rPr>
                <w:sz w:val="22"/>
                <w:lang w:val="en-GB"/>
              </w:rPr>
              <w:lastRenderedPageBreak/>
              <w:t>specifications</w:t>
            </w:r>
          </w:p>
        </w:tc>
        <w:tc>
          <w:tcPr>
            <w:tcW w:w="2950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lastRenderedPageBreak/>
              <w:t>Compliance to ISO 4074</w:t>
            </w: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332E69" w:rsidRPr="00861029" w:rsidTr="005A6CF7">
        <w:tc>
          <w:tcPr>
            <w:tcW w:w="1530" w:type="dxa"/>
            <w:vMerge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Compliance to WHO</w:t>
            </w: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332E69" w:rsidRPr="00861029" w:rsidTr="005A6CF7">
        <w:tc>
          <w:tcPr>
            <w:tcW w:w="1530" w:type="dxa"/>
            <w:vMerge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 w:val="restart"/>
          </w:tcPr>
          <w:p w:rsidR="00332E69" w:rsidRPr="00861029" w:rsidRDefault="0091785A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2.8</w:t>
            </w:r>
            <w:r w:rsidR="00332E69" w:rsidRPr="00861029">
              <w:rPr>
                <w:sz w:val="22"/>
                <w:lang w:val="en-GB"/>
              </w:rPr>
              <w:t xml:space="preserve"> Compliance to WHO/UNFPA General Requirements</w:t>
            </w:r>
          </w:p>
        </w:tc>
        <w:tc>
          <w:tcPr>
            <w:tcW w:w="2950" w:type="dxa"/>
          </w:tcPr>
          <w:p w:rsidR="00332E69" w:rsidRPr="00861029" w:rsidRDefault="00332E69" w:rsidP="00087D9B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Confirmation of raw materials</w:t>
            </w: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332E69" w:rsidRPr="00861029" w:rsidRDefault="00332E69" w:rsidP="00C27FB8">
            <w:pPr>
              <w:tabs>
                <w:tab w:val="left" w:pos="1415"/>
              </w:tabs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ab/>
            </w:r>
          </w:p>
        </w:tc>
      </w:tr>
      <w:tr w:rsidR="00332E69" w:rsidRPr="00861029" w:rsidTr="005A6CF7">
        <w:tc>
          <w:tcPr>
            <w:tcW w:w="1530" w:type="dxa"/>
            <w:vMerge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Evidence of b</w:t>
            </w:r>
            <w:r w:rsidRPr="00861029">
              <w:rPr>
                <w:sz w:val="22"/>
                <w:lang w:val="en-GB"/>
              </w:rPr>
              <w:t>iocompatibility testing</w:t>
            </w:r>
            <w:r>
              <w:rPr>
                <w:sz w:val="22"/>
                <w:lang w:val="en-GB"/>
              </w:rPr>
              <w:t xml:space="preserve"> &amp; summary of reports</w:t>
            </w: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332E69" w:rsidRPr="00861029" w:rsidTr="005A6CF7">
        <w:tc>
          <w:tcPr>
            <w:tcW w:w="1530" w:type="dxa"/>
            <w:vMerge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No lycopodium or talc</w:t>
            </w: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332E69" w:rsidRPr="00861029" w:rsidTr="005A6CF7">
        <w:tc>
          <w:tcPr>
            <w:tcW w:w="1530" w:type="dxa"/>
            <w:vMerge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Monitoring of protein levels</w:t>
            </w: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332E69" w:rsidRPr="00861029" w:rsidTr="005A6CF7">
        <w:tc>
          <w:tcPr>
            <w:tcW w:w="1530" w:type="dxa"/>
            <w:vMerge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Monitoring of bioburden</w:t>
            </w: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332E69" w:rsidRPr="00861029" w:rsidTr="005A6CF7">
        <w:tc>
          <w:tcPr>
            <w:tcW w:w="1530" w:type="dxa"/>
            <w:vMerge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</w:tcPr>
          <w:p w:rsidR="00332E69" w:rsidRPr="00861029" w:rsidRDefault="0091785A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2.9</w:t>
            </w:r>
            <w:r w:rsidR="00332E69" w:rsidRPr="00861029">
              <w:rPr>
                <w:sz w:val="22"/>
                <w:lang w:val="en-GB"/>
              </w:rPr>
              <w:t xml:space="preserve"> Stability data</w:t>
            </w:r>
          </w:p>
        </w:tc>
        <w:tc>
          <w:tcPr>
            <w:tcW w:w="2950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Data supporting shelf-life claims in line with ISO 4074</w:t>
            </w: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332E69" w:rsidRPr="00861029" w:rsidTr="005A6CF7">
        <w:tc>
          <w:tcPr>
            <w:tcW w:w="1530" w:type="dxa"/>
            <w:vMerge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 w:val="restart"/>
          </w:tcPr>
          <w:p w:rsidR="00332E69" w:rsidRPr="00861029" w:rsidRDefault="0091785A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2.10</w:t>
            </w:r>
            <w:r w:rsidR="00332E69" w:rsidRPr="00861029">
              <w:rPr>
                <w:sz w:val="22"/>
                <w:lang w:val="en-GB"/>
              </w:rPr>
              <w:t xml:space="preserve"> Labelling</w:t>
            </w:r>
          </w:p>
        </w:tc>
        <w:tc>
          <w:tcPr>
            <w:tcW w:w="2950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Individual packaging</w:t>
            </w: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pStyle w:val="NoSpacing"/>
              <w:jc w:val="center"/>
              <w:rPr>
                <w:color w:val="000000" w:themeColor="text1"/>
                <w:highlight w:val="red"/>
              </w:rPr>
            </w:pPr>
          </w:p>
        </w:tc>
        <w:tc>
          <w:tcPr>
            <w:tcW w:w="5386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332E69" w:rsidRPr="00861029" w:rsidTr="005A6CF7">
        <w:tc>
          <w:tcPr>
            <w:tcW w:w="1530" w:type="dxa"/>
            <w:vMerge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Inner boxes</w:t>
            </w: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pStyle w:val="NoSpacing"/>
              <w:jc w:val="center"/>
              <w:rPr>
                <w:color w:val="000000" w:themeColor="text1"/>
                <w:highlight w:val="red"/>
              </w:rPr>
            </w:pPr>
          </w:p>
        </w:tc>
        <w:tc>
          <w:tcPr>
            <w:tcW w:w="5386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332E69" w:rsidRPr="00861029" w:rsidTr="005A6CF7">
        <w:tc>
          <w:tcPr>
            <w:tcW w:w="1530" w:type="dxa"/>
            <w:vMerge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Exterior shipping cartons</w:t>
            </w: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pStyle w:val="NoSpacing"/>
              <w:jc w:val="center"/>
              <w:rPr>
                <w:color w:val="000000" w:themeColor="text1"/>
                <w:highlight w:val="red"/>
              </w:rPr>
            </w:pPr>
          </w:p>
        </w:tc>
        <w:tc>
          <w:tcPr>
            <w:tcW w:w="5386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332E69" w:rsidRPr="00861029" w:rsidTr="005A6CF7">
        <w:tc>
          <w:tcPr>
            <w:tcW w:w="1530" w:type="dxa"/>
            <w:vMerge/>
          </w:tcPr>
          <w:p w:rsidR="00332E69" w:rsidRPr="00861029" w:rsidRDefault="00332E69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332E69" w:rsidRDefault="00332E69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Example of additional information supplied with condoms</w:t>
            </w:r>
          </w:p>
        </w:tc>
        <w:tc>
          <w:tcPr>
            <w:tcW w:w="1285" w:type="dxa"/>
            <w:shd w:val="clear" w:color="auto" w:fill="auto"/>
          </w:tcPr>
          <w:p w:rsidR="00332E69" w:rsidRPr="00861029" w:rsidRDefault="00332E69" w:rsidP="00A43458">
            <w:pPr>
              <w:pStyle w:val="NoSpacing"/>
              <w:jc w:val="center"/>
              <w:rPr>
                <w:color w:val="000000" w:themeColor="text1"/>
                <w:highlight w:val="red"/>
              </w:rPr>
            </w:pPr>
          </w:p>
        </w:tc>
        <w:tc>
          <w:tcPr>
            <w:tcW w:w="5386" w:type="dxa"/>
          </w:tcPr>
          <w:p w:rsidR="00332E69" w:rsidRPr="00861029" w:rsidRDefault="00332E69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 w:val="restart"/>
          </w:tcPr>
          <w:p w:rsidR="00B10DBE" w:rsidRPr="004345F1" w:rsidRDefault="00B10DBE" w:rsidP="00A43458">
            <w:pPr>
              <w:rPr>
                <w:i/>
                <w:sz w:val="22"/>
                <w:lang w:val="en-GB"/>
              </w:rPr>
            </w:pPr>
            <w:r w:rsidRPr="004345F1">
              <w:rPr>
                <w:i/>
                <w:sz w:val="22"/>
                <w:lang w:val="en-GB"/>
              </w:rPr>
              <w:t>3. Site Master File</w:t>
            </w:r>
          </w:p>
        </w:tc>
        <w:tc>
          <w:tcPr>
            <w:tcW w:w="252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3.0</w:t>
            </w: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Table of contents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 w:val="restart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3.1 General information</w:t>
            </w: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Name &amp; address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Contact info for address(es)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Corporate structure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Manufacturing capacity</w:t>
            </w:r>
            <w:r>
              <w:rPr>
                <w:sz w:val="22"/>
                <w:lang w:val="en-GB"/>
              </w:rPr>
              <w:t xml:space="preserve"> (dipping, electronic, &amp; packaging)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Manufacturing history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 xml:space="preserve">Other </w:t>
            </w:r>
            <w:r>
              <w:rPr>
                <w:sz w:val="22"/>
                <w:lang w:val="en-GB"/>
              </w:rPr>
              <w:t xml:space="preserve">onsite </w:t>
            </w:r>
            <w:r w:rsidRPr="00861029">
              <w:rPr>
                <w:sz w:val="22"/>
                <w:lang w:val="en-GB"/>
              </w:rPr>
              <w:t>manufacturing activities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Condom types manufactured</w:t>
            </w:r>
            <w:r>
              <w:rPr>
                <w:sz w:val="22"/>
                <w:lang w:val="en-GB"/>
              </w:rPr>
              <w:t xml:space="preserve"> onsite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rPr>
          <w:trHeight w:val="527"/>
        </w:trPr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 w:val="restart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3.2 Manufacturing certifications</w:t>
            </w:r>
          </w:p>
        </w:tc>
        <w:tc>
          <w:tcPr>
            <w:tcW w:w="2950" w:type="dxa"/>
          </w:tcPr>
          <w:p w:rsidR="00B10DBE" w:rsidRDefault="00B10DBE" w:rsidP="00A43458">
            <w:pPr>
              <w:jc w:val="left"/>
              <w:rPr>
                <w:sz w:val="22"/>
                <w:lang w:val="en-GB"/>
              </w:rPr>
            </w:pPr>
          </w:p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ISO 13485/ISO 9001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rPr>
          <w:trHeight w:val="421"/>
        </w:trPr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Default="00B10DBE" w:rsidP="00A43458">
            <w:pPr>
              <w:jc w:val="left"/>
              <w:rPr>
                <w:sz w:val="22"/>
                <w:lang w:val="en-GB"/>
              </w:rPr>
            </w:pPr>
          </w:p>
          <w:p w:rsidR="00B10DBE" w:rsidRDefault="00B10DBE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Others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 w:val="restart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3.3 Personnel</w:t>
            </w: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Total number</w:t>
            </w:r>
            <w:r>
              <w:rPr>
                <w:sz w:val="22"/>
                <w:lang w:val="en-GB"/>
              </w:rPr>
              <w:t xml:space="preserve"> employed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Breakdown of number</w:t>
            </w:r>
            <w:r>
              <w:rPr>
                <w:sz w:val="22"/>
                <w:lang w:val="en-GB"/>
              </w:rPr>
              <w:t xml:space="preserve"> of employees by level/category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Organizational chart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Key personnel qualifications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Health policy &amp; procedure summary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Staff training procedures</w:t>
            </w:r>
            <w:r>
              <w:rPr>
                <w:sz w:val="22"/>
                <w:lang w:val="en-GB"/>
              </w:rPr>
              <w:t>/record maintenance</w:t>
            </w:r>
            <w:r w:rsidRPr="00861029">
              <w:rPr>
                <w:sz w:val="22"/>
                <w:lang w:val="en-GB"/>
              </w:rPr>
              <w:t xml:space="preserve"> 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Health and safety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External assistance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 w:val="restart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3.4 Premises &amp; Equipment</w:t>
            </w: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Site plan/description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Nature of building c</w:t>
            </w:r>
            <w:r w:rsidRPr="00861029">
              <w:rPr>
                <w:sz w:val="22"/>
                <w:lang w:val="en-GB"/>
              </w:rPr>
              <w:t>onstruction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Ventilation</w:t>
            </w:r>
            <w:r>
              <w:rPr>
                <w:sz w:val="22"/>
                <w:lang w:val="en-GB"/>
              </w:rPr>
              <w:t xml:space="preserve"> system description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Compounding area</w:t>
            </w:r>
            <w:r>
              <w:rPr>
                <w:sz w:val="22"/>
                <w:lang w:val="en-GB"/>
              </w:rPr>
              <w:t xml:space="preserve"> description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Storage area</w:t>
            </w:r>
            <w:r>
              <w:rPr>
                <w:sz w:val="22"/>
                <w:lang w:val="en-GB"/>
              </w:rPr>
              <w:t xml:space="preserve"> description (quarantined materials, work in progress, and finished goods)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  <w:tcBorders>
              <w:bottom w:val="single" w:sz="4" w:space="0" w:color="auto"/>
            </w:tcBorders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Water systems, Sanitation, waste treatment</w:t>
            </w:r>
            <w:r>
              <w:rPr>
                <w:sz w:val="22"/>
                <w:lang w:val="en-GB"/>
              </w:rPr>
              <w:t xml:space="preserve"> descriptions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  <w:tcBorders>
              <w:bottom w:val="single" w:sz="4" w:space="0" w:color="auto"/>
            </w:tcBorders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Preventive maintenance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  <w:tcBorders>
              <w:bottom w:val="single" w:sz="4" w:space="0" w:color="auto"/>
            </w:tcBorders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Production equipment</w:t>
            </w:r>
            <w:r>
              <w:rPr>
                <w:sz w:val="22"/>
                <w:lang w:val="en-GB"/>
              </w:rPr>
              <w:t xml:space="preserve"> description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  <w:tcBorders>
              <w:right w:val="single" w:sz="4" w:space="0" w:color="auto"/>
            </w:tcBorders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Calibration and recording systems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  <w:tcBorders>
              <w:top w:val="single" w:sz="4" w:space="0" w:color="auto"/>
            </w:tcBorders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Cleaning specs &amp; procedures</w:t>
            </w: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Microbiological contamination control procedures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3.5 Documentation Control</w:t>
            </w: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Arrangements for the preparation, revision and distribution of management system documentation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3.6 Record handling</w:t>
            </w: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 w:val="restart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3.7 Production</w:t>
            </w: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Brief description of production o</w:t>
            </w:r>
            <w:r w:rsidRPr="00861029">
              <w:rPr>
                <w:sz w:val="22"/>
                <w:lang w:val="en-GB"/>
              </w:rPr>
              <w:t xml:space="preserve">perations 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Summary of m</w:t>
            </w:r>
            <w:r w:rsidRPr="00861029">
              <w:rPr>
                <w:sz w:val="22"/>
                <w:lang w:val="en-GB"/>
              </w:rPr>
              <w:t>aterial handling procedures</w:t>
            </w:r>
            <w:r>
              <w:rPr>
                <w:sz w:val="22"/>
                <w:lang w:val="en-GB"/>
              </w:rPr>
              <w:t xml:space="preserve"> (starting materials, rejected materials, finished product </w:t>
            </w:r>
            <w:proofErr w:type="spellStart"/>
            <w:r>
              <w:rPr>
                <w:sz w:val="22"/>
                <w:lang w:val="en-GB"/>
              </w:rPr>
              <w:t>ect</w:t>
            </w:r>
            <w:proofErr w:type="spellEnd"/>
            <w:r>
              <w:rPr>
                <w:sz w:val="22"/>
                <w:lang w:val="en-GB"/>
              </w:rPr>
              <w:t>)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A43458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Validation process information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A4345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A43458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B10DBE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3.8 Risk management plan</w:t>
            </w:r>
          </w:p>
        </w:tc>
        <w:tc>
          <w:tcPr>
            <w:tcW w:w="2950" w:type="dxa"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Summary of risk management assessment undertaken in accordance with  ISO 14971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B10DBE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B10DBE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 w:val="restart"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3.9  Quality control</w:t>
            </w:r>
          </w:p>
        </w:tc>
        <w:tc>
          <w:tcPr>
            <w:tcW w:w="2950" w:type="dxa"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Description of QC system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B10DBE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B10DBE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Sampling and testing procedures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B10DBE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B10DBE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Final release process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B10DBE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B10DBE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 w:val="restart"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 xml:space="preserve">3.10  Distribution, </w:t>
            </w:r>
            <w:r w:rsidRPr="00861029">
              <w:rPr>
                <w:sz w:val="22"/>
                <w:lang w:val="en-GB"/>
              </w:rPr>
              <w:lastRenderedPageBreak/>
              <w:t>complaints &amp; product recall</w:t>
            </w:r>
          </w:p>
        </w:tc>
        <w:tc>
          <w:tcPr>
            <w:tcW w:w="2950" w:type="dxa"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lastRenderedPageBreak/>
              <w:t>Procedure for Lot t</w:t>
            </w:r>
            <w:r w:rsidRPr="00861029">
              <w:rPr>
                <w:sz w:val="22"/>
                <w:lang w:val="en-GB"/>
              </w:rPr>
              <w:t>raceability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B10DBE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B10DBE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  <w:vMerge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</w:p>
        </w:tc>
        <w:tc>
          <w:tcPr>
            <w:tcW w:w="2950" w:type="dxa"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Customer complaints/product recall procedures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B10DBE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E600D7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 xml:space="preserve">3.11 </w:t>
            </w:r>
            <w:r>
              <w:rPr>
                <w:sz w:val="22"/>
                <w:lang w:val="en-GB"/>
              </w:rPr>
              <w:t>Self-inspection</w:t>
            </w:r>
          </w:p>
        </w:tc>
        <w:tc>
          <w:tcPr>
            <w:tcW w:w="2950" w:type="dxa"/>
          </w:tcPr>
          <w:p w:rsidR="00B10DBE" w:rsidRDefault="00B10DBE" w:rsidP="00B10DBE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Short description of self-inspection (audit) system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B10DBE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B10DBE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  <w:r w:rsidRPr="00861029">
              <w:rPr>
                <w:sz w:val="22"/>
                <w:lang w:val="en-GB"/>
              </w:rPr>
              <w:t>3.12  Corrective &amp; preventive actions</w:t>
            </w:r>
          </w:p>
        </w:tc>
        <w:tc>
          <w:tcPr>
            <w:tcW w:w="2950" w:type="dxa"/>
          </w:tcPr>
          <w:p w:rsidR="00B10DBE" w:rsidRDefault="00B10DBE" w:rsidP="00B10DBE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Brief description of procedures used in control design and development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B10DBE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</w:p>
        </w:tc>
      </w:tr>
      <w:tr w:rsidR="00B10DBE" w:rsidRPr="00861029" w:rsidTr="005A6CF7">
        <w:tc>
          <w:tcPr>
            <w:tcW w:w="1530" w:type="dxa"/>
            <w:vMerge/>
          </w:tcPr>
          <w:p w:rsidR="00B10DBE" w:rsidRPr="00861029" w:rsidRDefault="00B10DBE" w:rsidP="00B10DBE">
            <w:pPr>
              <w:rPr>
                <w:sz w:val="22"/>
                <w:lang w:val="en-GB"/>
              </w:rPr>
            </w:pPr>
          </w:p>
        </w:tc>
        <w:tc>
          <w:tcPr>
            <w:tcW w:w="2520" w:type="dxa"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3.13 Design and development control procedures</w:t>
            </w:r>
          </w:p>
        </w:tc>
        <w:tc>
          <w:tcPr>
            <w:tcW w:w="2950" w:type="dxa"/>
          </w:tcPr>
          <w:p w:rsidR="00B10DBE" w:rsidRDefault="00B10DBE" w:rsidP="00B10DBE">
            <w:pPr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Brief description of procedures used to implementing corrective/preventive action</w:t>
            </w:r>
          </w:p>
        </w:tc>
        <w:tc>
          <w:tcPr>
            <w:tcW w:w="1285" w:type="dxa"/>
            <w:shd w:val="clear" w:color="auto" w:fill="auto"/>
          </w:tcPr>
          <w:p w:rsidR="00B10DBE" w:rsidRPr="00861029" w:rsidRDefault="00B10DBE" w:rsidP="00B10DBE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5386" w:type="dxa"/>
          </w:tcPr>
          <w:p w:rsidR="00B10DBE" w:rsidRPr="00861029" w:rsidRDefault="00B10DBE" w:rsidP="00B10DBE">
            <w:pPr>
              <w:jc w:val="left"/>
              <w:rPr>
                <w:sz w:val="22"/>
                <w:lang w:val="en-GB"/>
              </w:rPr>
            </w:pPr>
          </w:p>
        </w:tc>
      </w:tr>
    </w:tbl>
    <w:p w:rsidR="00B10DBE" w:rsidRDefault="00B10DBE" w:rsidP="00B10DBE">
      <w:pPr>
        <w:ind w:left="-567"/>
        <w:rPr>
          <w:b/>
          <w:sz w:val="24"/>
          <w:lang w:val="en-GB"/>
        </w:rPr>
      </w:pPr>
    </w:p>
    <w:p w:rsidR="001828B8" w:rsidRDefault="006B3BB2" w:rsidP="001828B8">
      <w:pPr>
        <w:ind w:left="-567"/>
        <w:rPr>
          <w:b/>
          <w:sz w:val="24"/>
          <w:lang w:val="en-GB"/>
        </w:rPr>
      </w:pPr>
      <w:r>
        <w:rPr>
          <w:b/>
          <w:sz w:val="24"/>
          <w:lang w:val="en-GB"/>
        </w:rPr>
        <w:t>Comments and r</w:t>
      </w:r>
      <w:r w:rsidR="00B10DBE" w:rsidRPr="004345F1">
        <w:rPr>
          <w:b/>
          <w:sz w:val="24"/>
          <w:lang w:val="en-GB"/>
        </w:rPr>
        <w:t xml:space="preserve">ecommendation post document review: </w:t>
      </w:r>
    </w:p>
    <w:p w:rsidR="001828B8" w:rsidRDefault="001828B8" w:rsidP="001828B8">
      <w:pPr>
        <w:ind w:left="-567"/>
        <w:rPr>
          <w:b/>
          <w:sz w:val="24"/>
          <w:lang w:val="en-GB"/>
        </w:rPr>
      </w:pPr>
    </w:p>
    <w:p w:rsidR="002C7316" w:rsidRDefault="002C7316">
      <w:pPr>
        <w:rPr>
          <w:b/>
          <w:sz w:val="24"/>
          <w:lang w:val="en-GB"/>
        </w:rPr>
      </w:pPr>
    </w:p>
    <w:p w:rsidR="002C7316" w:rsidRPr="004345F1" w:rsidRDefault="002C7316" w:rsidP="00D940E1">
      <w:pPr>
        <w:rPr>
          <w:b/>
          <w:sz w:val="24"/>
          <w:lang w:val="en-GB"/>
        </w:rPr>
      </w:pPr>
    </w:p>
    <w:sectPr w:rsidR="002C7316" w:rsidRPr="004345F1" w:rsidSect="00C27FB8">
      <w:headerReference w:type="default" r:id="rId8"/>
      <w:footerReference w:type="default" r:id="rId9"/>
      <w:pgSz w:w="15840" w:h="12240" w:orient="landscape"/>
      <w:pgMar w:top="2552" w:right="1440" w:bottom="1440" w:left="144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4E3" w:rsidRDefault="003914E3" w:rsidP="001828B8">
      <w:r>
        <w:separator/>
      </w:r>
    </w:p>
  </w:endnote>
  <w:endnote w:type="continuationSeparator" w:id="0">
    <w:p w:rsidR="003914E3" w:rsidRDefault="003914E3" w:rsidP="001828B8">
      <w:r>
        <w:continuationSeparator/>
      </w:r>
    </w:p>
  </w:endnote>
  <w:endnote w:id="1">
    <w:p w:rsidR="005A6CF7" w:rsidRPr="005A6CF7" w:rsidRDefault="005A6CF7">
      <w:pPr>
        <w:pStyle w:val="EndnoteText"/>
        <w:rPr>
          <w:lang w:val="en-GB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en-GB"/>
        </w:rPr>
        <w:t>The requirements indicated in this form are a summary of the requirements listed in Male Latex Condom: Specification, Prequalification and Guidelines for Procurement, 2010. This document should be referenced for a full description of requirements.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8456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4E3" w:rsidRDefault="003914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59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14E3" w:rsidRDefault="003914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4E3" w:rsidRDefault="003914E3" w:rsidP="001828B8">
      <w:r>
        <w:separator/>
      </w:r>
    </w:p>
  </w:footnote>
  <w:footnote w:type="continuationSeparator" w:id="0">
    <w:p w:rsidR="003914E3" w:rsidRDefault="003914E3" w:rsidP="00182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4E3" w:rsidRDefault="003914E3" w:rsidP="001828B8">
    <w:pPr>
      <w:pStyle w:val="Header"/>
      <w:ind w:left="-709"/>
    </w:pPr>
    <w:r>
      <w:rPr>
        <w:noProof/>
        <w:lang w:val="en-GB" w:eastAsia="en-GB"/>
      </w:rPr>
      <w:drawing>
        <wp:inline distT="0" distB="0" distL="0" distR="0" wp14:anchorId="05309D26" wp14:editId="35096823">
          <wp:extent cx="1267718" cy="600106"/>
          <wp:effectExtent l="19050" t="0" r="8632" b="0"/>
          <wp:docPr id="3" name="Picture 3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louored%20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9567" cy="6009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29"/>
    <w:rsid w:val="00087D9B"/>
    <w:rsid w:val="000A65C0"/>
    <w:rsid w:val="001479BA"/>
    <w:rsid w:val="001543E7"/>
    <w:rsid w:val="001828B8"/>
    <w:rsid w:val="002C7316"/>
    <w:rsid w:val="00332E69"/>
    <w:rsid w:val="003914E3"/>
    <w:rsid w:val="004345F1"/>
    <w:rsid w:val="005079BF"/>
    <w:rsid w:val="005A6CF7"/>
    <w:rsid w:val="006416D6"/>
    <w:rsid w:val="006774B4"/>
    <w:rsid w:val="006A1C82"/>
    <w:rsid w:val="006B3BB2"/>
    <w:rsid w:val="006E3EAA"/>
    <w:rsid w:val="00726539"/>
    <w:rsid w:val="00756120"/>
    <w:rsid w:val="00861029"/>
    <w:rsid w:val="0091785A"/>
    <w:rsid w:val="009959D0"/>
    <w:rsid w:val="009D079E"/>
    <w:rsid w:val="00A43458"/>
    <w:rsid w:val="00AB1953"/>
    <w:rsid w:val="00B10DBE"/>
    <w:rsid w:val="00B82E37"/>
    <w:rsid w:val="00B92E16"/>
    <w:rsid w:val="00BA79D8"/>
    <w:rsid w:val="00C27FB8"/>
    <w:rsid w:val="00CB51FC"/>
    <w:rsid w:val="00D940E1"/>
    <w:rsid w:val="00F13428"/>
    <w:rsid w:val="00F8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029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 w:themeColor="text1"/>
      <w:sz w:val="28"/>
      <w:szCs w:val="24"/>
      <w:lang w:val="sv-SE"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61029"/>
    <w:pPr>
      <w:spacing w:after="0" w:line="240" w:lineRule="auto"/>
    </w:pPr>
    <w:rPr>
      <w:rFonts w:ascii="Times New Roman" w:eastAsiaTheme="minorEastAsia" w:hAnsi="Times New Roman"/>
      <w:sz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4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0E1"/>
    <w:rPr>
      <w:rFonts w:ascii="Tahoma" w:eastAsia="Times New Roman" w:hAnsi="Tahoma" w:cs="Tahoma"/>
      <w:color w:val="000000" w:themeColor="text1"/>
      <w:sz w:val="16"/>
      <w:szCs w:val="16"/>
      <w:lang w:val="sv-SE" w:eastAsia="sv-SE"/>
    </w:rPr>
  </w:style>
  <w:style w:type="paragraph" w:styleId="Header">
    <w:name w:val="header"/>
    <w:basedOn w:val="Normal"/>
    <w:link w:val="HeaderChar"/>
    <w:uiPriority w:val="99"/>
    <w:unhideWhenUsed/>
    <w:rsid w:val="001828B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28B8"/>
    <w:rPr>
      <w:rFonts w:ascii="Times New Roman" w:eastAsia="Times New Roman" w:hAnsi="Times New Roman" w:cs="Times New Roman"/>
      <w:color w:val="000000" w:themeColor="text1"/>
      <w:sz w:val="28"/>
      <w:szCs w:val="24"/>
      <w:lang w:val="sv-SE" w:eastAsia="sv-SE"/>
    </w:rPr>
  </w:style>
  <w:style w:type="paragraph" w:styleId="Footer">
    <w:name w:val="footer"/>
    <w:basedOn w:val="Normal"/>
    <w:link w:val="FooterChar"/>
    <w:uiPriority w:val="99"/>
    <w:unhideWhenUsed/>
    <w:rsid w:val="001828B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28B8"/>
    <w:rPr>
      <w:rFonts w:ascii="Times New Roman" w:eastAsia="Times New Roman" w:hAnsi="Times New Roman" w:cs="Times New Roman"/>
      <w:color w:val="000000" w:themeColor="text1"/>
      <w:sz w:val="28"/>
      <w:szCs w:val="24"/>
      <w:lang w:val="sv-SE" w:eastAsia="sv-S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6CF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6CF7"/>
    <w:rPr>
      <w:rFonts w:ascii="Times New Roman" w:eastAsia="Times New Roman" w:hAnsi="Times New Roman" w:cs="Times New Roman"/>
      <w:color w:val="000000" w:themeColor="text1"/>
      <w:sz w:val="20"/>
      <w:szCs w:val="20"/>
      <w:lang w:val="sv-SE" w:eastAsia="sv-SE"/>
    </w:rPr>
  </w:style>
  <w:style w:type="character" w:styleId="EndnoteReference">
    <w:name w:val="endnote reference"/>
    <w:basedOn w:val="DefaultParagraphFont"/>
    <w:uiPriority w:val="99"/>
    <w:semiHidden/>
    <w:unhideWhenUsed/>
    <w:rsid w:val="005A6C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029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 w:themeColor="text1"/>
      <w:sz w:val="28"/>
      <w:szCs w:val="24"/>
      <w:lang w:val="sv-SE"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61029"/>
    <w:pPr>
      <w:spacing w:after="0" w:line="240" w:lineRule="auto"/>
    </w:pPr>
    <w:rPr>
      <w:rFonts w:ascii="Times New Roman" w:eastAsiaTheme="minorEastAsia" w:hAnsi="Times New Roman"/>
      <w:sz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4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0E1"/>
    <w:rPr>
      <w:rFonts w:ascii="Tahoma" w:eastAsia="Times New Roman" w:hAnsi="Tahoma" w:cs="Tahoma"/>
      <w:color w:val="000000" w:themeColor="text1"/>
      <w:sz w:val="16"/>
      <w:szCs w:val="16"/>
      <w:lang w:val="sv-SE" w:eastAsia="sv-SE"/>
    </w:rPr>
  </w:style>
  <w:style w:type="paragraph" w:styleId="Header">
    <w:name w:val="header"/>
    <w:basedOn w:val="Normal"/>
    <w:link w:val="HeaderChar"/>
    <w:uiPriority w:val="99"/>
    <w:unhideWhenUsed/>
    <w:rsid w:val="001828B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28B8"/>
    <w:rPr>
      <w:rFonts w:ascii="Times New Roman" w:eastAsia="Times New Roman" w:hAnsi="Times New Roman" w:cs="Times New Roman"/>
      <w:color w:val="000000" w:themeColor="text1"/>
      <w:sz w:val="28"/>
      <w:szCs w:val="24"/>
      <w:lang w:val="sv-SE" w:eastAsia="sv-SE"/>
    </w:rPr>
  </w:style>
  <w:style w:type="paragraph" w:styleId="Footer">
    <w:name w:val="footer"/>
    <w:basedOn w:val="Normal"/>
    <w:link w:val="FooterChar"/>
    <w:uiPriority w:val="99"/>
    <w:unhideWhenUsed/>
    <w:rsid w:val="001828B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28B8"/>
    <w:rPr>
      <w:rFonts w:ascii="Times New Roman" w:eastAsia="Times New Roman" w:hAnsi="Times New Roman" w:cs="Times New Roman"/>
      <w:color w:val="000000" w:themeColor="text1"/>
      <w:sz w:val="28"/>
      <w:szCs w:val="24"/>
      <w:lang w:val="sv-SE" w:eastAsia="sv-S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6CF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6CF7"/>
    <w:rPr>
      <w:rFonts w:ascii="Times New Roman" w:eastAsia="Times New Roman" w:hAnsi="Times New Roman" w:cs="Times New Roman"/>
      <w:color w:val="000000" w:themeColor="text1"/>
      <w:sz w:val="20"/>
      <w:szCs w:val="20"/>
      <w:lang w:val="sv-SE" w:eastAsia="sv-SE"/>
    </w:rPr>
  </w:style>
  <w:style w:type="character" w:styleId="EndnoteReference">
    <w:name w:val="endnote reference"/>
    <w:basedOn w:val="DefaultParagraphFont"/>
    <w:uiPriority w:val="99"/>
    <w:semiHidden/>
    <w:unhideWhenUsed/>
    <w:rsid w:val="005A6C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9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6938E-01AB-45F2-8F9D-6C466839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A2A2E83C</Template>
  <TotalTime>3</TotalTime>
  <Pages>5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 House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hayley.traeger</dc:creator>
  <cp:lastModifiedBy>dn</cp:lastModifiedBy>
  <cp:revision>6</cp:revision>
  <dcterms:created xsi:type="dcterms:W3CDTF">2013-10-14T13:19:00Z</dcterms:created>
  <dcterms:modified xsi:type="dcterms:W3CDTF">2017-02-22T16:25:00Z</dcterms:modified>
</cp:coreProperties>
</file>