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1B0B47" w14:textId="77777777" w:rsidR="00BF6B44" w:rsidRDefault="00BF6B44" w:rsidP="00BF6B44">
      <w:pPr>
        <w:rPr>
          <w:rStyle w:val="Heading3Char"/>
          <w:b w:val="0"/>
          <w:bCs w:val="0"/>
          <w:sz w:val="28"/>
          <w:szCs w:val="28"/>
          <w:highlight w:val="green"/>
        </w:rPr>
      </w:pPr>
    </w:p>
    <w:p w14:paraId="42C69DAE" w14:textId="77777777" w:rsidR="00BF6B44" w:rsidRDefault="00BF6B44" w:rsidP="00BF6B44">
      <w:pPr>
        <w:rPr>
          <w:rStyle w:val="Heading3Char"/>
          <w:sz w:val="28"/>
          <w:szCs w:val="28"/>
        </w:rPr>
      </w:pPr>
    </w:p>
    <w:p w14:paraId="5287B278" w14:textId="712CEE8C" w:rsidR="0076307D" w:rsidRPr="00BF6B44" w:rsidRDefault="00BF6B44" w:rsidP="00BF6B44">
      <w:pPr>
        <w:pStyle w:val="Headline"/>
        <w:rPr>
          <w:rStyle w:val="Heading3Char"/>
          <w:b/>
          <w:bCs/>
          <w:sz w:val="28"/>
          <w:szCs w:val="28"/>
        </w:rPr>
      </w:pPr>
      <w:r>
        <w:rPr>
          <w:rStyle w:val="Heading3Char"/>
          <w:b/>
          <w:bCs/>
          <w:sz w:val="28"/>
          <w:szCs w:val="28"/>
        </w:rPr>
        <w:t>Section V</w:t>
      </w:r>
      <w:r w:rsidR="0076307D" w:rsidRPr="0021361B">
        <w:rPr>
          <w:rStyle w:val="Heading3Char"/>
          <w:b/>
          <w:bCs/>
          <w:sz w:val="28"/>
          <w:szCs w:val="28"/>
        </w:rPr>
        <w:t>: Evaluation Criteria</w:t>
      </w:r>
    </w:p>
    <w:p w14:paraId="790C41FB" w14:textId="77777777" w:rsidR="00402E0E" w:rsidRDefault="00402E0E" w:rsidP="000E4E23">
      <w:pPr>
        <w:pStyle w:val="BodyText3"/>
        <w:rPr>
          <w:rFonts w:ascii="Arial" w:hAnsi="Arial"/>
          <w:highlight w:val="magenta"/>
        </w:rPr>
      </w:pPr>
    </w:p>
    <w:p w14:paraId="11B70457" w14:textId="0E6BE7CF" w:rsidR="00402E0E" w:rsidRPr="00402E0E" w:rsidRDefault="00402E0E" w:rsidP="00402E0E">
      <w:pPr>
        <w:tabs>
          <w:tab w:val="left" w:pos="540"/>
        </w:tabs>
        <w:suppressAutoHyphens/>
        <w:ind w:right="-74"/>
        <w:jc w:val="both"/>
      </w:pPr>
      <w:r w:rsidRPr="00402E0E">
        <w:t xml:space="preserve">UNOPS’s evaluation of a bid </w:t>
      </w:r>
      <w:r w:rsidR="00ED7589">
        <w:t>shall</w:t>
      </w:r>
      <w:r w:rsidRPr="00402E0E">
        <w:t xml:space="preserve"> take into account, in a</w:t>
      </w:r>
      <w:r w:rsidR="00ED7589">
        <w:t xml:space="preserve">ddition to the Bid Price quoted, </w:t>
      </w:r>
      <w:r w:rsidRPr="00402E0E">
        <w:t>the follow</w:t>
      </w:r>
      <w:r w:rsidR="00787050">
        <w:t>ing evaluation criteria.</w:t>
      </w:r>
    </w:p>
    <w:p w14:paraId="664C21BC" w14:textId="77777777" w:rsidR="00402E0E" w:rsidRPr="001A380F" w:rsidRDefault="00402E0E" w:rsidP="000E4E23">
      <w:pPr>
        <w:pStyle w:val="BodyText3"/>
        <w:rPr>
          <w:rFonts w:ascii="Arial" w:hAnsi="Arial"/>
          <w:highlight w:val="lightGray"/>
        </w:rPr>
      </w:pPr>
    </w:p>
    <w:p w14:paraId="7E7D09E2" w14:textId="1799973B" w:rsidR="00A66A7D" w:rsidRDefault="0034114E" w:rsidP="00A66A7D">
      <w:pPr>
        <w:pStyle w:val="BodyText3"/>
        <w:rPr>
          <w:rFonts w:ascii="Arial" w:hAnsi="Arial"/>
          <w:bCs/>
        </w:rPr>
      </w:pPr>
      <w:r>
        <w:rPr>
          <w:rFonts w:ascii="Arial" w:hAnsi="Arial"/>
          <w:b/>
          <w:bCs/>
          <w:u w:val="single"/>
        </w:rPr>
        <w:t xml:space="preserve">Eligibility </w:t>
      </w:r>
      <w:r w:rsidR="00F30104">
        <w:rPr>
          <w:rFonts w:ascii="Arial" w:hAnsi="Arial"/>
          <w:b/>
          <w:bCs/>
          <w:u w:val="single"/>
        </w:rPr>
        <w:t xml:space="preserve">and Formal </w:t>
      </w:r>
      <w:r w:rsidR="00A66A7D" w:rsidRPr="001A380F">
        <w:rPr>
          <w:rFonts w:ascii="Arial" w:hAnsi="Arial"/>
          <w:b/>
          <w:bCs/>
          <w:u w:val="single"/>
        </w:rPr>
        <w:t xml:space="preserve">Criteria </w:t>
      </w:r>
      <w:r w:rsidR="00A66A7D">
        <w:rPr>
          <w:rFonts w:ascii="Arial" w:hAnsi="Arial"/>
          <w:b/>
          <w:bCs/>
        </w:rPr>
        <w:t xml:space="preserve">– </w:t>
      </w:r>
      <w:r w:rsidR="00A66A7D" w:rsidRPr="00DF65C5">
        <w:rPr>
          <w:rFonts w:ascii="Arial" w:hAnsi="Arial"/>
          <w:bCs/>
        </w:rPr>
        <w:t>evaluated on Pass/Fail basis and checked during Preliminary Examination</w:t>
      </w:r>
    </w:p>
    <w:p w14:paraId="2A8425D7" w14:textId="77777777" w:rsidR="00A66A7D" w:rsidRDefault="00A66A7D" w:rsidP="00A66A7D">
      <w:pPr>
        <w:pStyle w:val="BodyText3"/>
        <w:rPr>
          <w:rFonts w:ascii="Arial" w:hAnsi="Arial"/>
          <w:bCs/>
        </w:rPr>
      </w:pPr>
    </w:p>
    <w:tbl>
      <w:tblPr>
        <w:tblStyle w:val="TableGrid"/>
        <w:tblW w:w="10890" w:type="dxa"/>
        <w:tblInd w:w="-455" w:type="dxa"/>
        <w:tblLook w:val="04A0" w:firstRow="1" w:lastRow="0" w:firstColumn="1" w:lastColumn="0" w:noHBand="0" w:noVBand="1"/>
      </w:tblPr>
      <w:tblGrid>
        <w:gridCol w:w="5311"/>
        <w:gridCol w:w="5579"/>
      </w:tblGrid>
      <w:tr w:rsidR="00162214" w14:paraId="2D7D9D60" w14:textId="77777777" w:rsidTr="00BF6B44">
        <w:tc>
          <w:tcPr>
            <w:tcW w:w="5311" w:type="dxa"/>
            <w:shd w:val="clear" w:color="auto" w:fill="D9D9D9" w:themeFill="background1" w:themeFillShade="D9"/>
            <w:vAlign w:val="center"/>
          </w:tcPr>
          <w:p w14:paraId="08F44D2D" w14:textId="651BB23E" w:rsidR="00162214" w:rsidRDefault="00162214" w:rsidP="00162214">
            <w:pPr>
              <w:pStyle w:val="BodyText3"/>
              <w:jc w:val="center"/>
              <w:rPr>
                <w:rFonts w:ascii="Arial" w:hAnsi="Arial"/>
                <w:b/>
                <w:bCs/>
              </w:rPr>
            </w:pPr>
            <w:r>
              <w:rPr>
                <w:rFonts w:ascii="Arial" w:hAnsi="Arial"/>
                <w:b/>
                <w:bCs/>
              </w:rPr>
              <w:t>Criteria</w:t>
            </w:r>
          </w:p>
        </w:tc>
        <w:tc>
          <w:tcPr>
            <w:tcW w:w="5579" w:type="dxa"/>
            <w:shd w:val="clear" w:color="auto" w:fill="D9D9D9" w:themeFill="background1" w:themeFillShade="D9"/>
            <w:vAlign w:val="center"/>
          </w:tcPr>
          <w:p w14:paraId="1F4176F7" w14:textId="70233695" w:rsidR="00162214" w:rsidRDefault="00162214" w:rsidP="00162214">
            <w:pPr>
              <w:pStyle w:val="BodyText3"/>
              <w:jc w:val="center"/>
              <w:rPr>
                <w:rFonts w:ascii="Arial" w:hAnsi="Arial"/>
                <w:b/>
                <w:bCs/>
              </w:rPr>
            </w:pPr>
            <w:r>
              <w:rPr>
                <w:rFonts w:ascii="Arial" w:hAnsi="Arial"/>
                <w:b/>
                <w:bCs/>
              </w:rPr>
              <w:t>Documents to establish compliance with the criteria</w:t>
            </w:r>
          </w:p>
        </w:tc>
      </w:tr>
      <w:tr w:rsidR="00F30104" w:rsidRPr="00162214" w14:paraId="35163AB2" w14:textId="77777777" w:rsidTr="00BF6B44">
        <w:tc>
          <w:tcPr>
            <w:tcW w:w="5311" w:type="dxa"/>
            <w:vAlign w:val="center"/>
          </w:tcPr>
          <w:p w14:paraId="350024A9" w14:textId="77372E83" w:rsidR="00F30104" w:rsidRPr="00482544" w:rsidRDefault="00F30104" w:rsidP="00E102CF">
            <w:pPr>
              <w:pStyle w:val="BodyText3"/>
              <w:numPr>
                <w:ilvl w:val="0"/>
                <w:numId w:val="33"/>
              </w:numPr>
              <w:jc w:val="left"/>
              <w:rPr>
                <w:rFonts w:ascii="Arial" w:hAnsi="Arial"/>
                <w:bCs/>
              </w:rPr>
            </w:pPr>
            <w:r w:rsidRPr="00162214">
              <w:rPr>
                <w:rFonts w:ascii="Arial" w:hAnsi="Arial"/>
                <w:bCs/>
              </w:rPr>
              <w:t xml:space="preserve">Bidder is eligible as </w:t>
            </w:r>
            <w:r>
              <w:rPr>
                <w:rFonts w:ascii="Arial" w:hAnsi="Arial"/>
                <w:bCs/>
              </w:rPr>
              <w:t>defined in Instructions to Bidders, Article 4</w:t>
            </w:r>
          </w:p>
        </w:tc>
        <w:tc>
          <w:tcPr>
            <w:tcW w:w="5579" w:type="dxa"/>
            <w:vAlign w:val="center"/>
          </w:tcPr>
          <w:p w14:paraId="1B005E9D" w14:textId="77777777" w:rsidR="00F30104" w:rsidRPr="00482544" w:rsidRDefault="00F30104" w:rsidP="00787E9B">
            <w:pPr>
              <w:pStyle w:val="BodyText3"/>
              <w:numPr>
                <w:ilvl w:val="0"/>
                <w:numId w:val="34"/>
              </w:numPr>
              <w:ind w:left="454" w:hanging="227"/>
              <w:jc w:val="left"/>
              <w:rPr>
                <w:rFonts w:ascii="Arial" w:hAnsi="Arial"/>
                <w:bCs/>
              </w:rPr>
            </w:pPr>
            <w:r w:rsidRPr="00482544">
              <w:rPr>
                <w:rFonts w:ascii="Arial" w:hAnsi="Arial"/>
                <w:bCs/>
              </w:rPr>
              <w:t xml:space="preserve">Form C: Bidder Information Form </w:t>
            </w:r>
          </w:p>
          <w:p w14:paraId="783A6CCC" w14:textId="77777777" w:rsidR="00F30104" w:rsidRPr="00482544" w:rsidRDefault="00F30104" w:rsidP="00787E9B">
            <w:pPr>
              <w:pStyle w:val="BodyText3"/>
              <w:numPr>
                <w:ilvl w:val="0"/>
                <w:numId w:val="34"/>
              </w:numPr>
              <w:ind w:left="454" w:hanging="227"/>
              <w:jc w:val="left"/>
              <w:rPr>
                <w:rFonts w:ascii="Arial" w:hAnsi="Arial"/>
                <w:bCs/>
              </w:rPr>
            </w:pPr>
            <w:r w:rsidRPr="00482544">
              <w:rPr>
                <w:rFonts w:ascii="Arial" w:hAnsi="Arial"/>
                <w:bCs/>
              </w:rPr>
              <w:t>Form D: Joint Venture Partner Information Form, all documents as required in the Form, in the event that the Bid is submitted by a Joint Venture.</w:t>
            </w:r>
          </w:p>
          <w:p w14:paraId="618B38FD" w14:textId="746CBE0D" w:rsidR="00F30104" w:rsidRPr="00482544" w:rsidRDefault="00F30104" w:rsidP="00E102CF">
            <w:pPr>
              <w:pStyle w:val="BodyText3"/>
              <w:numPr>
                <w:ilvl w:val="0"/>
                <w:numId w:val="34"/>
              </w:numPr>
              <w:ind w:left="454" w:hanging="227"/>
              <w:jc w:val="left"/>
              <w:rPr>
                <w:rFonts w:ascii="Arial" w:hAnsi="Arial"/>
                <w:bCs/>
              </w:rPr>
            </w:pPr>
            <w:r>
              <w:rPr>
                <w:rFonts w:ascii="Arial" w:hAnsi="Arial"/>
                <w:bCs/>
              </w:rPr>
              <w:t>Form E: Bid Submission Form</w:t>
            </w:r>
          </w:p>
        </w:tc>
      </w:tr>
      <w:tr w:rsidR="00F30104" w:rsidRPr="00162214" w14:paraId="290E4FF2" w14:textId="77777777" w:rsidTr="00BF6B44">
        <w:tc>
          <w:tcPr>
            <w:tcW w:w="5311" w:type="dxa"/>
            <w:vAlign w:val="center"/>
          </w:tcPr>
          <w:p w14:paraId="6320C603" w14:textId="1E53BD9E" w:rsidR="00F30104" w:rsidRPr="00162214" w:rsidRDefault="00F30104" w:rsidP="00E102CF">
            <w:pPr>
              <w:pStyle w:val="BodyText3"/>
              <w:numPr>
                <w:ilvl w:val="0"/>
                <w:numId w:val="33"/>
              </w:numPr>
              <w:jc w:val="left"/>
              <w:rPr>
                <w:rFonts w:ascii="Arial" w:hAnsi="Arial"/>
                <w:bCs/>
              </w:rPr>
            </w:pPr>
            <w:r w:rsidRPr="00F30104">
              <w:rPr>
                <w:rFonts w:ascii="Arial" w:hAnsi="Arial"/>
                <w:bCs/>
              </w:rPr>
              <w:t>Completeness of the Bid. All documents and technical documentation requested in Instructions to Bidders Article 10 have been provided and are complete</w:t>
            </w:r>
          </w:p>
        </w:tc>
        <w:tc>
          <w:tcPr>
            <w:tcW w:w="5579" w:type="dxa"/>
            <w:vAlign w:val="center"/>
          </w:tcPr>
          <w:p w14:paraId="7B5939E0" w14:textId="0D9E07EE" w:rsidR="00F30104" w:rsidRPr="00482544" w:rsidRDefault="00F30104" w:rsidP="00E102CF">
            <w:pPr>
              <w:pStyle w:val="BodyText3"/>
              <w:numPr>
                <w:ilvl w:val="0"/>
                <w:numId w:val="34"/>
              </w:numPr>
              <w:ind w:left="454" w:hanging="227"/>
              <w:jc w:val="left"/>
              <w:rPr>
                <w:rFonts w:ascii="Arial" w:hAnsi="Arial"/>
                <w:bCs/>
              </w:rPr>
            </w:pPr>
            <w:r w:rsidRPr="00482544">
              <w:rPr>
                <w:rFonts w:ascii="Arial" w:hAnsi="Arial"/>
                <w:bCs/>
              </w:rPr>
              <w:t>All documentation as requested under In</w:t>
            </w:r>
            <w:r>
              <w:rPr>
                <w:rFonts w:ascii="Arial" w:hAnsi="Arial"/>
                <w:bCs/>
              </w:rPr>
              <w:t>structions to Bidders Article 10</w:t>
            </w:r>
            <w:r w:rsidRPr="00482544">
              <w:rPr>
                <w:rFonts w:ascii="Arial" w:hAnsi="Arial"/>
                <w:bCs/>
              </w:rPr>
              <w:t>, Documents Comprising the Bids</w:t>
            </w:r>
          </w:p>
        </w:tc>
      </w:tr>
      <w:tr w:rsidR="00F30104" w:rsidRPr="00162214" w14:paraId="345FB3BD" w14:textId="77777777" w:rsidTr="00BF6B44">
        <w:trPr>
          <w:trHeight w:val="600"/>
        </w:trPr>
        <w:tc>
          <w:tcPr>
            <w:tcW w:w="5311" w:type="dxa"/>
            <w:vAlign w:val="center"/>
          </w:tcPr>
          <w:p w14:paraId="470B35D4" w14:textId="615221AA" w:rsidR="00F30104" w:rsidRPr="00F30104" w:rsidRDefault="00F30104" w:rsidP="00F30104">
            <w:pPr>
              <w:pStyle w:val="BodyText3"/>
              <w:numPr>
                <w:ilvl w:val="0"/>
                <w:numId w:val="33"/>
              </w:numPr>
              <w:jc w:val="left"/>
              <w:rPr>
                <w:rFonts w:ascii="Arial" w:hAnsi="Arial"/>
                <w:bCs/>
              </w:rPr>
            </w:pPr>
            <w:r w:rsidRPr="00F30104">
              <w:rPr>
                <w:rFonts w:ascii="Arial" w:hAnsi="Arial"/>
                <w:bCs/>
              </w:rPr>
              <w:t xml:space="preserve">Bidder accepts UNOPS General Conditions of Contract as specified in Section VI </w:t>
            </w:r>
          </w:p>
        </w:tc>
        <w:tc>
          <w:tcPr>
            <w:tcW w:w="5579" w:type="dxa"/>
            <w:vAlign w:val="center"/>
          </w:tcPr>
          <w:p w14:paraId="141CEA93" w14:textId="3F2DEC98" w:rsidR="00F30104" w:rsidRPr="000F100A" w:rsidRDefault="00F30104" w:rsidP="00E102CF">
            <w:pPr>
              <w:pStyle w:val="BodyText3"/>
              <w:numPr>
                <w:ilvl w:val="0"/>
                <w:numId w:val="34"/>
              </w:numPr>
              <w:ind w:left="454" w:hanging="227"/>
              <w:jc w:val="left"/>
              <w:rPr>
                <w:rFonts w:ascii="Arial" w:hAnsi="Arial"/>
                <w:bCs/>
              </w:rPr>
            </w:pPr>
            <w:r w:rsidRPr="002A5163">
              <w:rPr>
                <w:rFonts w:ascii="Arial" w:hAnsi="Arial"/>
                <w:bCs/>
              </w:rPr>
              <w:t>Form E: Bid Submission Form</w:t>
            </w:r>
          </w:p>
        </w:tc>
      </w:tr>
      <w:tr w:rsidR="008D574B" w:rsidRPr="00162214" w14:paraId="58B121FE" w14:textId="77777777" w:rsidTr="00BF6B44">
        <w:trPr>
          <w:trHeight w:val="402"/>
        </w:trPr>
        <w:tc>
          <w:tcPr>
            <w:tcW w:w="5311" w:type="dxa"/>
            <w:vAlign w:val="center"/>
          </w:tcPr>
          <w:p w14:paraId="4A8CC2EC" w14:textId="130CEC20" w:rsidR="008D574B" w:rsidRDefault="0050796E" w:rsidP="0050796E">
            <w:pPr>
              <w:pStyle w:val="BodyText3"/>
              <w:numPr>
                <w:ilvl w:val="0"/>
                <w:numId w:val="33"/>
              </w:numPr>
              <w:jc w:val="left"/>
              <w:rPr>
                <w:rFonts w:ascii="Arial" w:hAnsi="Arial"/>
                <w:bCs/>
              </w:rPr>
            </w:pPr>
            <w:r w:rsidRPr="0050796E">
              <w:rPr>
                <w:rFonts w:ascii="Arial" w:hAnsi="Arial"/>
                <w:bCs/>
              </w:rPr>
              <w:t>The Bid is signed and (if signatory of the Bid is not the Owner of the firm submitting the bid) accompanied with a written confirmation authorizing the signatory of the Bid to commit the Bidder.</w:t>
            </w:r>
          </w:p>
        </w:tc>
        <w:tc>
          <w:tcPr>
            <w:tcW w:w="5579" w:type="dxa"/>
            <w:vAlign w:val="center"/>
          </w:tcPr>
          <w:p w14:paraId="31CC6122" w14:textId="77777777" w:rsidR="0050796E" w:rsidRPr="0050796E" w:rsidRDefault="0050796E" w:rsidP="006645EF">
            <w:pPr>
              <w:pStyle w:val="BodyText3"/>
              <w:numPr>
                <w:ilvl w:val="0"/>
                <w:numId w:val="34"/>
              </w:numPr>
              <w:ind w:left="454" w:hanging="227"/>
              <w:jc w:val="left"/>
              <w:rPr>
                <w:rFonts w:ascii="Arial" w:hAnsi="Arial"/>
                <w:bCs/>
              </w:rPr>
            </w:pPr>
            <w:r w:rsidRPr="0050796E">
              <w:rPr>
                <w:rFonts w:ascii="Arial" w:hAnsi="Arial"/>
                <w:bCs/>
              </w:rPr>
              <w:t>Form E: Bid Submission Form</w:t>
            </w:r>
          </w:p>
          <w:p w14:paraId="151EC67B" w14:textId="08B71113" w:rsidR="008D574B" w:rsidRPr="002A5163" w:rsidRDefault="0050796E" w:rsidP="006645EF">
            <w:pPr>
              <w:pStyle w:val="BodyText3"/>
              <w:numPr>
                <w:ilvl w:val="0"/>
                <w:numId w:val="34"/>
              </w:numPr>
              <w:ind w:left="454" w:hanging="227"/>
              <w:jc w:val="left"/>
              <w:rPr>
                <w:rFonts w:ascii="Arial" w:hAnsi="Arial"/>
                <w:bCs/>
              </w:rPr>
            </w:pPr>
            <w:r w:rsidRPr="0050796E">
              <w:rPr>
                <w:rFonts w:ascii="Arial" w:hAnsi="Arial"/>
                <w:bCs/>
              </w:rPr>
              <w:t>Power of Attorney (written authorisation), if applicable.</w:t>
            </w:r>
          </w:p>
        </w:tc>
      </w:tr>
      <w:tr w:rsidR="00F30104" w:rsidRPr="000F100A" w14:paraId="1DD5D436" w14:textId="77777777" w:rsidTr="00BF6B44">
        <w:trPr>
          <w:trHeight w:val="511"/>
        </w:trPr>
        <w:tc>
          <w:tcPr>
            <w:tcW w:w="5311" w:type="dxa"/>
            <w:vAlign w:val="center"/>
          </w:tcPr>
          <w:p w14:paraId="61EF2084" w14:textId="0158424A" w:rsidR="00F30104" w:rsidRPr="00482544" w:rsidRDefault="002B777B" w:rsidP="002B777B">
            <w:pPr>
              <w:pStyle w:val="BodyText3"/>
              <w:numPr>
                <w:ilvl w:val="0"/>
                <w:numId w:val="33"/>
              </w:numPr>
              <w:jc w:val="left"/>
              <w:rPr>
                <w:rFonts w:ascii="Arial" w:hAnsi="Arial"/>
                <w:bCs/>
              </w:rPr>
            </w:pPr>
            <w:r w:rsidRPr="002B777B">
              <w:rPr>
                <w:rFonts w:ascii="Arial" w:hAnsi="Arial"/>
                <w:bCs/>
              </w:rPr>
              <w:t>Bid submitted in English language pursuant to Instructions to Bidders, Article 20.</w:t>
            </w:r>
          </w:p>
        </w:tc>
        <w:tc>
          <w:tcPr>
            <w:tcW w:w="5579" w:type="dxa"/>
            <w:vAlign w:val="center"/>
          </w:tcPr>
          <w:p w14:paraId="2DBF4564" w14:textId="49305BA3" w:rsidR="00F30104" w:rsidRPr="002A5163" w:rsidRDefault="002B777B" w:rsidP="00E102CF">
            <w:pPr>
              <w:pStyle w:val="BodyText3"/>
              <w:numPr>
                <w:ilvl w:val="0"/>
                <w:numId w:val="34"/>
              </w:numPr>
              <w:ind w:left="454" w:hanging="227"/>
              <w:jc w:val="left"/>
              <w:rPr>
                <w:rFonts w:ascii="Arial" w:hAnsi="Arial"/>
                <w:bCs/>
              </w:rPr>
            </w:pPr>
            <w:r>
              <w:rPr>
                <w:rFonts w:ascii="Arial" w:hAnsi="Arial"/>
                <w:bCs/>
              </w:rPr>
              <w:t>Bidder’s bidding documents</w:t>
            </w:r>
          </w:p>
        </w:tc>
      </w:tr>
      <w:tr w:rsidR="002B777B" w:rsidRPr="000F100A" w14:paraId="75AEB4BC" w14:textId="77777777" w:rsidTr="00BF6B44">
        <w:trPr>
          <w:trHeight w:val="511"/>
        </w:trPr>
        <w:tc>
          <w:tcPr>
            <w:tcW w:w="5311" w:type="dxa"/>
            <w:vAlign w:val="center"/>
          </w:tcPr>
          <w:p w14:paraId="6BBFABAF" w14:textId="7B8CB172" w:rsidR="002B777B" w:rsidRPr="002B777B" w:rsidRDefault="002B777B" w:rsidP="002B777B">
            <w:pPr>
              <w:pStyle w:val="BodyText3"/>
              <w:numPr>
                <w:ilvl w:val="0"/>
                <w:numId w:val="33"/>
              </w:numPr>
              <w:jc w:val="left"/>
              <w:rPr>
                <w:rFonts w:ascii="Arial" w:hAnsi="Arial"/>
                <w:bCs/>
              </w:rPr>
            </w:pPr>
            <w:r w:rsidRPr="002B777B">
              <w:rPr>
                <w:rFonts w:ascii="Arial" w:hAnsi="Arial"/>
                <w:bCs/>
              </w:rPr>
              <w:t>Bid validity period is compliant with Instructions to Bidders, Article 12.</w:t>
            </w:r>
          </w:p>
        </w:tc>
        <w:tc>
          <w:tcPr>
            <w:tcW w:w="5579" w:type="dxa"/>
            <w:vAlign w:val="center"/>
          </w:tcPr>
          <w:p w14:paraId="332A37E2" w14:textId="2B6AE7B3" w:rsidR="002B777B" w:rsidRPr="002B777B" w:rsidRDefault="002B777B" w:rsidP="002B777B">
            <w:pPr>
              <w:pStyle w:val="BodyText3"/>
              <w:numPr>
                <w:ilvl w:val="0"/>
                <w:numId w:val="34"/>
              </w:numPr>
              <w:ind w:left="454" w:hanging="227"/>
              <w:jc w:val="left"/>
              <w:rPr>
                <w:rFonts w:ascii="Arial" w:hAnsi="Arial"/>
                <w:bCs/>
              </w:rPr>
            </w:pPr>
            <w:r w:rsidRPr="002B777B">
              <w:rPr>
                <w:rFonts w:ascii="Arial" w:hAnsi="Arial"/>
                <w:bCs/>
              </w:rPr>
              <w:t>Form E: Bid Submission Form</w:t>
            </w:r>
          </w:p>
        </w:tc>
      </w:tr>
    </w:tbl>
    <w:p w14:paraId="3DB07E51" w14:textId="77777777" w:rsidR="00162214" w:rsidRPr="007E756C" w:rsidRDefault="00162214" w:rsidP="000E4E23">
      <w:pPr>
        <w:pStyle w:val="BodyText3"/>
        <w:rPr>
          <w:rFonts w:ascii="Arial" w:hAnsi="Arial"/>
          <w:b/>
          <w:bCs/>
          <w:u w:val="single"/>
        </w:rPr>
      </w:pPr>
    </w:p>
    <w:p w14:paraId="468B1D04" w14:textId="77777777" w:rsidR="00A66A7D" w:rsidRDefault="00A66A7D" w:rsidP="00A66A7D">
      <w:pPr>
        <w:pStyle w:val="BodyText3"/>
        <w:rPr>
          <w:rFonts w:ascii="Arial" w:hAnsi="Arial"/>
          <w:bCs/>
        </w:rPr>
      </w:pPr>
      <w:r>
        <w:rPr>
          <w:rFonts w:ascii="Arial" w:hAnsi="Arial"/>
          <w:b/>
          <w:bCs/>
          <w:u w:val="single"/>
        </w:rPr>
        <w:t>Q</w:t>
      </w:r>
      <w:r w:rsidRPr="000E4E23">
        <w:rPr>
          <w:rFonts w:ascii="Arial" w:hAnsi="Arial"/>
          <w:b/>
          <w:bCs/>
          <w:u w:val="single"/>
        </w:rPr>
        <w:t>ualification criteria</w:t>
      </w:r>
      <w:r w:rsidRPr="00DF65C5">
        <w:rPr>
          <w:rFonts w:ascii="Arial" w:hAnsi="Arial"/>
          <w:bCs/>
        </w:rPr>
        <w:t xml:space="preserve"> – evaluated on Pass/Fail basis</w:t>
      </w:r>
    </w:p>
    <w:p w14:paraId="46B73430" w14:textId="77777777" w:rsidR="00A66A7D" w:rsidRDefault="00A66A7D" w:rsidP="00A66A7D">
      <w:pPr>
        <w:pStyle w:val="BodyText3"/>
        <w:rPr>
          <w:rFonts w:ascii="Arial" w:hAnsi="Arial"/>
          <w:bCs/>
        </w:rPr>
      </w:pPr>
    </w:p>
    <w:p w14:paraId="35D9EB93" w14:textId="77777777" w:rsidR="001A380F" w:rsidRDefault="001A380F" w:rsidP="000E4E23">
      <w:pPr>
        <w:pStyle w:val="BodyText3"/>
        <w:rPr>
          <w:rFonts w:ascii="Arial" w:hAnsi="Arial"/>
          <w:b/>
          <w:bCs/>
          <w:u w:val="single"/>
        </w:rPr>
      </w:pPr>
    </w:p>
    <w:tbl>
      <w:tblPr>
        <w:tblStyle w:val="TableGrid"/>
        <w:tblW w:w="10890" w:type="dxa"/>
        <w:tblInd w:w="-455" w:type="dxa"/>
        <w:tblLook w:val="04A0" w:firstRow="1" w:lastRow="0" w:firstColumn="1" w:lastColumn="0" w:noHBand="0" w:noVBand="1"/>
      </w:tblPr>
      <w:tblGrid>
        <w:gridCol w:w="5311"/>
        <w:gridCol w:w="5579"/>
      </w:tblGrid>
      <w:tr w:rsidR="00482544" w14:paraId="701BF827" w14:textId="77777777" w:rsidTr="00BF6B44">
        <w:tc>
          <w:tcPr>
            <w:tcW w:w="5311" w:type="dxa"/>
            <w:shd w:val="clear" w:color="auto" w:fill="D9D9D9" w:themeFill="background1" w:themeFillShade="D9"/>
            <w:vAlign w:val="center"/>
          </w:tcPr>
          <w:p w14:paraId="6CA3EEBA" w14:textId="77777777" w:rsidR="00482544" w:rsidRDefault="00482544" w:rsidP="00787050">
            <w:pPr>
              <w:pStyle w:val="BodyText3"/>
              <w:jc w:val="center"/>
              <w:rPr>
                <w:rFonts w:ascii="Arial" w:hAnsi="Arial"/>
                <w:b/>
                <w:bCs/>
              </w:rPr>
            </w:pPr>
            <w:r>
              <w:rPr>
                <w:rFonts w:ascii="Arial" w:hAnsi="Arial"/>
                <w:b/>
                <w:bCs/>
              </w:rPr>
              <w:t>Criteria</w:t>
            </w:r>
          </w:p>
        </w:tc>
        <w:tc>
          <w:tcPr>
            <w:tcW w:w="5579" w:type="dxa"/>
            <w:shd w:val="clear" w:color="auto" w:fill="D9D9D9" w:themeFill="background1" w:themeFillShade="D9"/>
            <w:vAlign w:val="center"/>
          </w:tcPr>
          <w:p w14:paraId="680A5998" w14:textId="77777777" w:rsidR="00482544" w:rsidRDefault="00482544" w:rsidP="00787050">
            <w:pPr>
              <w:pStyle w:val="BodyText3"/>
              <w:jc w:val="center"/>
              <w:rPr>
                <w:rFonts w:ascii="Arial" w:hAnsi="Arial"/>
                <w:b/>
                <w:bCs/>
              </w:rPr>
            </w:pPr>
            <w:r>
              <w:rPr>
                <w:rFonts w:ascii="Arial" w:hAnsi="Arial"/>
                <w:b/>
                <w:bCs/>
              </w:rPr>
              <w:t>Documents to establish compliance with the criteria</w:t>
            </w:r>
          </w:p>
        </w:tc>
      </w:tr>
      <w:tr w:rsidR="00482544" w:rsidRPr="00162214" w14:paraId="1D350071" w14:textId="77777777" w:rsidTr="00BF6B44">
        <w:trPr>
          <w:trHeight w:val="395"/>
        </w:trPr>
        <w:tc>
          <w:tcPr>
            <w:tcW w:w="5311" w:type="dxa"/>
            <w:vAlign w:val="center"/>
          </w:tcPr>
          <w:p w14:paraId="7C0BEB7F" w14:textId="5845362F" w:rsidR="00482544" w:rsidRPr="00C6189F" w:rsidRDefault="00C6189F" w:rsidP="00E102CF">
            <w:pPr>
              <w:pStyle w:val="BodyText3"/>
              <w:numPr>
                <w:ilvl w:val="0"/>
                <w:numId w:val="35"/>
              </w:numPr>
              <w:jc w:val="left"/>
              <w:rPr>
                <w:rFonts w:ascii="Arial" w:hAnsi="Arial"/>
                <w:bCs/>
              </w:rPr>
            </w:pPr>
            <w:r w:rsidRPr="00C6189F">
              <w:rPr>
                <w:rFonts w:ascii="Arial" w:hAnsi="Arial"/>
                <w:bCs/>
              </w:rPr>
              <w:t>Financial capability. Liquidity: the ratio Average Current assets / Current liabilities over the last 2 years must be equal or greater than 1. Bidders must include in their Bid audited balance sheets covering the last 2 exercise</w:t>
            </w:r>
            <w:r>
              <w:rPr>
                <w:rFonts w:ascii="Arial" w:hAnsi="Arial"/>
                <w:bCs/>
              </w:rPr>
              <w:t>s.</w:t>
            </w:r>
          </w:p>
        </w:tc>
        <w:tc>
          <w:tcPr>
            <w:tcW w:w="5579" w:type="dxa"/>
            <w:vAlign w:val="center"/>
          </w:tcPr>
          <w:p w14:paraId="2EAF7C01" w14:textId="00D4962C" w:rsidR="00482544" w:rsidRPr="00ED7589" w:rsidRDefault="00B64D2C" w:rsidP="00E102CF">
            <w:pPr>
              <w:pStyle w:val="BodyText3"/>
              <w:numPr>
                <w:ilvl w:val="0"/>
                <w:numId w:val="34"/>
              </w:numPr>
              <w:ind w:left="454" w:hanging="227"/>
              <w:jc w:val="left"/>
              <w:rPr>
                <w:rFonts w:ascii="Arial" w:hAnsi="Arial"/>
                <w:bCs/>
              </w:rPr>
            </w:pPr>
            <w:r w:rsidRPr="00ED7589">
              <w:rPr>
                <w:rFonts w:ascii="Arial" w:hAnsi="Arial"/>
                <w:bCs/>
              </w:rPr>
              <w:t>Copy of a</w:t>
            </w:r>
            <w:r w:rsidR="00C6189F" w:rsidRPr="00ED7589">
              <w:rPr>
                <w:rFonts w:ascii="Arial" w:hAnsi="Arial"/>
                <w:bCs/>
              </w:rPr>
              <w:t xml:space="preserve">udited financial statements </w:t>
            </w:r>
            <w:r w:rsidRPr="00ED7589">
              <w:rPr>
                <w:rFonts w:ascii="Arial" w:hAnsi="Arial"/>
                <w:bCs/>
              </w:rPr>
              <w:t>for the last two years</w:t>
            </w:r>
          </w:p>
        </w:tc>
      </w:tr>
      <w:tr w:rsidR="00B64D2C" w:rsidRPr="00162214" w14:paraId="3D5E9F07" w14:textId="77777777" w:rsidTr="00BF6B44">
        <w:trPr>
          <w:trHeight w:val="1408"/>
        </w:trPr>
        <w:tc>
          <w:tcPr>
            <w:tcW w:w="5311" w:type="dxa"/>
            <w:vAlign w:val="center"/>
          </w:tcPr>
          <w:p w14:paraId="25BB5EED" w14:textId="04414BAB" w:rsidR="00B64D2C" w:rsidRPr="00B64D2C" w:rsidRDefault="00B64D2C" w:rsidP="00E102CF">
            <w:pPr>
              <w:pStyle w:val="ListParagraph"/>
              <w:numPr>
                <w:ilvl w:val="0"/>
                <w:numId w:val="35"/>
              </w:numPr>
              <w:spacing w:after="0" w:line="240" w:lineRule="auto"/>
              <w:ind w:left="357" w:hanging="357"/>
              <w:rPr>
                <w:rFonts w:ascii="Arial" w:eastAsia="Arial Unicode MS" w:hAnsi="Arial"/>
                <w:bCs/>
                <w:sz w:val="20"/>
                <w:szCs w:val="20"/>
              </w:rPr>
            </w:pPr>
            <w:r w:rsidRPr="00B64D2C">
              <w:rPr>
                <w:rFonts w:ascii="Arial" w:eastAsia="Arial Unicode MS" w:hAnsi="Arial"/>
                <w:bCs/>
                <w:sz w:val="20"/>
                <w:szCs w:val="20"/>
              </w:rPr>
              <w:t xml:space="preserve">Bidder should be in continuous business of manufacturing / supplying the specific product as </w:t>
            </w:r>
            <w:r w:rsidRPr="00BA6DA5">
              <w:rPr>
                <w:rFonts w:ascii="Arial" w:eastAsia="Arial Unicode MS" w:hAnsi="Arial"/>
                <w:bCs/>
                <w:sz w:val="20"/>
                <w:szCs w:val="20"/>
              </w:rPr>
              <w:t>specified in the ‘Schedule of requirement’ during the last 1 (one) year and similar products during the last 3 (three) years prior to bid opening.</w:t>
            </w:r>
          </w:p>
        </w:tc>
        <w:tc>
          <w:tcPr>
            <w:tcW w:w="5579" w:type="dxa"/>
            <w:vAlign w:val="center"/>
          </w:tcPr>
          <w:p w14:paraId="18B5C7A5" w14:textId="77777777" w:rsidR="00B64D2C" w:rsidRPr="00ED7589" w:rsidRDefault="000F100A" w:rsidP="00E102CF">
            <w:pPr>
              <w:pStyle w:val="BodyText3"/>
              <w:numPr>
                <w:ilvl w:val="0"/>
                <w:numId w:val="34"/>
              </w:numPr>
              <w:ind w:left="454" w:hanging="227"/>
              <w:jc w:val="left"/>
              <w:rPr>
                <w:rFonts w:ascii="Arial" w:hAnsi="Arial"/>
                <w:color w:val="000000"/>
              </w:rPr>
            </w:pPr>
            <w:r w:rsidRPr="00ED7589">
              <w:rPr>
                <w:rFonts w:ascii="Arial" w:hAnsi="Arial"/>
                <w:bCs/>
              </w:rPr>
              <w:t>Certification of incorporation of the Bidder</w:t>
            </w:r>
          </w:p>
          <w:p w14:paraId="203571E2" w14:textId="7B5482C4" w:rsidR="000F100A" w:rsidRPr="00ED7589" w:rsidRDefault="000F100A" w:rsidP="00E102CF">
            <w:pPr>
              <w:pStyle w:val="BodyText3"/>
              <w:numPr>
                <w:ilvl w:val="0"/>
                <w:numId w:val="34"/>
              </w:numPr>
              <w:ind w:left="454" w:hanging="227"/>
              <w:jc w:val="left"/>
              <w:rPr>
                <w:rFonts w:ascii="Arial" w:hAnsi="Arial"/>
                <w:bCs/>
              </w:rPr>
            </w:pPr>
            <w:r w:rsidRPr="00ED7589">
              <w:rPr>
                <w:rFonts w:ascii="Arial" w:hAnsi="Arial"/>
                <w:bCs/>
              </w:rPr>
              <w:t>Form J: Performance Statement Form</w:t>
            </w:r>
          </w:p>
        </w:tc>
      </w:tr>
      <w:tr w:rsidR="00B64D2C" w:rsidRPr="00162214" w14:paraId="440B0150" w14:textId="77777777" w:rsidTr="00BF6B44">
        <w:trPr>
          <w:trHeight w:val="856"/>
        </w:trPr>
        <w:tc>
          <w:tcPr>
            <w:tcW w:w="5311" w:type="dxa"/>
            <w:vAlign w:val="center"/>
          </w:tcPr>
          <w:p w14:paraId="1F487373" w14:textId="1798DBD4" w:rsidR="00B64D2C" w:rsidRPr="00F30104" w:rsidRDefault="00B64D2C" w:rsidP="00E102CF">
            <w:pPr>
              <w:pStyle w:val="ListParagraph"/>
              <w:numPr>
                <w:ilvl w:val="0"/>
                <w:numId w:val="35"/>
              </w:numPr>
              <w:spacing w:after="0" w:line="240" w:lineRule="auto"/>
              <w:ind w:left="357" w:hanging="357"/>
              <w:rPr>
                <w:rFonts w:ascii="Arial" w:eastAsia="Arial Unicode MS" w:hAnsi="Arial"/>
                <w:bCs/>
                <w:sz w:val="20"/>
                <w:szCs w:val="20"/>
              </w:rPr>
            </w:pPr>
            <w:r w:rsidRPr="00F30104">
              <w:rPr>
                <w:rFonts w:ascii="Arial" w:eastAsia="Arial Unicode MS" w:hAnsi="Arial"/>
                <w:bCs/>
                <w:sz w:val="20"/>
                <w:szCs w:val="20"/>
              </w:rPr>
              <w:t>There should not be any adverse report regarding the supplies for at least five years preceding the date of bid opening.</w:t>
            </w:r>
          </w:p>
        </w:tc>
        <w:tc>
          <w:tcPr>
            <w:tcW w:w="5579" w:type="dxa"/>
            <w:vAlign w:val="center"/>
          </w:tcPr>
          <w:p w14:paraId="3981CFBB" w14:textId="189A9DD0" w:rsidR="00B64D2C" w:rsidRPr="002A5163" w:rsidRDefault="00A66A7D" w:rsidP="00A66A7D">
            <w:pPr>
              <w:pStyle w:val="BodyText3"/>
              <w:numPr>
                <w:ilvl w:val="0"/>
                <w:numId w:val="34"/>
              </w:numPr>
              <w:ind w:left="454" w:hanging="227"/>
              <w:jc w:val="left"/>
              <w:rPr>
                <w:rFonts w:ascii="Arial" w:hAnsi="Arial"/>
                <w:bCs/>
              </w:rPr>
            </w:pPr>
            <w:r>
              <w:rPr>
                <w:rFonts w:ascii="Arial" w:hAnsi="Arial"/>
                <w:color w:val="000000"/>
              </w:rPr>
              <w:t>F</w:t>
            </w:r>
            <w:r w:rsidRPr="00A66A7D">
              <w:rPr>
                <w:rFonts w:ascii="Arial" w:hAnsi="Arial"/>
                <w:color w:val="000000"/>
              </w:rPr>
              <w:t>orm K: No Adverse Action Confirmation Form</w:t>
            </w:r>
          </w:p>
        </w:tc>
      </w:tr>
    </w:tbl>
    <w:p w14:paraId="05F9DCAE" w14:textId="77777777" w:rsidR="00482544" w:rsidRDefault="00482544" w:rsidP="000E4E23">
      <w:pPr>
        <w:pStyle w:val="BodyText3"/>
        <w:rPr>
          <w:rFonts w:ascii="Arial" w:hAnsi="Arial"/>
          <w:b/>
          <w:bCs/>
          <w:u w:val="single"/>
        </w:rPr>
      </w:pPr>
    </w:p>
    <w:p w14:paraId="1C8E1CC2" w14:textId="28527D49" w:rsidR="000E4E23" w:rsidRDefault="000E4E23" w:rsidP="000E4E23">
      <w:pPr>
        <w:pStyle w:val="BodyText3"/>
        <w:rPr>
          <w:rFonts w:ascii="Arial" w:hAnsi="Arial"/>
          <w:b/>
          <w:bCs/>
          <w:u w:val="single"/>
        </w:rPr>
      </w:pPr>
      <w:r w:rsidRPr="000E4E23">
        <w:rPr>
          <w:rFonts w:ascii="Arial" w:hAnsi="Arial"/>
          <w:b/>
          <w:bCs/>
          <w:u w:val="single"/>
        </w:rPr>
        <w:t>Technical criteria</w:t>
      </w:r>
      <w:r w:rsidR="001A380F" w:rsidRPr="001A380F">
        <w:rPr>
          <w:rFonts w:ascii="Arial" w:hAnsi="Arial"/>
          <w:b/>
          <w:bCs/>
        </w:rPr>
        <w:t xml:space="preserve"> </w:t>
      </w:r>
    </w:p>
    <w:p w14:paraId="53802443" w14:textId="77777777" w:rsidR="001A380F" w:rsidRDefault="001A380F" w:rsidP="000E4E23">
      <w:pPr>
        <w:pStyle w:val="BodyText3"/>
        <w:rPr>
          <w:rFonts w:ascii="Arial" w:hAnsi="Arial"/>
          <w:b/>
          <w:bCs/>
          <w:u w:val="single"/>
        </w:rPr>
      </w:pPr>
    </w:p>
    <w:tbl>
      <w:tblPr>
        <w:tblStyle w:val="TableGrid"/>
        <w:tblW w:w="10890" w:type="dxa"/>
        <w:tblInd w:w="-455" w:type="dxa"/>
        <w:tblLook w:val="04A0" w:firstRow="1" w:lastRow="0" w:firstColumn="1" w:lastColumn="0" w:noHBand="0" w:noVBand="1"/>
      </w:tblPr>
      <w:tblGrid>
        <w:gridCol w:w="5311"/>
        <w:gridCol w:w="5579"/>
      </w:tblGrid>
      <w:tr w:rsidR="001A380F" w14:paraId="52754FE7" w14:textId="77777777" w:rsidTr="00BF6B44">
        <w:tc>
          <w:tcPr>
            <w:tcW w:w="5311" w:type="dxa"/>
            <w:shd w:val="clear" w:color="auto" w:fill="D9D9D9" w:themeFill="background1" w:themeFillShade="D9"/>
            <w:vAlign w:val="center"/>
          </w:tcPr>
          <w:p w14:paraId="525F0982" w14:textId="77777777" w:rsidR="001A380F" w:rsidRDefault="001A380F" w:rsidP="00787050">
            <w:pPr>
              <w:pStyle w:val="BodyText3"/>
              <w:jc w:val="center"/>
              <w:rPr>
                <w:rFonts w:ascii="Arial" w:hAnsi="Arial"/>
                <w:b/>
                <w:bCs/>
              </w:rPr>
            </w:pPr>
            <w:r>
              <w:rPr>
                <w:rFonts w:ascii="Arial" w:hAnsi="Arial"/>
                <w:b/>
                <w:bCs/>
              </w:rPr>
              <w:t>Criteria</w:t>
            </w:r>
          </w:p>
        </w:tc>
        <w:tc>
          <w:tcPr>
            <w:tcW w:w="5579" w:type="dxa"/>
            <w:shd w:val="clear" w:color="auto" w:fill="D9D9D9" w:themeFill="background1" w:themeFillShade="D9"/>
            <w:vAlign w:val="center"/>
          </w:tcPr>
          <w:p w14:paraId="22FCAC93" w14:textId="77777777" w:rsidR="001A380F" w:rsidRDefault="001A380F" w:rsidP="00787050">
            <w:pPr>
              <w:pStyle w:val="BodyText3"/>
              <w:jc w:val="center"/>
              <w:rPr>
                <w:rFonts w:ascii="Arial" w:hAnsi="Arial"/>
                <w:b/>
                <w:bCs/>
              </w:rPr>
            </w:pPr>
            <w:r>
              <w:rPr>
                <w:rFonts w:ascii="Arial" w:hAnsi="Arial"/>
                <w:b/>
                <w:bCs/>
              </w:rPr>
              <w:t>Documents to establish compliance with the criteria</w:t>
            </w:r>
          </w:p>
        </w:tc>
      </w:tr>
      <w:tr w:rsidR="00B64D2C" w:rsidRPr="00162214" w14:paraId="3BA8D4DB" w14:textId="77777777" w:rsidTr="00BF6B44">
        <w:trPr>
          <w:trHeight w:val="1026"/>
        </w:trPr>
        <w:tc>
          <w:tcPr>
            <w:tcW w:w="5311" w:type="dxa"/>
            <w:vAlign w:val="center"/>
          </w:tcPr>
          <w:p w14:paraId="28211193" w14:textId="4854B28C" w:rsidR="00B64D2C" w:rsidRPr="000F100A" w:rsidRDefault="002A5163" w:rsidP="00E102CF">
            <w:pPr>
              <w:pStyle w:val="BodyText3"/>
              <w:numPr>
                <w:ilvl w:val="0"/>
                <w:numId w:val="36"/>
              </w:numPr>
              <w:rPr>
                <w:rFonts w:ascii="Arial" w:hAnsi="Arial"/>
                <w:bCs/>
              </w:rPr>
            </w:pPr>
            <w:r>
              <w:rPr>
                <w:rFonts w:ascii="Arial" w:hAnsi="Arial"/>
                <w:bCs/>
              </w:rPr>
              <w:t xml:space="preserve">Goods/services offered in the bid </w:t>
            </w:r>
            <w:r w:rsidR="008910F5">
              <w:rPr>
                <w:rFonts w:ascii="Arial" w:hAnsi="Arial"/>
                <w:bCs/>
              </w:rPr>
              <w:t xml:space="preserve">are substantially compliant and </w:t>
            </w:r>
            <w:r>
              <w:rPr>
                <w:rFonts w:ascii="Arial" w:hAnsi="Arial"/>
                <w:bCs/>
              </w:rPr>
              <w:t>do</w:t>
            </w:r>
            <w:r w:rsidR="000F100A">
              <w:rPr>
                <w:rFonts w:ascii="Arial" w:hAnsi="Arial"/>
                <w:bCs/>
              </w:rPr>
              <w:t xml:space="preserve"> not </w:t>
            </w:r>
            <w:r w:rsidR="000F100A" w:rsidRPr="000F100A">
              <w:rPr>
                <w:rFonts w:ascii="Arial" w:hAnsi="Arial"/>
                <w:bCs/>
              </w:rPr>
              <w:t xml:space="preserve">contain </w:t>
            </w:r>
            <w:r>
              <w:rPr>
                <w:rFonts w:ascii="Arial" w:hAnsi="Arial"/>
                <w:bCs/>
              </w:rPr>
              <w:t xml:space="preserve">any </w:t>
            </w:r>
            <w:r w:rsidR="000F100A" w:rsidRPr="000F100A">
              <w:rPr>
                <w:rFonts w:ascii="Arial" w:hAnsi="Arial"/>
                <w:bCs/>
              </w:rPr>
              <w:t>material deviation</w:t>
            </w:r>
            <w:r>
              <w:rPr>
                <w:rFonts w:ascii="Arial" w:hAnsi="Arial"/>
                <w:bCs/>
              </w:rPr>
              <w:t xml:space="preserve">(s) from the minimum required </w:t>
            </w:r>
            <w:r w:rsidRPr="002A5163">
              <w:rPr>
                <w:rFonts w:ascii="Arial" w:hAnsi="Arial"/>
                <w:bCs/>
              </w:rPr>
              <w:t>as included in</w:t>
            </w:r>
            <w:r w:rsidR="000F100A" w:rsidRPr="002A5163">
              <w:rPr>
                <w:rFonts w:ascii="Arial" w:hAnsi="Arial"/>
                <w:bCs/>
              </w:rPr>
              <w:t xml:space="preserve"> </w:t>
            </w:r>
            <w:r w:rsidRPr="002A5163">
              <w:rPr>
                <w:rFonts w:ascii="Arial" w:hAnsi="Arial"/>
                <w:bCs/>
              </w:rPr>
              <w:t xml:space="preserve">Section IV: </w:t>
            </w:r>
            <w:r w:rsidR="000F100A" w:rsidRPr="002A5163">
              <w:rPr>
                <w:rFonts w:ascii="Arial" w:hAnsi="Arial"/>
                <w:bCs/>
              </w:rPr>
              <w:t>Schedule of Requirements</w:t>
            </w:r>
            <w:r w:rsidRPr="002A5163">
              <w:rPr>
                <w:rFonts w:ascii="Arial" w:hAnsi="Arial"/>
                <w:bCs/>
              </w:rPr>
              <w:t>.</w:t>
            </w:r>
          </w:p>
        </w:tc>
        <w:tc>
          <w:tcPr>
            <w:tcW w:w="5579" w:type="dxa"/>
            <w:vAlign w:val="center"/>
          </w:tcPr>
          <w:p w14:paraId="53FCA333" w14:textId="77777777" w:rsidR="00B64D2C" w:rsidRDefault="00B64D2C" w:rsidP="00E102CF">
            <w:pPr>
              <w:pStyle w:val="BodyText3"/>
              <w:numPr>
                <w:ilvl w:val="0"/>
                <w:numId w:val="34"/>
              </w:numPr>
              <w:ind w:left="454" w:hanging="227"/>
              <w:jc w:val="left"/>
              <w:rPr>
                <w:rFonts w:ascii="Arial" w:hAnsi="Arial"/>
                <w:color w:val="000000"/>
              </w:rPr>
            </w:pPr>
            <w:r w:rsidRPr="00B64D2C">
              <w:rPr>
                <w:rFonts w:ascii="Arial" w:hAnsi="Arial"/>
                <w:color w:val="000000"/>
              </w:rPr>
              <w:t>Form G: Technical Bid Form</w:t>
            </w:r>
          </w:p>
          <w:p w14:paraId="17ABFA2A" w14:textId="7F9D21E6" w:rsidR="002A5163" w:rsidRPr="00B64D2C" w:rsidRDefault="002A5163" w:rsidP="00BA6DA5">
            <w:pPr>
              <w:pStyle w:val="BodyText3"/>
              <w:numPr>
                <w:ilvl w:val="0"/>
                <w:numId w:val="34"/>
              </w:numPr>
              <w:ind w:left="454" w:hanging="227"/>
              <w:jc w:val="left"/>
              <w:rPr>
                <w:rFonts w:ascii="Arial" w:hAnsi="Arial"/>
                <w:color w:val="000000"/>
              </w:rPr>
            </w:pPr>
            <w:r>
              <w:rPr>
                <w:rFonts w:ascii="Arial" w:hAnsi="Arial"/>
                <w:color w:val="000000"/>
              </w:rPr>
              <w:t xml:space="preserve">Product catalogues </w:t>
            </w:r>
          </w:p>
        </w:tc>
      </w:tr>
      <w:tr w:rsidR="001A380F" w:rsidRPr="00162214" w14:paraId="1A5AB9CC" w14:textId="77777777" w:rsidTr="00BF6B44">
        <w:trPr>
          <w:trHeight w:val="395"/>
        </w:trPr>
        <w:tc>
          <w:tcPr>
            <w:tcW w:w="5311" w:type="dxa"/>
            <w:vAlign w:val="center"/>
          </w:tcPr>
          <w:p w14:paraId="79873C36" w14:textId="1E497B26" w:rsidR="001A380F" w:rsidRPr="001469A9" w:rsidRDefault="008910F5" w:rsidP="008910F5">
            <w:pPr>
              <w:pStyle w:val="BodyText3"/>
              <w:numPr>
                <w:ilvl w:val="0"/>
                <w:numId w:val="36"/>
              </w:numPr>
              <w:rPr>
                <w:rFonts w:ascii="Arial" w:hAnsi="Arial"/>
                <w:bCs/>
              </w:rPr>
            </w:pPr>
            <w:r>
              <w:rPr>
                <w:rFonts w:ascii="Arial" w:hAnsi="Arial"/>
                <w:bCs/>
              </w:rPr>
              <w:lastRenderedPageBreak/>
              <w:t xml:space="preserve">The bid’s </w:t>
            </w:r>
            <w:r w:rsidR="00402E0E" w:rsidRPr="001469A9">
              <w:rPr>
                <w:rFonts w:ascii="Arial" w:hAnsi="Arial"/>
                <w:bCs/>
              </w:rPr>
              <w:t xml:space="preserve">Delivery </w:t>
            </w:r>
            <w:r w:rsidR="00CB0778" w:rsidRPr="001469A9">
              <w:rPr>
                <w:rFonts w:ascii="Arial" w:hAnsi="Arial"/>
                <w:bCs/>
              </w:rPr>
              <w:t>Requirements</w:t>
            </w:r>
            <w:r w:rsidR="00402E0E" w:rsidRPr="001469A9">
              <w:rPr>
                <w:rFonts w:ascii="Arial" w:hAnsi="Arial"/>
                <w:bCs/>
              </w:rPr>
              <w:t xml:space="preserve"> (including</w:t>
            </w:r>
            <w:r w:rsidR="001A380F" w:rsidRPr="001469A9">
              <w:rPr>
                <w:rFonts w:ascii="Arial" w:hAnsi="Arial"/>
                <w:bCs/>
              </w:rPr>
              <w:t xml:space="preserve"> Incoterms rule</w:t>
            </w:r>
            <w:r w:rsidR="00402E0E" w:rsidRPr="001469A9">
              <w:rPr>
                <w:rFonts w:ascii="Arial" w:hAnsi="Arial"/>
                <w:bCs/>
              </w:rPr>
              <w:t>(</w:t>
            </w:r>
            <w:r w:rsidR="001A380F" w:rsidRPr="001469A9">
              <w:rPr>
                <w:rFonts w:ascii="Arial" w:hAnsi="Arial"/>
                <w:bCs/>
              </w:rPr>
              <w:t>s</w:t>
            </w:r>
            <w:r w:rsidR="00402E0E" w:rsidRPr="001469A9">
              <w:rPr>
                <w:rFonts w:ascii="Arial" w:hAnsi="Arial"/>
                <w:bCs/>
              </w:rPr>
              <w:t>)</w:t>
            </w:r>
            <w:r w:rsidR="001A380F" w:rsidRPr="001469A9">
              <w:rPr>
                <w:rFonts w:ascii="Arial" w:hAnsi="Arial"/>
                <w:bCs/>
              </w:rPr>
              <w:t xml:space="preserve"> requested)</w:t>
            </w:r>
            <w:r>
              <w:rPr>
                <w:rFonts w:ascii="Arial" w:hAnsi="Arial"/>
                <w:bCs/>
              </w:rPr>
              <w:t xml:space="preserve"> are substantially compliant and do not </w:t>
            </w:r>
            <w:r w:rsidRPr="000F100A">
              <w:rPr>
                <w:rFonts w:ascii="Arial" w:hAnsi="Arial"/>
                <w:bCs/>
              </w:rPr>
              <w:t xml:space="preserve">contain </w:t>
            </w:r>
            <w:r>
              <w:rPr>
                <w:rFonts w:ascii="Arial" w:hAnsi="Arial"/>
                <w:bCs/>
              </w:rPr>
              <w:t xml:space="preserve">any </w:t>
            </w:r>
            <w:r w:rsidRPr="000F100A">
              <w:rPr>
                <w:rFonts w:ascii="Arial" w:hAnsi="Arial"/>
                <w:bCs/>
              </w:rPr>
              <w:t>material deviation</w:t>
            </w:r>
            <w:r>
              <w:rPr>
                <w:rFonts w:ascii="Arial" w:hAnsi="Arial"/>
                <w:bCs/>
              </w:rPr>
              <w:t xml:space="preserve">(s) from the minimum required </w:t>
            </w:r>
            <w:r w:rsidRPr="002A5163">
              <w:rPr>
                <w:rFonts w:ascii="Arial" w:hAnsi="Arial"/>
                <w:bCs/>
              </w:rPr>
              <w:t>as included in Section IV: Schedule of Requirements.</w:t>
            </w:r>
          </w:p>
        </w:tc>
        <w:tc>
          <w:tcPr>
            <w:tcW w:w="5579" w:type="dxa"/>
            <w:vAlign w:val="center"/>
          </w:tcPr>
          <w:p w14:paraId="2690F071" w14:textId="77777777" w:rsidR="001A380F" w:rsidRDefault="00CB0778" w:rsidP="00CB0778">
            <w:pPr>
              <w:pStyle w:val="BodyText3"/>
              <w:numPr>
                <w:ilvl w:val="0"/>
                <w:numId w:val="34"/>
              </w:numPr>
              <w:ind w:left="454" w:hanging="227"/>
              <w:jc w:val="left"/>
              <w:rPr>
                <w:rFonts w:ascii="Arial" w:hAnsi="Arial"/>
                <w:color w:val="000000"/>
              </w:rPr>
            </w:pPr>
            <w:r w:rsidRPr="001469A9">
              <w:rPr>
                <w:rFonts w:ascii="Arial" w:hAnsi="Arial"/>
                <w:color w:val="000000"/>
              </w:rPr>
              <w:t>Form G: Technical Bid Form</w:t>
            </w:r>
          </w:p>
          <w:p w14:paraId="541DE804" w14:textId="7ED6D47D" w:rsidR="008D574B" w:rsidRPr="001469A9" w:rsidRDefault="008D574B" w:rsidP="008D574B">
            <w:pPr>
              <w:pStyle w:val="BodyText3"/>
              <w:numPr>
                <w:ilvl w:val="0"/>
                <w:numId w:val="34"/>
              </w:numPr>
              <w:ind w:left="454" w:hanging="227"/>
              <w:jc w:val="left"/>
              <w:rPr>
                <w:rFonts w:ascii="Arial" w:hAnsi="Arial"/>
                <w:color w:val="000000"/>
              </w:rPr>
            </w:pPr>
            <w:r w:rsidRPr="008D574B">
              <w:rPr>
                <w:rFonts w:ascii="Arial" w:hAnsi="Arial"/>
                <w:color w:val="000000"/>
              </w:rPr>
              <w:t>Form F: Price Schedule Form</w:t>
            </w:r>
          </w:p>
        </w:tc>
      </w:tr>
    </w:tbl>
    <w:p w14:paraId="216C49FC" w14:textId="77777777" w:rsidR="001A380F" w:rsidRDefault="001A380F" w:rsidP="000E4E23">
      <w:pPr>
        <w:pStyle w:val="BodyText3"/>
        <w:rPr>
          <w:rFonts w:ascii="Arial" w:hAnsi="Arial"/>
          <w:b/>
          <w:bCs/>
          <w:u w:val="single"/>
        </w:rPr>
      </w:pPr>
    </w:p>
    <w:p w14:paraId="2A8C54CD" w14:textId="15811E8B" w:rsidR="00CC3400" w:rsidRDefault="00CC3400" w:rsidP="00CC3400">
      <w:pPr>
        <w:pStyle w:val="BodyText3"/>
        <w:rPr>
          <w:rFonts w:ascii="Arial" w:hAnsi="Arial"/>
          <w:bCs/>
        </w:rPr>
      </w:pPr>
      <w:r>
        <w:rPr>
          <w:rFonts w:ascii="Arial" w:hAnsi="Arial"/>
          <w:b/>
          <w:bCs/>
          <w:u w:val="single"/>
        </w:rPr>
        <w:t xml:space="preserve">Financial </w:t>
      </w:r>
      <w:r w:rsidRPr="000E4E23">
        <w:rPr>
          <w:rFonts w:ascii="Arial" w:hAnsi="Arial"/>
          <w:b/>
          <w:bCs/>
          <w:u w:val="single"/>
        </w:rPr>
        <w:t>criteria</w:t>
      </w:r>
      <w:r w:rsidRPr="00DB3091">
        <w:rPr>
          <w:rFonts w:ascii="Arial" w:hAnsi="Arial"/>
          <w:bCs/>
        </w:rPr>
        <w:t xml:space="preserve"> – </w:t>
      </w:r>
      <w:r w:rsidRPr="00DF65C5">
        <w:rPr>
          <w:rFonts w:ascii="Arial" w:hAnsi="Arial"/>
          <w:bCs/>
        </w:rPr>
        <w:t xml:space="preserve">evaluated on </w:t>
      </w:r>
      <w:r w:rsidR="00C83F1E">
        <w:rPr>
          <w:rFonts w:ascii="Arial" w:hAnsi="Arial"/>
          <w:bCs/>
        </w:rPr>
        <w:t>“lowest priced substantially compliant offer</w:t>
      </w:r>
      <w:r>
        <w:rPr>
          <w:rFonts w:ascii="Arial" w:hAnsi="Arial"/>
          <w:bCs/>
        </w:rPr>
        <w:t xml:space="preserve">” </w:t>
      </w:r>
      <w:r w:rsidRPr="00DF65C5">
        <w:rPr>
          <w:rFonts w:ascii="Arial" w:hAnsi="Arial"/>
          <w:bCs/>
        </w:rPr>
        <w:t>basis</w:t>
      </w:r>
      <w:r>
        <w:rPr>
          <w:rFonts w:ascii="Arial" w:hAnsi="Arial"/>
          <w:bCs/>
        </w:rPr>
        <w:t>:</w:t>
      </w:r>
    </w:p>
    <w:p w14:paraId="649E1556" w14:textId="77777777" w:rsidR="00CC3400" w:rsidRDefault="00CC3400" w:rsidP="00CC3400">
      <w:pPr>
        <w:pStyle w:val="Sub-ClauseText"/>
        <w:tabs>
          <w:tab w:val="left" w:pos="432"/>
        </w:tabs>
        <w:spacing w:before="0" w:after="0"/>
        <w:rPr>
          <w:rFonts w:ascii="Arial" w:eastAsia="Arial Unicode MS" w:hAnsi="Arial" w:cs="Arial"/>
          <w:bCs/>
          <w:spacing w:val="0"/>
          <w:sz w:val="20"/>
          <w:lang w:eastAsia="en-GB"/>
        </w:rPr>
      </w:pPr>
    </w:p>
    <w:p w14:paraId="1FA56E6B" w14:textId="77777777" w:rsidR="00CC3400" w:rsidRDefault="00CC3400" w:rsidP="00CC3400">
      <w:pPr>
        <w:tabs>
          <w:tab w:val="left" w:pos="540"/>
        </w:tabs>
        <w:suppressAutoHyphens/>
        <w:ind w:right="-74"/>
        <w:jc w:val="both"/>
      </w:pPr>
      <w:r w:rsidRPr="00491491">
        <w:rPr>
          <w:b/>
        </w:rPr>
        <w:t>To evaluate a Bid, UNOPS shall consider the following</w:t>
      </w:r>
      <w:r w:rsidRPr="005A58C0">
        <w:t>:</w:t>
      </w:r>
    </w:p>
    <w:p w14:paraId="3396D310" w14:textId="77777777" w:rsidR="008C07D4" w:rsidRDefault="008C07D4" w:rsidP="008C07D4">
      <w:pPr>
        <w:pStyle w:val="BodyText3"/>
        <w:numPr>
          <w:ilvl w:val="0"/>
          <w:numId w:val="33"/>
        </w:numPr>
        <w:spacing w:before="120" w:after="120"/>
        <w:rPr>
          <w:rFonts w:ascii="Arial" w:hAnsi="Arial"/>
          <w:bCs/>
        </w:rPr>
      </w:pPr>
      <w:r w:rsidRPr="00562C6E">
        <w:rPr>
          <w:rFonts w:ascii="Arial" w:hAnsi="Arial"/>
          <w:bCs/>
        </w:rPr>
        <w:t xml:space="preserve">Evaluation will be done </w:t>
      </w:r>
      <w:r>
        <w:rPr>
          <w:rFonts w:ascii="Arial" w:hAnsi="Arial"/>
          <w:bCs/>
        </w:rPr>
        <w:t>for the totality of the requirement,</w:t>
      </w:r>
      <w:r w:rsidRPr="00562C6E">
        <w:rPr>
          <w:rFonts w:ascii="Arial" w:hAnsi="Arial"/>
          <w:bCs/>
        </w:rPr>
        <w:t xml:space="preserve"> and in the event of a Contract, the Contract will comprise of all or part of </w:t>
      </w:r>
      <w:r>
        <w:rPr>
          <w:rFonts w:ascii="Arial" w:hAnsi="Arial"/>
          <w:bCs/>
        </w:rPr>
        <w:t>the items included in the ITB.</w:t>
      </w:r>
    </w:p>
    <w:p w14:paraId="6947F748" w14:textId="77777777" w:rsidR="00CC3400" w:rsidRPr="005B7EFF" w:rsidRDefault="00CC3400" w:rsidP="00CC3400">
      <w:pPr>
        <w:pStyle w:val="BodyText3"/>
        <w:numPr>
          <w:ilvl w:val="0"/>
          <w:numId w:val="33"/>
        </w:numPr>
        <w:spacing w:before="120" w:after="120"/>
        <w:rPr>
          <w:rFonts w:ascii="Arial" w:hAnsi="Arial"/>
          <w:bCs/>
        </w:rPr>
      </w:pPr>
      <w:r w:rsidRPr="00491491">
        <w:rPr>
          <w:rFonts w:ascii="Arial" w:hAnsi="Arial"/>
          <w:bCs/>
        </w:rPr>
        <w:t>UNOPS’s evaluation of a bid will exclude and not take into account</w:t>
      </w:r>
      <w:r>
        <w:rPr>
          <w:rFonts w:ascii="Arial" w:hAnsi="Arial"/>
          <w:bCs/>
        </w:rPr>
        <w:t xml:space="preserve"> </w:t>
      </w:r>
      <w:r>
        <w:rPr>
          <w:rFonts w:ascii="Arial" w:hAnsi="Arial"/>
          <w:color w:val="000000"/>
        </w:rPr>
        <w:t>c</w:t>
      </w:r>
      <w:r w:rsidRPr="005B7EFF">
        <w:rPr>
          <w:rFonts w:ascii="Arial" w:hAnsi="Arial"/>
          <w:color w:val="000000"/>
        </w:rPr>
        <w:t>ustoms duties and other import taxes, sales and other similar taxes, which may be p</w:t>
      </w:r>
      <w:bookmarkStart w:id="0" w:name="_GoBack"/>
      <w:bookmarkEnd w:id="0"/>
      <w:r w:rsidRPr="005B7EFF">
        <w:rPr>
          <w:rFonts w:ascii="Arial" w:hAnsi="Arial"/>
          <w:color w:val="000000"/>
        </w:rPr>
        <w:t xml:space="preserve">ayable on the Goods if the contract is awarded to the Bidder; </w:t>
      </w:r>
    </w:p>
    <w:p w14:paraId="0C01C9D8" w14:textId="77777777" w:rsidR="00CC3400" w:rsidRPr="0009583F" w:rsidRDefault="00CC3400" w:rsidP="00CC3400">
      <w:pPr>
        <w:pStyle w:val="BodyText3"/>
        <w:numPr>
          <w:ilvl w:val="0"/>
          <w:numId w:val="33"/>
        </w:numPr>
        <w:spacing w:before="120" w:after="120"/>
        <w:rPr>
          <w:rFonts w:ascii="Arial" w:hAnsi="Arial"/>
          <w:bCs/>
        </w:rPr>
      </w:pPr>
      <w:r w:rsidRPr="005E336E">
        <w:rPr>
          <w:rFonts w:ascii="Arial" w:hAnsi="Arial"/>
          <w:bCs/>
        </w:rPr>
        <w:t xml:space="preserve">UNOPS reserves the right to compare freight prices of Bidders with rates of reputable freight forwarders and to consider such rates for the purpose of bid evaluation. In the event of freight prices of Bidders being found less competitive than rates offered by freight forwarders, UNOPS may issue a Contract on FCA basis to the Vendor instead of CPT, and issue a separate contract for freight to a freight forwarder, if deemed in the best financial interest of UNOPS. In the event of an order where UNOPS utilizes its own freight forwarder, the awarded supplier </w:t>
      </w:r>
      <w:r>
        <w:rPr>
          <w:rFonts w:ascii="Arial" w:hAnsi="Arial"/>
          <w:bCs/>
        </w:rPr>
        <w:t>shall be</w:t>
      </w:r>
      <w:r w:rsidRPr="005E336E">
        <w:rPr>
          <w:rFonts w:ascii="Arial" w:hAnsi="Arial"/>
          <w:bCs/>
        </w:rPr>
        <w:t xml:space="preserve"> required</w:t>
      </w:r>
      <w:r>
        <w:rPr>
          <w:rFonts w:ascii="Arial" w:hAnsi="Arial"/>
          <w:bCs/>
        </w:rPr>
        <w:t xml:space="preserve"> </w:t>
      </w:r>
      <w:r w:rsidRPr="005E336E">
        <w:rPr>
          <w:rFonts w:ascii="Arial" w:hAnsi="Arial"/>
          <w:bCs/>
        </w:rPr>
        <w:t>to cover the difference in freight cost resulting from higher weight/volume than initially stated in the bid.</w:t>
      </w:r>
    </w:p>
    <w:p w14:paraId="5EBE8AB9" w14:textId="77777777" w:rsidR="000E4E23" w:rsidRDefault="000E4E23" w:rsidP="00690689">
      <w:pPr>
        <w:autoSpaceDE w:val="0"/>
        <w:autoSpaceDN w:val="0"/>
        <w:adjustRightInd w:val="0"/>
        <w:rPr>
          <w:bCs/>
        </w:rPr>
      </w:pPr>
    </w:p>
    <w:p w14:paraId="613ED353" w14:textId="5778EA35" w:rsidR="0076307D" w:rsidRPr="00CC3400" w:rsidRDefault="0076307D">
      <w:pPr>
        <w:rPr>
          <w:b/>
          <w:bCs/>
          <w:color w:val="518ECB"/>
          <w:sz w:val="28"/>
          <w:szCs w:val="28"/>
        </w:rPr>
      </w:pPr>
    </w:p>
    <w:sectPr w:rsidR="0076307D" w:rsidRPr="00CC3400" w:rsidSect="00BF6B44">
      <w:headerReference w:type="default" r:id="rId12"/>
      <w:footerReference w:type="default" r:id="rId13"/>
      <w:headerReference w:type="first" r:id="rId14"/>
      <w:footerReference w:type="first" r:id="rId15"/>
      <w:pgSz w:w="11907" w:h="16839" w:code="9"/>
      <w:pgMar w:top="1080" w:right="1077" w:bottom="990" w:left="1077"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2225F" w14:textId="77777777" w:rsidR="008C7E13" w:rsidRDefault="008C7E13">
      <w:r>
        <w:separator/>
      </w:r>
    </w:p>
  </w:endnote>
  <w:endnote w:type="continuationSeparator" w:id="0">
    <w:p w14:paraId="3441F406" w14:textId="77777777" w:rsidR="008C7E13" w:rsidRDefault="008C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155583"/>
      <w:docPartObj>
        <w:docPartGallery w:val="Page Numbers (Bottom of Page)"/>
        <w:docPartUnique/>
      </w:docPartObj>
    </w:sdtPr>
    <w:sdtEndPr>
      <w:rPr>
        <w:noProof/>
      </w:rPr>
    </w:sdtEndPr>
    <w:sdtContent>
      <w:p w14:paraId="36516280" w14:textId="7E31F460" w:rsidR="002A4290" w:rsidRDefault="00B73665">
        <w:pPr>
          <w:pStyle w:val="Footer"/>
          <w:jc w:val="right"/>
        </w:pPr>
        <w:r>
          <w:t>2</w:t>
        </w:r>
      </w:p>
    </w:sdtContent>
  </w:sdt>
  <w:p w14:paraId="613ED3B4" w14:textId="6B89366B" w:rsidR="008C7E13" w:rsidRPr="00B76576" w:rsidRDefault="008C7E13" w:rsidP="00B765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269695"/>
      <w:docPartObj>
        <w:docPartGallery w:val="Page Numbers (Bottom of Page)"/>
        <w:docPartUnique/>
      </w:docPartObj>
    </w:sdtPr>
    <w:sdtEndPr>
      <w:rPr>
        <w:noProof/>
      </w:rPr>
    </w:sdtEndPr>
    <w:sdtContent>
      <w:p w14:paraId="73F09345" w14:textId="2072F59E" w:rsidR="002A4290" w:rsidRDefault="00B73665">
        <w:pPr>
          <w:pStyle w:val="Footer"/>
          <w:jc w:val="right"/>
        </w:pPr>
        <w:r>
          <w:t>1</w:t>
        </w:r>
      </w:p>
    </w:sdtContent>
  </w:sdt>
  <w:p w14:paraId="75CD19BF" w14:textId="77777777" w:rsidR="002A4290" w:rsidRDefault="002A42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92772" w14:textId="77777777" w:rsidR="008C7E13" w:rsidRDefault="008C7E13">
      <w:r>
        <w:separator/>
      </w:r>
    </w:p>
  </w:footnote>
  <w:footnote w:type="continuationSeparator" w:id="0">
    <w:p w14:paraId="4A059890" w14:textId="77777777" w:rsidR="008C7E13" w:rsidRDefault="008C7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C7E13" w:rsidRPr="00933BF0" w14:paraId="3918FAC3" w14:textId="77777777" w:rsidTr="00271317">
      <w:tc>
        <w:tcPr>
          <w:tcW w:w="9889" w:type="dxa"/>
        </w:tcPr>
        <w:p w14:paraId="43DE1002" w14:textId="5CEBF8EE" w:rsidR="008C7E13" w:rsidRPr="00933BF0" w:rsidRDefault="008C7E13" w:rsidP="00B76576">
          <w:pPr>
            <w:pStyle w:val="Footer"/>
            <w:jc w:val="right"/>
            <w:rPr>
              <w:rFonts w:ascii="Arial" w:hAnsi="Arial"/>
              <w:sz w:val="18"/>
              <w:szCs w:val="18"/>
            </w:rPr>
          </w:pPr>
          <w:r>
            <w:rPr>
              <w:rFonts w:ascii="Arial" w:hAnsi="Arial"/>
              <w:sz w:val="18"/>
              <w:szCs w:val="18"/>
            </w:rPr>
            <w:t xml:space="preserve">ITB Ref No: </w:t>
          </w:r>
          <w:r w:rsidRPr="003F7260">
            <w:rPr>
              <w:rFonts w:ascii="Arial" w:hAnsi="Arial"/>
              <w:sz w:val="18"/>
              <w:szCs w:val="18"/>
            </w:rPr>
            <w:t>ITB_20264_16_805</w:t>
          </w:r>
          <w:r>
            <w:rPr>
              <w:rFonts w:ascii="Arial" w:hAnsi="Arial"/>
              <w:sz w:val="18"/>
              <w:szCs w:val="18"/>
            </w:rPr>
            <w:t xml:space="preserve"> </w:t>
          </w:r>
          <w:r w:rsidRPr="003F7260">
            <w:rPr>
              <w:rFonts w:ascii="Arial" w:hAnsi="Arial"/>
              <w:sz w:val="18"/>
              <w:szCs w:val="18"/>
            </w:rPr>
            <w:t>&amp;</w:t>
          </w:r>
          <w:r>
            <w:rPr>
              <w:rFonts w:ascii="Arial" w:hAnsi="Arial"/>
              <w:sz w:val="18"/>
              <w:szCs w:val="18"/>
            </w:rPr>
            <w:t xml:space="preserve"> </w:t>
          </w:r>
          <w:r w:rsidRPr="003F7260">
            <w:rPr>
              <w:rFonts w:ascii="Arial" w:hAnsi="Arial"/>
              <w:sz w:val="18"/>
              <w:szCs w:val="18"/>
            </w:rPr>
            <w:t>808</w:t>
          </w:r>
        </w:p>
      </w:tc>
    </w:tr>
  </w:tbl>
  <w:p w14:paraId="739964AE" w14:textId="62CF402E" w:rsidR="008C7E13" w:rsidRPr="00B76576" w:rsidRDefault="008C7E13" w:rsidP="00B76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35E4E" w14:textId="6E7B596A" w:rsidR="008C7E13" w:rsidRDefault="00CC3400" w:rsidP="00CC3400">
    <w:pPr>
      <w:pStyle w:val="Header"/>
      <w:jc w:val="right"/>
    </w:pPr>
    <w:r w:rsidRPr="00CC3400">
      <w:t xml:space="preserve">ITB Reference No: </w:t>
    </w:r>
    <w:r w:rsidR="007525D5">
      <w:t>ITB/2016/1</w:t>
    </w:r>
    <w:r w:rsidR="008C7E13" w:rsidRPr="00A1644F">
      <w:rPr>
        <w:noProof/>
        <w:lang w:val="fr-FR" w:eastAsia="fr-FR"/>
      </w:rPr>
      <w:drawing>
        <wp:anchor distT="0" distB="0" distL="114300" distR="114300" simplePos="0" relativeHeight="251658240" behindDoc="0" locked="0" layoutInCell="1" allowOverlap="1" wp14:anchorId="06AA1882" wp14:editId="2CD12BA0">
          <wp:simplePos x="0" y="0"/>
          <wp:positionH relativeFrom="column">
            <wp:posOffset>574032</wp:posOffset>
          </wp:positionH>
          <wp:positionV relativeFrom="paragraph">
            <wp:posOffset>266700</wp:posOffset>
          </wp:positionV>
          <wp:extent cx="2108835" cy="359410"/>
          <wp:effectExtent l="0" t="0" r="5715" b="25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r w:rsidR="007525D5">
      <w:t>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B950A92A"/>
    <w:lvl w:ilvl="0" w:tplc="383A77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0E325796"/>
    <w:multiLevelType w:val="hybridMultilevel"/>
    <w:tmpl w:val="8026BB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F604EFA"/>
    <w:multiLevelType w:val="hybridMultilevel"/>
    <w:tmpl w:val="997EE9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2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F245F4"/>
    <w:multiLevelType w:val="hybridMultilevel"/>
    <w:tmpl w:val="8F10D9D6"/>
    <w:lvl w:ilvl="0" w:tplc="96E66AB8">
      <w:start w:val="1"/>
      <w:numFmt w:val="lowerRoman"/>
      <w:lvlText w:val="(%1)"/>
      <w:lvlJc w:val="left"/>
      <w:pPr>
        <w:ind w:left="1440" w:hanging="720"/>
      </w:pPr>
      <w:rPr>
        <w:rFonts w:hint="default"/>
        <w:i w:val="0"/>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2"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11511CC"/>
    <w:multiLevelType w:val="hybridMultilevel"/>
    <w:tmpl w:val="73EA46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sz w:val="20"/>
        <w:szCs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0" w15:restartNumberingAfterBreak="0">
    <w:nsid w:val="46741440"/>
    <w:multiLevelType w:val="hybridMultilevel"/>
    <w:tmpl w:val="28AE1D10"/>
    <w:lvl w:ilvl="0" w:tplc="49547B46">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0513D0"/>
    <w:multiLevelType w:val="hybridMultilevel"/>
    <w:tmpl w:val="6CA0B868"/>
    <w:lvl w:ilvl="0" w:tplc="08090001">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7"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0"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0"/>
  </w:num>
  <w:num w:numId="3">
    <w:abstractNumId w:val="2"/>
  </w:num>
  <w:num w:numId="4">
    <w:abstractNumId w:val="15"/>
  </w:num>
  <w:num w:numId="5">
    <w:abstractNumId w:val="8"/>
  </w:num>
  <w:num w:numId="6">
    <w:abstractNumId w:val="4"/>
  </w:num>
  <w:num w:numId="7">
    <w:abstractNumId w:val="7"/>
  </w:num>
  <w:num w:numId="8">
    <w:abstractNumId w:val="20"/>
  </w:num>
  <w:num w:numId="9">
    <w:abstractNumId w:val="36"/>
  </w:num>
  <w:num w:numId="10">
    <w:abstractNumId w:val="37"/>
  </w:num>
  <w:num w:numId="11">
    <w:abstractNumId w:val="46"/>
  </w:num>
  <w:num w:numId="12">
    <w:abstractNumId w:val="23"/>
  </w:num>
  <w:num w:numId="13">
    <w:abstractNumId w:val="5"/>
  </w:num>
  <w:num w:numId="14">
    <w:abstractNumId w:val="9"/>
  </w:num>
  <w:num w:numId="15">
    <w:abstractNumId w:val="32"/>
  </w:num>
  <w:num w:numId="16">
    <w:abstractNumId w:val="13"/>
  </w:num>
  <w:num w:numId="17">
    <w:abstractNumId w:val="41"/>
  </w:num>
  <w:num w:numId="18">
    <w:abstractNumId w:val="19"/>
  </w:num>
  <w:num w:numId="19">
    <w:abstractNumId w:val="21"/>
  </w:num>
  <w:num w:numId="20">
    <w:abstractNumId w:val="39"/>
  </w:num>
  <w:num w:numId="21">
    <w:abstractNumId w:val="26"/>
  </w:num>
  <w:num w:numId="22">
    <w:abstractNumId w:val="45"/>
  </w:num>
  <w:num w:numId="23">
    <w:abstractNumId w:val="3"/>
  </w:num>
  <w:num w:numId="24">
    <w:abstractNumId w:val="6"/>
  </w:num>
  <w:num w:numId="25">
    <w:abstractNumId w:val="35"/>
  </w:num>
  <w:num w:numId="26">
    <w:abstractNumId w:val="29"/>
  </w:num>
  <w:num w:numId="27">
    <w:abstractNumId w:val="28"/>
  </w:num>
  <w:num w:numId="28">
    <w:abstractNumId w:val="38"/>
  </w:num>
  <w:num w:numId="29">
    <w:abstractNumId w:val="25"/>
  </w:num>
  <w:num w:numId="30">
    <w:abstractNumId w:val="34"/>
  </w:num>
  <w:num w:numId="31">
    <w:abstractNumId w:val="31"/>
  </w:num>
  <w:num w:numId="32">
    <w:abstractNumId w:val="42"/>
  </w:num>
  <w:num w:numId="33">
    <w:abstractNumId w:val="1"/>
  </w:num>
  <w:num w:numId="34">
    <w:abstractNumId w:val="12"/>
  </w:num>
  <w:num w:numId="35">
    <w:abstractNumId w:val="27"/>
  </w:num>
  <w:num w:numId="36">
    <w:abstractNumId w:val="18"/>
  </w:num>
  <w:num w:numId="37">
    <w:abstractNumId w:val="33"/>
  </w:num>
  <w:num w:numId="38">
    <w:abstractNumId w:val="30"/>
  </w:num>
  <w:num w:numId="39">
    <w:abstractNumId w:val="11"/>
  </w:num>
  <w:num w:numId="40">
    <w:abstractNumId w:val="14"/>
  </w:num>
  <w:num w:numId="41">
    <w:abstractNumId w:val="43"/>
  </w:num>
  <w:num w:numId="42">
    <w:abstractNumId w:val="22"/>
  </w:num>
  <w:num w:numId="43">
    <w:abstractNumId w:val="24"/>
  </w:num>
  <w:num w:numId="44">
    <w:abstractNumId w:val="17"/>
  </w:num>
  <w:num w:numId="45">
    <w:abstractNumId w:val="40"/>
  </w:num>
  <w:num w:numId="46">
    <w:abstractNumId w:val="16"/>
  </w:num>
  <w:num w:numId="47">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052"/>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07DE"/>
    <w:rsid w:val="000B391F"/>
    <w:rsid w:val="000B45FD"/>
    <w:rsid w:val="000B70CE"/>
    <w:rsid w:val="000B7F1C"/>
    <w:rsid w:val="000B7FC9"/>
    <w:rsid w:val="000C0397"/>
    <w:rsid w:val="000C133F"/>
    <w:rsid w:val="000C2F41"/>
    <w:rsid w:val="000C4974"/>
    <w:rsid w:val="000C60AD"/>
    <w:rsid w:val="000C76F2"/>
    <w:rsid w:val="000D1209"/>
    <w:rsid w:val="000D1427"/>
    <w:rsid w:val="000D27C9"/>
    <w:rsid w:val="000D35D3"/>
    <w:rsid w:val="000D43B3"/>
    <w:rsid w:val="000D4BEA"/>
    <w:rsid w:val="000D6D4B"/>
    <w:rsid w:val="000D7929"/>
    <w:rsid w:val="000E1446"/>
    <w:rsid w:val="000E153A"/>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258CB"/>
    <w:rsid w:val="00134ECC"/>
    <w:rsid w:val="0013535C"/>
    <w:rsid w:val="001362A6"/>
    <w:rsid w:val="0013757D"/>
    <w:rsid w:val="00141047"/>
    <w:rsid w:val="00141A93"/>
    <w:rsid w:val="001431E1"/>
    <w:rsid w:val="00143C46"/>
    <w:rsid w:val="00144E0D"/>
    <w:rsid w:val="00146535"/>
    <w:rsid w:val="001469A9"/>
    <w:rsid w:val="00146DCA"/>
    <w:rsid w:val="00146E01"/>
    <w:rsid w:val="001471D7"/>
    <w:rsid w:val="00147717"/>
    <w:rsid w:val="00151C8A"/>
    <w:rsid w:val="00152F93"/>
    <w:rsid w:val="00152FB8"/>
    <w:rsid w:val="001537F2"/>
    <w:rsid w:val="00154675"/>
    <w:rsid w:val="00154E8D"/>
    <w:rsid w:val="00155C7A"/>
    <w:rsid w:val="00156A2C"/>
    <w:rsid w:val="00157C55"/>
    <w:rsid w:val="0016112E"/>
    <w:rsid w:val="00161C84"/>
    <w:rsid w:val="00162214"/>
    <w:rsid w:val="00162E0E"/>
    <w:rsid w:val="001668CD"/>
    <w:rsid w:val="00171491"/>
    <w:rsid w:val="001725CE"/>
    <w:rsid w:val="00174E3B"/>
    <w:rsid w:val="00174E8E"/>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3A32"/>
    <w:rsid w:val="00205273"/>
    <w:rsid w:val="00212A13"/>
    <w:rsid w:val="0021361B"/>
    <w:rsid w:val="0021462C"/>
    <w:rsid w:val="00216B81"/>
    <w:rsid w:val="00217606"/>
    <w:rsid w:val="00222948"/>
    <w:rsid w:val="00223921"/>
    <w:rsid w:val="00223A71"/>
    <w:rsid w:val="002244D7"/>
    <w:rsid w:val="002255FE"/>
    <w:rsid w:val="00226E7E"/>
    <w:rsid w:val="0022757E"/>
    <w:rsid w:val="00230070"/>
    <w:rsid w:val="00231131"/>
    <w:rsid w:val="00233017"/>
    <w:rsid w:val="00237482"/>
    <w:rsid w:val="00237EF4"/>
    <w:rsid w:val="00240973"/>
    <w:rsid w:val="0024120B"/>
    <w:rsid w:val="002418ED"/>
    <w:rsid w:val="00244289"/>
    <w:rsid w:val="0024726C"/>
    <w:rsid w:val="00247B55"/>
    <w:rsid w:val="00251914"/>
    <w:rsid w:val="00253436"/>
    <w:rsid w:val="00254433"/>
    <w:rsid w:val="0025446C"/>
    <w:rsid w:val="002558D3"/>
    <w:rsid w:val="00255A41"/>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6F6"/>
    <w:rsid w:val="00291F17"/>
    <w:rsid w:val="00296C0E"/>
    <w:rsid w:val="00297566"/>
    <w:rsid w:val="002A082F"/>
    <w:rsid w:val="002A2D08"/>
    <w:rsid w:val="002A4290"/>
    <w:rsid w:val="002A4A10"/>
    <w:rsid w:val="002A5163"/>
    <w:rsid w:val="002A5480"/>
    <w:rsid w:val="002A7F61"/>
    <w:rsid w:val="002B0209"/>
    <w:rsid w:val="002B0944"/>
    <w:rsid w:val="002B14C1"/>
    <w:rsid w:val="002B1A89"/>
    <w:rsid w:val="002B36EE"/>
    <w:rsid w:val="002B6FA6"/>
    <w:rsid w:val="002B70C9"/>
    <w:rsid w:val="002B777B"/>
    <w:rsid w:val="002C00F0"/>
    <w:rsid w:val="002C1D3C"/>
    <w:rsid w:val="002C4E58"/>
    <w:rsid w:val="002C6FC8"/>
    <w:rsid w:val="002C7A40"/>
    <w:rsid w:val="002D0173"/>
    <w:rsid w:val="002D0EC5"/>
    <w:rsid w:val="002D3564"/>
    <w:rsid w:val="002D3C1B"/>
    <w:rsid w:val="002D3DFD"/>
    <w:rsid w:val="002D5066"/>
    <w:rsid w:val="002E06E8"/>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50E6"/>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504E"/>
    <w:rsid w:val="00356D5A"/>
    <w:rsid w:val="00361AE1"/>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60"/>
    <w:rsid w:val="003F72B3"/>
    <w:rsid w:val="00400EEC"/>
    <w:rsid w:val="0040197F"/>
    <w:rsid w:val="00402641"/>
    <w:rsid w:val="00402A10"/>
    <w:rsid w:val="00402E0E"/>
    <w:rsid w:val="00406C46"/>
    <w:rsid w:val="004112DF"/>
    <w:rsid w:val="00413302"/>
    <w:rsid w:val="004173F8"/>
    <w:rsid w:val="00421861"/>
    <w:rsid w:val="00421EEE"/>
    <w:rsid w:val="00422F0C"/>
    <w:rsid w:val="00423D16"/>
    <w:rsid w:val="004243C0"/>
    <w:rsid w:val="00424597"/>
    <w:rsid w:val="00426DDE"/>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4C75"/>
    <w:rsid w:val="00477269"/>
    <w:rsid w:val="00477DDF"/>
    <w:rsid w:val="00481B36"/>
    <w:rsid w:val="00482544"/>
    <w:rsid w:val="004839A6"/>
    <w:rsid w:val="0048613F"/>
    <w:rsid w:val="00486803"/>
    <w:rsid w:val="004915A4"/>
    <w:rsid w:val="00492647"/>
    <w:rsid w:val="0049292D"/>
    <w:rsid w:val="004939A3"/>
    <w:rsid w:val="004954BF"/>
    <w:rsid w:val="00495972"/>
    <w:rsid w:val="00497651"/>
    <w:rsid w:val="0049776F"/>
    <w:rsid w:val="004A00DA"/>
    <w:rsid w:val="004A0DBB"/>
    <w:rsid w:val="004A4C15"/>
    <w:rsid w:val="004A5A51"/>
    <w:rsid w:val="004A5B68"/>
    <w:rsid w:val="004B1D9A"/>
    <w:rsid w:val="004B2009"/>
    <w:rsid w:val="004B3F76"/>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E4D15"/>
    <w:rsid w:val="004F0300"/>
    <w:rsid w:val="004F0A0B"/>
    <w:rsid w:val="004F0F79"/>
    <w:rsid w:val="004F1656"/>
    <w:rsid w:val="004F4204"/>
    <w:rsid w:val="004F4858"/>
    <w:rsid w:val="004F5255"/>
    <w:rsid w:val="004F65B6"/>
    <w:rsid w:val="004F7DAD"/>
    <w:rsid w:val="00503C8D"/>
    <w:rsid w:val="00504F92"/>
    <w:rsid w:val="00505D77"/>
    <w:rsid w:val="0050796E"/>
    <w:rsid w:val="005106DB"/>
    <w:rsid w:val="0051120D"/>
    <w:rsid w:val="005123DE"/>
    <w:rsid w:val="00512D7A"/>
    <w:rsid w:val="00513DE5"/>
    <w:rsid w:val="00514C4E"/>
    <w:rsid w:val="00514D4F"/>
    <w:rsid w:val="00515161"/>
    <w:rsid w:val="0051644D"/>
    <w:rsid w:val="00520B09"/>
    <w:rsid w:val="005214E7"/>
    <w:rsid w:val="00524CCD"/>
    <w:rsid w:val="00525252"/>
    <w:rsid w:val="00532071"/>
    <w:rsid w:val="00534407"/>
    <w:rsid w:val="00536B6F"/>
    <w:rsid w:val="00536CF9"/>
    <w:rsid w:val="00536E28"/>
    <w:rsid w:val="0053719F"/>
    <w:rsid w:val="005402C8"/>
    <w:rsid w:val="005422F8"/>
    <w:rsid w:val="005428A6"/>
    <w:rsid w:val="00544BBA"/>
    <w:rsid w:val="00545568"/>
    <w:rsid w:val="00545F6E"/>
    <w:rsid w:val="00551500"/>
    <w:rsid w:val="005519FD"/>
    <w:rsid w:val="00554103"/>
    <w:rsid w:val="00554CB1"/>
    <w:rsid w:val="00562448"/>
    <w:rsid w:val="00562C0E"/>
    <w:rsid w:val="00567340"/>
    <w:rsid w:val="00570530"/>
    <w:rsid w:val="00571721"/>
    <w:rsid w:val="005718F5"/>
    <w:rsid w:val="00571D06"/>
    <w:rsid w:val="005736C2"/>
    <w:rsid w:val="00577010"/>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1D18"/>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5BDE"/>
    <w:rsid w:val="005E689E"/>
    <w:rsid w:val="005E728C"/>
    <w:rsid w:val="005F009A"/>
    <w:rsid w:val="005F4789"/>
    <w:rsid w:val="005F5566"/>
    <w:rsid w:val="005F7E74"/>
    <w:rsid w:val="00600EA7"/>
    <w:rsid w:val="00602FC8"/>
    <w:rsid w:val="0060479A"/>
    <w:rsid w:val="00606A19"/>
    <w:rsid w:val="00607384"/>
    <w:rsid w:val="00611327"/>
    <w:rsid w:val="00612079"/>
    <w:rsid w:val="00613277"/>
    <w:rsid w:val="00613516"/>
    <w:rsid w:val="006138BE"/>
    <w:rsid w:val="00614466"/>
    <w:rsid w:val="00615C05"/>
    <w:rsid w:val="00616BB1"/>
    <w:rsid w:val="00620660"/>
    <w:rsid w:val="00620E8B"/>
    <w:rsid w:val="006215A9"/>
    <w:rsid w:val="0062291D"/>
    <w:rsid w:val="00622B07"/>
    <w:rsid w:val="0062636F"/>
    <w:rsid w:val="00627DC6"/>
    <w:rsid w:val="00630B7F"/>
    <w:rsid w:val="00630C92"/>
    <w:rsid w:val="00631C00"/>
    <w:rsid w:val="006321D6"/>
    <w:rsid w:val="006325C8"/>
    <w:rsid w:val="006326D3"/>
    <w:rsid w:val="00635790"/>
    <w:rsid w:val="00635A05"/>
    <w:rsid w:val="00636108"/>
    <w:rsid w:val="006403C1"/>
    <w:rsid w:val="00641FF2"/>
    <w:rsid w:val="006450E9"/>
    <w:rsid w:val="006452F1"/>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45EF"/>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218"/>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1F5F"/>
    <w:rsid w:val="00702F49"/>
    <w:rsid w:val="00703C9E"/>
    <w:rsid w:val="00704A22"/>
    <w:rsid w:val="00707C86"/>
    <w:rsid w:val="00713B72"/>
    <w:rsid w:val="0071459D"/>
    <w:rsid w:val="00714799"/>
    <w:rsid w:val="00715589"/>
    <w:rsid w:val="00715C57"/>
    <w:rsid w:val="0072123C"/>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25D5"/>
    <w:rsid w:val="00757C2F"/>
    <w:rsid w:val="00761492"/>
    <w:rsid w:val="0076307D"/>
    <w:rsid w:val="0076618C"/>
    <w:rsid w:val="00766CDC"/>
    <w:rsid w:val="007704FF"/>
    <w:rsid w:val="00772580"/>
    <w:rsid w:val="007767AF"/>
    <w:rsid w:val="00777B7E"/>
    <w:rsid w:val="007812E8"/>
    <w:rsid w:val="0078648A"/>
    <w:rsid w:val="00787050"/>
    <w:rsid w:val="00787E9B"/>
    <w:rsid w:val="00787F2B"/>
    <w:rsid w:val="0079010F"/>
    <w:rsid w:val="00790ACB"/>
    <w:rsid w:val="00790AD0"/>
    <w:rsid w:val="00791144"/>
    <w:rsid w:val="00792016"/>
    <w:rsid w:val="0079241A"/>
    <w:rsid w:val="00794BBB"/>
    <w:rsid w:val="00797715"/>
    <w:rsid w:val="007A12A8"/>
    <w:rsid w:val="007A3B7E"/>
    <w:rsid w:val="007A481D"/>
    <w:rsid w:val="007A543B"/>
    <w:rsid w:val="007B1CC2"/>
    <w:rsid w:val="007B610A"/>
    <w:rsid w:val="007B74BC"/>
    <w:rsid w:val="007C0B10"/>
    <w:rsid w:val="007C0CFC"/>
    <w:rsid w:val="007C2380"/>
    <w:rsid w:val="007C31F2"/>
    <w:rsid w:val="007C3873"/>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AB9"/>
    <w:rsid w:val="008910F5"/>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7D4"/>
    <w:rsid w:val="008C0A8B"/>
    <w:rsid w:val="008C0B47"/>
    <w:rsid w:val="008C0F66"/>
    <w:rsid w:val="008C1EC5"/>
    <w:rsid w:val="008C2A6D"/>
    <w:rsid w:val="008C374B"/>
    <w:rsid w:val="008C7E13"/>
    <w:rsid w:val="008D0662"/>
    <w:rsid w:val="008D19D9"/>
    <w:rsid w:val="008D3773"/>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2AD0"/>
    <w:rsid w:val="00943EBA"/>
    <w:rsid w:val="0094460A"/>
    <w:rsid w:val="00944DE8"/>
    <w:rsid w:val="009467B5"/>
    <w:rsid w:val="00950A60"/>
    <w:rsid w:val="00950AD6"/>
    <w:rsid w:val="009516BF"/>
    <w:rsid w:val="009544CF"/>
    <w:rsid w:val="00955C99"/>
    <w:rsid w:val="00956CC0"/>
    <w:rsid w:val="00962006"/>
    <w:rsid w:val="00964056"/>
    <w:rsid w:val="009646B1"/>
    <w:rsid w:val="00964C3B"/>
    <w:rsid w:val="00964F28"/>
    <w:rsid w:val="00966945"/>
    <w:rsid w:val="0097136A"/>
    <w:rsid w:val="009735D8"/>
    <w:rsid w:val="009737B7"/>
    <w:rsid w:val="00976C78"/>
    <w:rsid w:val="009807B0"/>
    <w:rsid w:val="009807C4"/>
    <w:rsid w:val="00981746"/>
    <w:rsid w:val="0098308F"/>
    <w:rsid w:val="00985FB3"/>
    <w:rsid w:val="00986017"/>
    <w:rsid w:val="00986891"/>
    <w:rsid w:val="00990432"/>
    <w:rsid w:val="009907A0"/>
    <w:rsid w:val="00993BF8"/>
    <w:rsid w:val="009947E0"/>
    <w:rsid w:val="009957FD"/>
    <w:rsid w:val="0099619B"/>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9F6492"/>
    <w:rsid w:val="00A00F58"/>
    <w:rsid w:val="00A01348"/>
    <w:rsid w:val="00A027F6"/>
    <w:rsid w:val="00A0452C"/>
    <w:rsid w:val="00A07A94"/>
    <w:rsid w:val="00A11788"/>
    <w:rsid w:val="00A13911"/>
    <w:rsid w:val="00A1455C"/>
    <w:rsid w:val="00A15963"/>
    <w:rsid w:val="00A16234"/>
    <w:rsid w:val="00A1657E"/>
    <w:rsid w:val="00A16993"/>
    <w:rsid w:val="00A17274"/>
    <w:rsid w:val="00A2099C"/>
    <w:rsid w:val="00A211DC"/>
    <w:rsid w:val="00A27178"/>
    <w:rsid w:val="00A3293C"/>
    <w:rsid w:val="00A329B2"/>
    <w:rsid w:val="00A33291"/>
    <w:rsid w:val="00A335A1"/>
    <w:rsid w:val="00A3711C"/>
    <w:rsid w:val="00A4018D"/>
    <w:rsid w:val="00A4256D"/>
    <w:rsid w:val="00A42B08"/>
    <w:rsid w:val="00A43243"/>
    <w:rsid w:val="00A4444D"/>
    <w:rsid w:val="00A445BF"/>
    <w:rsid w:val="00A447B8"/>
    <w:rsid w:val="00A4490C"/>
    <w:rsid w:val="00A45762"/>
    <w:rsid w:val="00A457F6"/>
    <w:rsid w:val="00A47DA4"/>
    <w:rsid w:val="00A55236"/>
    <w:rsid w:val="00A5570F"/>
    <w:rsid w:val="00A60D11"/>
    <w:rsid w:val="00A61F9F"/>
    <w:rsid w:val="00A66A7D"/>
    <w:rsid w:val="00A67BAD"/>
    <w:rsid w:val="00A67E9A"/>
    <w:rsid w:val="00A701DA"/>
    <w:rsid w:val="00A7159C"/>
    <w:rsid w:val="00A718C8"/>
    <w:rsid w:val="00A73851"/>
    <w:rsid w:val="00A765DA"/>
    <w:rsid w:val="00A8080A"/>
    <w:rsid w:val="00A81241"/>
    <w:rsid w:val="00A81C0C"/>
    <w:rsid w:val="00A82FA6"/>
    <w:rsid w:val="00A84433"/>
    <w:rsid w:val="00A854A4"/>
    <w:rsid w:val="00A918D4"/>
    <w:rsid w:val="00A91D27"/>
    <w:rsid w:val="00A945DE"/>
    <w:rsid w:val="00A947AC"/>
    <w:rsid w:val="00A96AB7"/>
    <w:rsid w:val="00AA15D6"/>
    <w:rsid w:val="00AA1D35"/>
    <w:rsid w:val="00AA28CB"/>
    <w:rsid w:val="00AA3FEC"/>
    <w:rsid w:val="00AA476C"/>
    <w:rsid w:val="00AB164E"/>
    <w:rsid w:val="00AB2C7A"/>
    <w:rsid w:val="00AB5D2A"/>
    <w:rsid w:val="00AB63E6"/>
    <w:rsid w:val="00AB6895"/>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922"/>
    <w:rsid w:val="00AF1FA6"/>
    <w:rsid w:val="00AF2B19"/>
    <w:rsid w:val="00AF2E93"/>
    <w:rsid w:val="00AF3ACB"/>
    <w:rsid w:val="00AF42BD"/>
    <w:rsid w:val="00B0215A"/>
    <w:rsid w:val="00B0360C"/>
    <w:rsid w:val="00B03CF7"/>
    <w:rsid w:val="00B10B5C"/>
    <w:rsid w:val="00B11D65"/>
    <w:rsid w:val="00B1396C"/>
    <w:rsid w:val="00B22AC4"/>
    <w:rsid w:val="00B234B7"/>
    <w:rsid w:val="00B243FD"/>
    <w:rsid w:val="00B25CE6"/>
    <w:rsid w:val="00B26C16"/>
    <w:rsid w:val="00B27DD1"/>
    <w:rsid w:val="00B30408"/>
    <w:rsid w:val="00B31BC9"/>
    <w:rsid w:val="00B31E7F"/>
    <w:rsid w:val="00B32843"/>
    <w:rsid w:val="00B33356"/>
    <w:rsid w:val="00B33B0D"/>
    <w:rsid w:val="00B36A8E"/>
    <w:rsid w:val="00B36EAF"/>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3665"/>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24B"/>
    <w:rsid w:val="00BA238B"/>
    <w:rsid w:val="00BA2FB4"/>
    <w:rsid w:val="00BA55F1"/>
    <w:rsid w:val="00BA6DA5"/>
    <w:rsid w:val="00BA719F"/>
    <w:rsid w:val="00BB086B"/>
    <w:rsid w:val="00BB1A50"/>
    <w:rsid w:val="00BB432C"/>
    <w:rsid w:val="00BB44C7"/>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6B44"/>
    <w:rsid w:val="00C00C31"/>
    <w:rsid w:val="00C02D58"/>
    <w:rsid w:val="00C02EB7"/>
    <w:rsid w:val="00C03AD1"/>
    <w:rsid w:val="00C04766"/>
    <w:rsid w:val="00C11393"/>
    <w:rsid w:val="00C12031"/>
    <w:rsid w:val="00C122BA"/>
    <w:rsid w:val="00C14350"/>
    <w:rsid w:val="00C156B0"/>
    <w:rsid w:val="00C15880"/>
    <w:rsid w:val="00C160DA"/>
    <w:rsid w:val="00C16F3A"/>
    <w:rsid w:val="00C21899"/>
    <w:rsid w:val="00C250C5"/>
    <w:rsid w:val="00C25F91"/>
    <w:rsid w:val="00C30C8D"/>
    <w:rsid w:val="00C30E44"/>
    <w:rsid w:val="00C33A6A"/>
    <w:rsid w:val="00C33B62"/>
    <w:rsid w:val="00C33DEA"/>
    <w:rsid w:val="00C34A16"/>
    <w:rsid w:val="00C3705A"/>
    <w:rsid w:val="00C406FC"/>
    <w:rsid w:val="00C42751"/>
    <w:rsid w:val="00C432B2"/>
    <w:rsid w:val="00C470A6"/>
    <w:rsid w:val="00C50430"/>
    <w:rsid w:val="00C52F46"/>
    <w:rsid w:val="00C54ED1"/>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6FC1"/>
    <w:rsid w:val="00C81A16"/>
    <w:rsid w:val="00C83F1E"/>
    <w:rsid w:val="00C9117B"/>
    <w:rsid w:val="00C96A19"/>
    <w:rsid w:val="00CA2C52"/>
    <w:rsid w:val="00CA7751"/>
    <w:rsid w:val="00CA7DF3"/>
    <w:rsid w:val="00CB0778"/>
    <w:rsid w:val="00CB1B9D"/>
    <w:rsid w:val="00CB2DE1"/>
    <w:rsid w:val="00CB4433"/>
    <w:rsid w:val="00CB46EC"/>
    <w:rsid w:val="00CB7039"/>
    <w:rsid w:val="00CC15AF"/>
    <w:rsid w:val="00CC2DD0"/>
    <w:rsid w:val="00CC3400"/>
    <w:rsid w:val="00CC46AC"/>
    <w:rsid w:val="00CC4A55"/>
    <w:rsid w:val="00CC5715"/>
    <w:rsid w:val="00CC58F5"/>
    <w:rsid w:val="00CC655B"/>
    <w:rsid w:val="00CC79A5"/>
    <w:rsid w:val="00CC7B90"/>
    <w:rsid w:val="00CD11EB"/>
    <w:rsid w:val="00CD19E7"/>
    <w:rsid w:val="00CD1A02"/>
    <w:rsid w:val="00CD1F25"/>
    <w:rsid w:val="00CD4807"/>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6262"/>
    <w:rsid w:val="00CF6D9A"/>
    <w:rsid w:val="00CF78D1"/>
    <w:rsid w:val="00CF7B14"/>
    <w:rsid w:val="00D00E9A"/>
    <w:rsid w:val="00D0398B"/>
    <w:rsid w:val="00D14D5E"/>
    <w:rsid w:val="00D177C4"/>
    <w:rsid w:val="00D23BEF"/>
    <w:rsid w:val="00D24F27"/>
    <w:rsid w:val="00D250D5"/>
    <w:rsid w:val="00D25CAD"/>
    <w:rsid w:val="00D2671A"/>
    <w:rsid w:val="00D27FAD"/>
    <w:rsid w:val="00D3082B"/>
    <w:rsid w:val="00D32884"/>
    <w:rsid w:val="00D35DBE"/>
    <w:rsid w:val="00D41907"/>
    <w:rsid w:val="00D426AF"/>
    <w:rsid w:val="00D4510A"/>
    <w:rsid w:val="00D45B03"/>
    <w:rsid w:val="00D46BAF"/>
    <w:rsid w:val="00D52D29"/>
    <w:rsid w:val="00D54AE4"/>
    <w:rsid w:val="00D577BC"/>
    <w:rsid w:val="00D624C4"/>
    <w:rsid w:val="00D626F1"/>
    <w:rsid w:val="00D64073"/>
    <w:rsid w:val="00D64AA2"/>
    <w:rsid w:val="00D65E4B"/>
    <w:rsid w:val="00D707F0"/>
    <w:rsid w:val="00D70BDE"/>
    <w:rsid w:val="00D74D14"/>
    <w:rsid w:val="00D76F0B"/>
    <w:rsid w:val="00D7745B"/>
    <w:rsid w:val="00D8242A"/>
    <w:rsid w:val="00D84483"/>
    <w:rsid w:val="00D946BF"/>
    <w:rsid w:val="00D94908"/>
    <w:rsid w:val="00D964AB"/>
    <w:rsid w:val="00DB0DC0"/>
    <w:rsid w:val="00DB2E8D"/>
    <w:rsid w:val="00DB2F6E"/>
    <w:rsid w:val="00DB57C4"/>
    <w:rsid w:val="00DB754F"/>
    <w:rsid w:val="00DC0C46"/>
    <w:rsid w:val="00DC281C"/>
    <w:rsid w:val="00DC450C"/>
    <w:rsid w:val="00DC54E6"/>
    <w:rsid w:val="00DC63DB"/>
    <w:rsid w:val="00DD2D2B"/>
    <w:rsid w:val="00DD4700"/>
    <w:rsid w:val="00DD5AA3"/>
    <w:rsid w:val="00DD5AC8"/>
    <w:rsid w:val="00DD629C"/>
    <w:rsid w:val="00DD73D5"/>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1F38"/>
    <w:rsid w:val="00E45440"/>
    <w:rsid w:val="00E45E81"/>
    <w:rsid w:val="00E470E1"/>
    <w:rsid w:val="00E501BD"/>
    <w:rsid w:val="00E50A62"/>
    <w:rsid w:val="00E547D4"/>
    <w:rsid w:val="00E6029D"/>
    <w:rsid w:val="00E61FF8"/>
    <w:rsid w:val="00E66062"/>
    <w:rsid w:val="00E67655"/>
    <w:rsid w:val="00E7035B"/>
    <w:rsid w:val="00E70C96"/>
    <w:rsid w:val="00E71655"/>
    <w:rsid w:val="00E71AB4"/>
    <w:rsid w:val="00E72285"/>
    <w:rsid w:val="00E7682E"/>
    <w:rsid w:val="00E80084"/>
    <w:rsid w:val="00E801A7"/>
    <w:rsid w:val="00E80872"/>
    <w:rsid w:val="00E8167B"/>
    <w:rsid w:val="00E81EA9"/>
    <w:rsid w:val="00E82E8E"/>
    <w:rsid w:val="00E83ACB"/>
    <w:rsid w:val="00E862E5"/>
    <w:rsid w:val="00E86D70"/>
    <w:rsid w:val="00E9104E"/>
    <w:rsid w:val="00E931AB"/>
    <w:rsid w:val="00E93D95"/>
    <w:rsid w:val="00E944CC"/>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1E7B"/>
    <w:rsid w:val="00EE22B5"/>
    <w:rsid w:val="00EE2C7D"/>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481"/>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6527"/>
    <w:rsid w:val="00F67507"/>
    <w:rsid w:val="00F67954"/>
    <w:rsid w:val="00F722FD"/>
    <w:rsid w:val="00F7334E"/>
    <w:rsid w:val="00F762D7"/>
    <w:rsid w:val="00F76420"/>
    <w:rsid w:val="00F8026E"/>
    <w:rsid w:val="00F8316F"/>
    <w:rsid w:val="00F83A6A"/>
    <w:rsid w:val="00F83ECB"/>
    <w:rsid w:val="00F87DF5"/>
    <w:rsid w:val="00F90863"/>
    <w:rsid w:val="00F955F7"/>
    <w:rsid w:val="00F9664A"/>
    <w:rsid w:val="00FA0D8F"/>
    <w:rsid w:val="00FA2916"/>
    <w:rsid w:val="00FA3980"/>
    <w:rsid w:val="00FA3AF5"/>
    <w:rsid w:val="00FA49FC"/>
    <w:rsid w:val="00FA632B"/>
    <w:rsid w:val="00FB3BB2"/>
    <w:rsid w:val="00FB3C0C"/>
    <w:rsid w:val="00FC1087"/>
    <w:rsid w:val="00FC2615"/>
    <w:rsid w:val="00FC2BD5"/>
    <w:rsid w:val="00FC3FFF"/>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13ED2B4"/>
  <w15:docId w15:val="{0C9367F9-A453-42A7-B2E8-E8527499B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71000">
      <w:bodyDiv w:val="1"/>
      <w:marLeft w:val="0"/>
      <w:marRight w:val="0"/>
      <w:marTop w:val="0"/>
      <w:marBottom w:val="0"/>
      <w:divBdr>
        <w:top w:val="none" w:sz="0" w:space="0" w:color="auto"/>
        <w:left w:val="none" w:sz="0" w:space="0" w:color="auto"/>
        <w:bottom w:val="none" w:sz="0" w:space="0" w:color="auto"/>
        <w:right w:val="none" w:sz="0" w:space="0" w:color="auto"/>
      </w:divBdr>
    </w:div>
    <w:div w:id="411197743">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68765642">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DOCID-648-86</_dlc_DocId>
    <_dlc_DocIdUrl xmlns="8d1789be-2b34-414d-b761-149aa1689c70">
      <Url>https://intra.unops.org/g/procurement/_layouts/15/DocIdRedir.aspx?ID=DOCID-648-86</Url>
      <Description>DOCID-648-86</Description>
    </_dlc_DocIdUrl>
    <Related_x0020_policies_x002c__x0020_guidance_x0020_or_x0020_standards xmlns="8d1789be-2b34-414d-b761-149aa1689c70">6.4.2</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403</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C1EBB-B837-4540-AE75-5093F2393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sharepoint/v4"/>
    <ds:schemaRef ds:uri="http://schemas.microsoft.com/office/infopath/2007/PartnerControls"/>
    <ds:schemaRef ds:uri="8d1789be-2b34-414d-b761-149aa1689c70"/>
    <ds:schemaRef ds:uri="http://purl.org/dc/terms/"/>
    <ds:schemaRef ds:uri="http://schemas.microsoft.com/sharepoint/v3"/>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schemas.openxmlformats.org/package/2006/metadata/core-properties"/>
    <ds:schemaRef ds:uri="d60b91ee-4ba4-48a8-8c59-a18bab22a9a9"/>
    <ds:schemaRef ds:uri="http://schemas.microsoft.com/sharepoint/v3/fields"/>
  </ds:schemaRefs>
</ds:datastoreItem>
</file>

<file path=customXml/itemProps5.xml><?xml version="1.0" encoding="utf-8"?>
<ds:datastoreItem xmlns:ds="http://schemas.openxmlformats.org/officeDocument/2006/customXml" ds:itemID="{F0E5F739-8DDD-4170-BC10-C3F2DABF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643</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4172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Naby Traore</cp:lastModifiedBy>
  <cp:revision>35</cp:revision>
  <cp:lastPrinted>2014-08-19T15:30:00Z</cp:lastPrinted>
  <dcterms:created xsi:type="dcterms:W3CDTF">2016-08-18T14:59:00Z</dcterms:created>
  <dcterms:modified xsi:type="dcterms:W3CDTF">2016-09-28T16:16:00Z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9fa47366-5fe2-439d-96f2-fe959fcccc5c</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