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36"/>
        <w:gridCol w:w="3829"/>
        <w:gridCol w:w="4585"/>
      </w:tblGrid>
      <w:tr w:rsidR="006F2E97" w14:paraId="1D6E8C9C" w14:textId="77777777" w:rsidTr="0018605D">
        <w:tc>
          <w:tcPr>
            <w:tcW w:w="936" w:type="dxa"/>
          </w:tcPr>
          <w:p w14:paraId="7CA72AD9" w14:textId="77777777" w:rsidR="006F2E97" w:rsidRDefault="006F2E97" w:rsidP="0018605D">
            <w:pPr>
              <w:jc w:val="center"/>
            </w:pPr>
            <w:r>
              <w:t>No.</w:t>
            </w:r>
          </w:p>
        </w:tc>
        <w:tc>
          <w:tcPr>
            <w:tcW w:w="3829" w:type="dxa"/>
          </w:tcPr>
          <w:p w14:paraId="3423CD41" w14:textId="13AB7958" w:rsidR="006F2E97" w:rsidRDefault="0018605D">
            <w:r>
              <w:t>Question</w:t>
            </w:r>
          </w:p>
        </w:tc>
        <w:tc>
          <w:tcPr>
            <w:tcW w:w="4585" w:type="dxa"/>
          </w:tcPr>
          <w:p w14:paraId="5C860B5B" w14:textId="636A8631" w:rsidR="006F2E97" w:rsidRDefault="0018605D">
            <w:r>
              <w:t>Response</w:t>
            </w:r>
          </w:p>
        </w:tc>
      </w:tr>
      <w:tr w:rsidR="0018605D" w14:paraId="70DC0652" w14:textId="77777777" w:rsidTr="0018605D">
        <w:tc>
          <w:tcPr>
            <w:tcW w:w="936" w:type="dxa"/>
          </w:tcPr>
          <w:p w14:paraId="1EA13820" w14:textId="1588B900" w:rsidR="0018605D" w:rsidRDefault="0018605D" w:rsidP="0018605D">
            <w:pPr>
              <w:pStyle w:val="ListParagraph"/>
              <w:numPr>
                <w:ilvl w:val="0"/>
                <w:numId w:val="1"/>
              </w:numPr>
            </w:pPr>
          </w:p>
        </w:tc>
        <w:tc>
          <w:tcPr>
            <w:tcW w:w="3829" w:type="dxa"/>
          </w:tcPr>
          <w:p w14:paraId="29F2E20B" w14:textId="7B3B4A27" w:rsidR="0018605D" w:rsidRDefault="00685F05" w:rsidP="00685F05">
            <w:r>
              <w:t>Can an individual consultant bid for more than one country w</w:t>
            </w:r>
            <w:r w:rsidR="008D6CDF">
              <w:t>hich will allow for some cost-</w:t>
            </w:r>
            <w:r w:rsidRPr="00685F05">
              <w:t xml:space="preserve">sharing on the </w:t>
            </w:r>
            <w:r w:rsidR="008D6CDF">
              <w:t>airfares</w:t>
            </w:r>
            <w:r>
              <w:t>?</w:t>
            </w:r>
          </w:p>
        </w:tc>
        <w:tc>
          <w:tcPr>
            <w:tcW w:w="4585" w:type="dxa"/>
          </w:tcPr>
          <w:p w14:paraId="3B1F1CCD" w14:textId="354499A0" w:rsidR="00685F05" w:rsidRDefault="00685F05">
            <w:r w:rsidRPr="00685F05">
              <w:t>Suitably qualified applicants can submit offers for any number of the published consultancies for which they meet the technical qualifications and can conduct the work within the scheduling and deliverable timelines outlined in the TOR.</w:t>
            </w:r>
          </w:p>
          <w:p w14:paraId="23C657BC" w14:textId="7769E2A1" w:rsidR="00685F05" w:rsidRDefault="00685F05"/>
          <w:p w14:paraId="361F925A" w14:textId="48DC037F" w:rsidR="00685F05" w:rsidRDefault="00685F05">
            <w:r>
              <w:t xml:space="preserve">All costs which the consultant </w:t>
            </w:r>
            <w:r w:rsidRPr="00685F05">
              <w:t>anticipates will be incurred to facilitate the completion of the requirements for the consultancy, should be included in the offer.</w:t>
            </w:r>
          </w:p>
          <w:p w14:paraId="65D67F3C" w14:textId="4EA88481" w:rsidR="0018605D" w:rsidRDefault="0018605D"/>
        </w:tc>
      </w:tr>
      <w:tr w:rsidR="00685F05" w14:paraId="6C9C847E" w14:textId="77777777" w:rsidTr="0018605D">
        <w:tc>
          <w:tcPr>
            <w:tcW w:w="936" w:type="dxa"/>
          </w:tcPr>
          <w:p w14:paraId="5DD555B4" w14:textId="77777777" w:rsidR="00685F05" w:rsidRDefault="00685F05" w:rsidP="0018605D">
            <w:pPr>
              <w:pStyle w:val="ListParagraph"/>
              <w:numPr>
                <w:ilvl w:val="0"/>
                <w:numId w:val="1"/>
              </w:numPr>
            </w:pPr>
          </w:p>
        </w:tc>
        <w:tc>
          <w:tcPr>
            <w:tcW w:w="3829" w:type="dxa"/>
          </w:tcPr>
          <w:p w14:paraId="5C45D38C" w14:textId="41AF3182" w:rsidR="00685F05" w:rsidRDefault="00685F05" w:rsidP="00685F05">
            <w:r>
              <w:t>Can I submit a blanket application?</w:t>
            </w:r>
          </w:p>
        </w:tc>
        <w:tc>
          <w:tcPr>
            <w:tcW w:w="4585" w:type="dxa"/>
          </w:tcPr>
          <w:p w14:paraId="7DD1970B" w14:textId="3EA2F1D5" w:rsidR="00685F05" w:rsidRDefault="00685F05" w:rsidP="00685F05">
            <w:r>
              <w:t xml:space="preserve">No – </w:t>
            </w:r>
            <w:r>
              <w:rPr>
                <w:rFonts w:ascii="Calibri" w:hAnsi="Calibri"/>
              </w:rPr>
              <w:t>Separate applications must be submitted for each published consultancy as these represent independent processes.</w:t>
            </w:r>
          </w:p>
        </w:tc>
      </w:tr>
      <w:tr w:rsidR="00685F05" w14:paraId="2A3F6400" w14:textId="77777777" w:rsidTr="0018605D">
        <w:tc>
          <w:tcPr>
            <w:tcW w:w="936" w:type="dxa"/>
          </w:tcPr>
          <w:p w14:paraId="2E9D9D1C" w14:textId="77777777" w:rsidR="00685F05" w:rsidRDefault="00685F05" w:rsidP="0018605D">
            <w:pPr>
              <w:pStyle w:val="ListParagraph"/>
              <w:numPr>
                <w:ilvl w:val="0"/>
                <w:numId w:val="1"/>
              </w:numPr>
            </w:pPr>
          </w:p>
        </w:tc>
        <w:tc>
          <w:tcPr>
            <w:tcW w:w="3829" w:type="dxa"/>
          </w:tcPr>
          <w:p w14:paraId="43BC8534" w14:textId="77777777" w:rsidR="00685F05" w:rsidRDefault="008D6CDF" w:rsidP="00685F05">
            <w:r>
              <w:t>Can firms apply for these consultancies?</w:t>
            </w:r>
          </w:p>
          <w:p w14:paraId="6FA1099F" w14:textId="3BB256E6" w:rsidR="008D6CDF" w:rsidRDefault="008D6CDF" w:rsidP="00685F05"/>
        </w:tc>
        <w:tc>
          <w:tcPr>
            <w:tcW w:w="4585" w:type="dxa"/>
          </w:tcPr>
          <w:p w14:paraId="6F743D79" w14:textId="06DB39D2" w:rsidR="008D6CDF" w:rsidRDefault="008D6CDF" w:rsidP="00685F05">
            <w:r>
              <w:t>No – These consultancies are opened to individual consultants only. However, individual consultants can subcontract under the following terms:</w:t>
            </w:r>
          </w:p>
          <w:p w14:paraId="6B311043" w14:textId="77777777" w:rsidR="008D6CDF" w:rsidRDefault="008D6CDF" w:rsidP="00685F05"/>
          <w:p w14:paraId="73A8848E" w14:textId="4C2CB2B0" w:rsidR="008D6CDF" w:rsidRPr="008D6CDF" w:rsidRDefault="008D6CDF" w:rsidP="008D6CDF">
            <w:pPr>
              <w:autoSpaceDE w:val="0"/>
              <w:autoSpaceDN w:val="0"/>
              <w:spacing w:before="40" w:after="40"/>
              <w:rPr>
                <w:b/>
                <w:i/>
              </w:rPr>
            </w:pPr>
            <w:r>
              <w:rPr>
                <w:rFonts w:ascii="Segoe UI" w:hAnsi="Segoe UI" w:cs="Segoe UI"/>
                <w:b/>
                <w:i/>
                <w:color w:val="000000"/>
                <w:sz w:val="20"/>
                <w:szCs w:val="20"/>
                <w:lang w:val="en-029"/>
              </w:rPr>
              <w:t>“</w:t>
            </w:r>
            <w:r w:rsidRPr="008D6CDF">
              <w:rPr>
                <w:rFonts w:ascii="Segoe UI" w:hAnsi="Segoe UI" w:cs="Segoe UI"/>
                <w:b/>
                <w:i/>
                <w:color w:val="000000"/>
                <w:sz w:val="20"/>
                <w:szCs w:val="20"/>
                <w:lang w:val="en-029"/>
              </w:rPr>
              <w:t>SUBCONTRACTORS</w:t>
            </w:r>
          </w:p>
          <w:p w14:paraId="36C8A90F" w14:textId="77777777" w:rsidR="008D6CDF" w:rsidRDefault="008D6CDF" w:rsidP="008D6CDF">
            <w:pPr>
              <w:autoSpaceDE w:val="0"/>
              <w:autoSpaceDN w:val="0"/>
              <w:spacing w:before="40" w:after="40"/>
              <w:rPr>
                <w:rFonts w:ascii="Segoe UI" w:hAnsi="Segoe UI" w:cs="Segoe UI"/>
                <w:i/>
                <w:color w:val="000000"/>
                <w:sz w:val="20"/>
                <w:szCs w:val="20"/>
                <w:lang w:val="en-029"/>
              </w:rPr>
            </w:pPr>
            <w:r w:rsidRPr="008D6CDF">
              <w:rPr>
                <w:rFonts w:ascii="Segoe UI" w:hAnsi="Segoe UI" w:cs="Segoe UI"/>
                <w:i/>
                <w:color w:val="000000"/>
                <w:sz w:val="20"/>
                <w:szCs w:val="20"/>
                <w:lang w:val="en-029"/>
              </w:rPr>
              <w:t>In the event that the Individual contractor requires the services of subcontractors to perform any obligations under the Individual Contract, the Individual contractor shall obtain the prior written approval of UNDP for any such subcontractors. UNDP may, in its sole discretion, reject any proposed subcontractor or require such subcontractor’s removal without having to give any justification therefore, and such rejection shall not entitle the Individual contractor to claim any delays in the performance, or to assert any excuses for the non-performance, of any of its obligations under the Individual Contract. The Individual contractor shall be solely responsible for all services and obligations performed by its subcontractors. The terms of any subcontract shall be subject to, and shall be construed in a manner that is fully in accordance with, all of the terms and conditions of the Individual Contract</w:t>
            </w:r>
            <w:r>
              <w:rPr>
                <w:rFonts w:ascii="Segoe UI" w:hAnsi="Segoe UI" w:cs="Segoe UI"/>
                <w:i/>
                <w:color w:val="000000"/>
                <w:sz w:val="20"/>
                <w:szCs w:val="20"/>
                <w:lang w:val="en-029"/>
              </w:rPr>
              <w:t>.”</w:t>
            </w:r>
          </w:p>
          <w:p w14:paraId="6DCF40B7" w14:textId="77777777" w:rsidR="008D6CDF" w:rsidRDefault="008D6CDF" w:rsidP="008D6CDF">
            <w:pPr>
              <w:autoSpaceDE w:val="0"/>
              <w:autoSpaceDN w:val="0"/>
              <w:spacing w:before="40" w:after="40"/>
              <w:rPr>
                <w:rFonts w:ascii="Segoe UI" w:hAnsi="Segoe UI" w:cs="Segoe UI"/>
                <w:i/>
                <w:color w:val="000000"/>
                <w:sz w:val="20"/>
                <w:szCs w:val="20"/>
                <w:lang w:val="en-029"/>
              </w:rPr>
            </w:pPr>
          </w:p>
          <w:p w14:paraId="5B9ED1DE" w14:textId="66B24E02" w:rsidR="008D6CDF" w:rsidRPr="008D6CDF" w:rsidRDefault="008D6CDF" w:rsidP="008D6CDF">
            <w:pPr>
              <w:autoSpaceDE w:val="0"/>
              <w:autoSpaceDN w:val="0"/>
              <w:spacing w:before="40" w:after="40"/>
              <w:rPr>
                <w:b/>
                <w:i/>
              </w:rPr>
            </w:pPr>
            <w:r w:rsidRPr="008D6CDF">
              <w:rPr>
                <w:rFonts w:ascii="Segoe UI" w:hAnsi="Segoe UI" w:cs="Segoe UI"/>
                <w:b/>
                <w:color w:val="000000"/>
                <w:sz w:val="20"/>
                <w:szCs w:val="20"/>
                <w:lang w:val="en-029"/>
              </w:rPr>
              <w:t>The names and CVs of any potential subcontractor</w:t>
            </w:r>
            <w:r w:rsidR="00154258">
              <w:rPr>
                <w:rFonts w:ascii="Segoe UI" w:hAnsi="Segoe UI" w:cs="Segoe UI"/>
                <w:b/>
                <w:color w:val="000000"/>
                <w:sz w:val="20"/>
                <w:szCs w:val="20"/>
                <w:lang w:val="en-029"/>
              </w:rPr>
              <w:t>s</w:t>
            </w:r>
            <w:r w:rsidRPr="008D6CDF">
              <w:rPr>
                <w:rFonts w:ascii="Segoe UI" w:hAnsi="Segoe UI" w:cs="Segoe UI"/>
                <w:b/>
                <w:color w:val="000000"/>
                <w:sz w:val="20"/>
                <w:szCs w:val="20"/>
                <w:lang w:val="en-029"/>
              </w:rPr>
              <w:t xml:space="preserve"> must be submitted with your proposal.</w:t>
            </w:r>
          </w:p>
          <w:p w14:paraId="76E609B0" w14:textId="77777777" w:rsidR="008D6CDF" w:rsidRDefault="008D6CDF" w:rsidP="008D6CDF">
            <w:pPr>
              <w:autoSpaceDE w:val="0"/>
              <w:autoSpaceDN w:val="0"/>
            </w:pPr>
            <w:r>
              <w:rPr>
                <w:sz w:val="20"/>
                <w:szCs w:val="20"/>
              </w:rPr>
              <w:t> </w:t>
            </w:r>
          </w:p>
          <w:p w14:paraId="0FFAF96C" w14:textId="0E4E680B" w:rsidR="00685F05" w:rsidRDefault="00685F05" w:rsidP="00685F05"/>
        </w:tc>
      </w:tr>
      <w:tr w:rsidR="00942900" w14:paraId="5A518948" w14:textId="77777777" w:rsidTr="0018605D">
        <w:tc>
          <w:tcPr>
            <w:tcW w:w="936" w:type="dxa"/>
          </w:tcPr>
          <w:p w14:paraId="56DBBCA6" w14:textId="77777777" w:rsidR="00942900" w:rsidRDefault="00942900" w:rsidP="0018605D">
            <w:pPr>
              <w:pStyle w:val="ListParagraph"/>
              <w:numPr>
                <w:ilvl w:val="0"/>
                <w:numId w:val="1"/>
              </w:numPr>
            </w:pPr>
          </w:p>
        </w:tc>
        <w:tc>
          <w:tcPr>
            <w:tcW w:w="3829" w:type="dxa"/>
          </w:tcPr>
          <w:p w14:paraId="4DB00CE2" w14:textId="0E8C6F1A" w:rsidR="00942900" w:rsidRPr="00942900" w:rsidRDefault="00942900" w:rsidP="00942900">
            <w:pPr>
              <w:rPr>
                <w:lang w:val="en-029"/>
              </w:rPr>
            </w:pPr>
            <w:r w:rsidRPr="00942900">
              <w:rPr>
                <w:lang w:val="en-029"/>
              </w:rPr>
              <w:t xml:space="preserve">Will a country government entity assist </w:t>
            </w:r>
            <w:r w:rsidR="00BD2120">
              <w:rPr>
                <w:lang w:val="en-029"/>
              </w:rPr>
              <w:t xml:space="preserve">the consultant </w:t>
            </w:r>
            <w:r w:rsidRPr="00942900">
              <w:rPr>
                <w:lang w:val="en-029"/>
              </w:rPr>
              <w:t>with stakeholder engagement?</w:t>
            </w:r>
          </w:p>
          <w:p w14:paraId="46E11E92" w14:textId="77777777" w:rsidR="00942900" w:rsidRDefault="00942900" w:rsidP="00942900">
            <w:bookmarkStart w:id="0" w:name="_GoBack"/>
            <w:bookmarkEnd w:id="0"/>
          </w:p>
        </w:tc>
        <w:tc>
          <w:tcPr>
            <w:tcW w:w="4585" w:type="dxa"/>
          </w:tcPr>
          <w:p w14:paraId="7FAA6563" w14:textId="77777777" w:rsidR="00942900" w:rsidRPr="00942900" w:rsidRDefault="00942900" w:rsidP="00942900">
            <w:pPr>
              <w:rPr>
                <w:lang w:val="en-029"/>
              </w:rPr>
            </w:pPr>
            <w:r w:rsidRPr="00942900">
              <w:rPr>
                <w:lang w:val="en-029"/>
              </w:rPr>
              <w:t>Although the consultant will hold primary responsibility for liaising with government counterparts to obtain all relevant information; support will be provided by the National Focal Points for the J-CCCP project.</w:t>
            </w:r>
          </w:p>
          <w:p w14:paraId="455EA0F4" w14:textId="77777777" w:rsidR="00942900" w:rsidRDefault="00942900" w:rsidP="00942900"/>
        </w:tc>
      </w:tr>
      <w:tr w:rsidR="00942900" w14:paraId="50F778AD" w14:textId="77777777" w:rsidTr="0018605D">
        <w:tc>
          <w:tcPr>
            <w:tcW w:w="936" w:type="dxa"/>
          </w:tcPr>
          <w:p w14:paraId="47FDD9C1" w14:textId="77777777" w:rsidR="00942900" w:rsidRDefault="00942900" w:rsidP="0018605D">
            <w:pPr>
              <w:pStyle w:val="ListParagraph"/>
              <w:numPr>
                <w:ilvl w:val="0"/>
                <w:numId w:val="1"/>
              </w:numPr>
            </w:pPr>
          </w:p>
        </w:tc>
        <w:tc>
          <w:tcPr>
            <w:tcW w:w="3829" w:type="dxa"/>
          </w:tcPr>
          <w:p w14:paraId="271CD67A" w14:textId="6DD69E56" w:rsidR="00BD2120" w:rsidRDefault="00942900" w:rsidP="00BD2120">
            <w:r w:rsidRPr="00942900">
              <w:t xml:space="preserve">If stakeholders need </w:t>
            </w:r>
            <w:r w:rsidR="00BD2120">
              <w:t xml:space="preserve">to </w:t>
            </w:r>
            <w:r w:rsidRPr="00942900">
              <w:t xml:space="preserve">travel to attend workshops, </w:t>
            </w:r>
            <w:r w:rsidR="00BD2120">
              <w:t xml:space="preserve">who will provide the </w:t>
            </w:r>
            <w:r w:rsidR="00BD2120" w:rsidRPr="00BD2120">
              <w:t>reimbursement</w:t>
            </w:r>
            <w:r w:rsidR="00BD2120">
              <w:t>?</w:t>
            </w:r>
          </w:p>
          <w:p w14:paraId="39C36819" w14:textId="77777777" w:rsidR="00BD2120" w:rsidRDefault="00BD2120" w:rsidP="00BD2120"/>
          <w:p w14:paraId="7097A464" w14:textId="5D854313" w:rsidR="00942900" w:rsidRDefault="00942900" w:rsidP="00BD2120"/>
        </w:tc>
        <w:tc>
          <w:tcPr>
            <w:tcW w:w="4585" w:type="dxa"/>
          </w:tcPr>
          <w:p w14:paraId="1366F86B" w14:textId="77777777" w:rsidR="00BD2120" w:rsidRDefault="00942900" w:rsidP="00942900">
            <w:r w:rsidRPr="00942900">
              <w:t xml:space="preserve">Reimbursement for stakeholder travel for these potential sessions will be covered by the project and will not need to be included in the Financial Offer provided. </w:t>
            </w:r>
          </w:p>
          <w:p w14:paraId="4CA68D10" w14:textId="77777777" w:rsidR="00BD2120" w:rsidRDefault="00BD2120" w:rsidP="00942900"/>
          <w:p w14:paraId="048A8405" w14:textId="347A233C" w:rsidR="00942900" w:rsidRDefault="00942900" w:rsidP="00942900">
            <w:r w:rsidRPr="00942900">
              <w:t>We do ask that in your proposal that you state that the costs for workshops is exclusive of travel expenses for stakeholders.</w:t>
            </w:r>
          </w:p>
        </w:tc>
      </w:tr>
    </w:tbl>
    <w:p w14:paraId="3514FB63" w14:textId="77777777" w:rsidR="0063232C" w:rsidRDefault="0063232C"/>
    <w:sectPr w:rsidR="00632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2D324D"/>
    <w:multiLevelType w:val="hybridMultilevel"/>
    <w:tmpl w:val="F28EB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9A0FFB"/>
    <w:multiLevelType w:val="hybridMultilevel"/>
    <w:tmpl w:val="C658B1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E97"/>
    <w:rsid w:val="00154258"/>
    <w:rsid w:val="0018605D"/>
    <w:rsid w:val="0063232C"/>
    <w:rsid w:val="00685F05"/>
    <w:rsid w:val="006F2E97"/>
    <w:rsid w:val="008D6CDF"/>
    <w:rsid w:val="00942900"/>
    <w:rsid w:val="00BD21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C9AC2"/>
  <w15:chartTrackingRefBased/>
  <w15:docId w15:val="{FB91627D-84F5-44FE-A60A-97E8265FE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F2E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860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755738">
      <w:bodyDiv w:val="1"/>
      <w:marLeft w:val="0"/>
      <w:marRight w:val="0"/>
      <w:marTop w:val="0"/>
      <w:marBottom w:val="0"/>
      <w:divBdr>
        <w:top w:val="none" w:sz="0" w:space="0" w:color="auto"/>
        <w:left w:val="none" w:sz="0" w:space="0" w:color="auto"/>
        <w:bottom w:val="none" w:sz="0" w:space="0" w:color="auto"/>
        <w:right w:val="none" w:sz="0" w:space="0" w:color="auto"/>
      </w:divBdr>
    </w:div>
    <w:div w:id="2016347054">
      <w:bodyDiv w:val="1"/>
      <w:marLeft w:val="0"/>
      <w:marRight w:val="0"/>
      <w:marTop w:val="0"/>
      <w:marBottom w:val="0"/>
      <w:divBdr>
        <w:top w:val="none" w:sz="0" w:space="0" w:color="auto"/>
        <w:left w:val="none" w:sz="0" w:space="0" w:color="auto"/>
        <w:bottom w:val="none" w:sz="0" w:space="0" w:color="auto"/>
        <w:right w:val="none" w:sz="0" w:space="0" w:color="auto"/>
      </w:divBdr>
    </w:div>
    <w:div w:id="20916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87F8E58B15B74186E787108B47055F" ma:contentTypeVersion="6" ma:contentTypeDescription="Create a new document." ma:contentTypeScope="" ma:versionID="a163b39dc8f8c25dabf948023ee6a89d">
  <xsd:schema xmlns:xsd="http://www.w3.org/2001/XMLSchema" xmlns:xs="http://www.w3.org/2001/XMLSchema" xmlns:p="http://schemas.microsoft.com/office/2006/metadata/properties" xmlns:ns1="http://schemas.microsoft.com/sharepoint/v3" xmlns:ns2="ab329847-71e0-4991-ae1d-d09f2517fcad" targetNamespace="http://schemas.microsoft.com/office/2006/metadata/properties" ma:root="true" ma:fieldsID="0a01e29d34562445fc621287589fbc1a" ns1:_="" ns2:_="">
    <xsd:import namespace="http://schemas.microsoft.com/sharepoint/v3"/>
    <xsd:import namespace="ab329847-71e0-4991-ae1d-d09f2517fcad"/>
    <xsd:element name="properties">
      <xsd:complexType>
        <xsd:sequence>
          <xsd:element name="documentManagement">
            <xsd:complexType>
              <xsd:all>
                <xsd:element ref="ns2:_dlc_DocId" minOccurs="0"/>
                <xsd:element ref="ns2:_dlc_DocIdUrl" minOccurs="0"/>
                <xsd:element ref="ns2:_dlc_DocIdPersistId" minOccurs="0"/>
                <xsd:element ref="ns1:CSMeta2010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SMeta2010Field" ma:index="11" nillable="true" ma:displayName="Classification Status" ma:hidden="true" ma:internalName="CSMeta2010Field"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b329847-71e0-4991-ae1d-d09f2517fca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SMeta2010Field xmlns="http://schemas.microsoft.com/sharepoint/v3" xsi:nil="true"/>
    <_dlc_DocId xmlns="ab329847-71e0-4991-ae1d-d09f2517fcad">COUNTRYRBLAC-599-4019</_dlc_DocId>
    <_dlc_DocIdUrl xmlns="ab329847-71e0-4991-ae1d-d09f2517fcad">
      <Url>https://intranet.undp.org/country/rblac/bb/intra/procurement/_layouts/15/DocIdRedir.aspx?ID=COUNTRYRBLAC-599-4019</Url>
      <Description>COUNTRYRBLAC-599-4019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25E7536-E564-4CA6-B564-BC69D6275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b329847-71e0-4991-ae1d-d09f2517fc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53317C-EB3D-4EAF-A5EF-7492A14411E0}">
  <ds:schemaRefs>
    <ds:schemaRef ds:uri="http://schemas.microsoft.com/sharepoint/v3/contenttype/forms"/>
  </ds:schemaRefs>
</ds:datastoreItem>
</file>

<file path=customXml/itemProps3.xml><?xml version="1.0" encoding="utf-8"?>
<ds:datastoreItem xmlns:ds="http://schemas.openxmlformats.org/officeDocument/2006/customXml" ds:itemID="{4BEF7A4C-505A-4DB4-A1E8-57DF939F5154}">
  <ds:schemaRefs>
    <ds:schemaRef ds:uri="http://www.w3.org/XML/1998/namespace"/>
    <ds:schemaRef ds:uri="http://schemas.microsoft.com/office/infopath/2007/PartnerControls"/>
    <ds:schemaRef ds:uri="http://schemas.microsoft.com/sharepoint/v3"/>
    <ds:schemaRef ds:uri="http://purl.org/dc/terms/"/>
    <ds:schemaRef ds:uri="http://purl.org/dc/dcmitype/"/>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ab329847-71e0-4991-ae1d-d09f2517fcad"/>
  </ds:schemaRefs>
</ds:datastoreItem>
</file>

<file path=customXml/itemProps4.xml><?xml version="1.0" encoding="utf-8"?>
<ds:datastoreItem xmlns:ds="http://schemas.openxmlformats.org/officeDocument/2006/customXml" ds:itemID="{53188083-A228-4947-A8CC-02995BF71E8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387</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Woodall</dc:creator>
  <cp:keywords/>
  <dc:description/>
  <cp:lastModifiedBy>Danielle Woodall</cp:lastModifiedBy>
  <cp:revision>5</cp:revision>
  <dcterms:created xsi:type="dcterms:W3CDTF">2016-10-03T21:50:00Z</dcterms:created>
  <dcterms:modified xsi:type="dcterms:W3CDTF">2016-10-04T19:10:00Z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0x0101007C87F8E58B15B74186E787108B47055F</vt:lpwstr>
  </property>
  <property fmtid="{D5CDD505-2E9C-101B-9397-08002B2CF9AE}" pid="3" name="UNDPCountry">
    <vt:lpwstr/>
  </property>
  <property fmtid="{D5CDD505-2E9C-101B-9397-08002B2CF9AE}" pid="4" name="UndpDocTypeMM">
    <vt:lpwstr/>
  </property>
  <property fmtid="{D5CDD505-2E9C-101B-9397-08002B2CF9AE}" pid="5" name="UNDPDocumentCategory">
    <vt:lpwstr/>
  </property>
  <property fmtid="{D5CDD505-2E9C-101B-9397-08002B2CF9AE}" pid="6" name="UN Languages">
    <vt:lpwstr>5;#English|7f98b732-4b5b-4b70-ba90-a0eff09b5d2d</vt:lpwstr>
  </property>
  <property fmtid="{D5CDD505-2E9C-101B-9397-08002B2CF9AE}" pid="7" name="eRegFilingCodeMM">
    <vt:lpwstr/>
  </property>
  <property fmtid="{D5CDD505-2E9C-101B-9397-08002B2CF9AE}" pid="8" name="UndpUnitMM">
    <vt:lpwstr/>
  </property>
  <property fmtid="{D5CDD505-2E9C-101B-9397-08002B2CF9AE}" pid="9" name="UNDPFocusAreas">
    <vt:lpwstr/>
  </property>
  <property fmtid="{D5CDD505-2E9C-101B-9397-08002B2CF9AE}" pid="10" name="_dlc_DocIdItemGuid">
    <vt:lpwstr>45e28f91-84cc-4b2e-a887-7b036789d4ed</vt:lpwstr>
  </property>
</Properties>
</file>