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jc w:val="center"/>
        <w:rPr>
          <w:b w:val="1"/>
          <w:smallCaps w:val="1"/>
          <w:sz w:val="20"/>
          <w:szCs w:val="20"/>
        </w:rPr>
      </w:pPr>
      <w:r w:rsidDel="00000000" w:rsidR="00000000" w:rsidRPr="00000000">
        <w:rPr>
          <w:rtl w:val="0"/>
        </w:rPr>
      </w:r>
    </w:p>
    <w:p w:rsidR="00000000" w:rsidDel="00000000" w:rsidP="00000000" w:rsidRDefault="00000000" w:rsidRPr="00000000" w14:paraId="0000000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jc w:val="center"/>
        <w:rPr>
          <w:b w:val="1"/>
          <w:smallCaps w:val="1"/>
          <w:sz w:val="20"/>
          <w:szCs w:val="20"/>
        </w:rPr>
      </w:pPr>
      <w:r w:rsidDel="00000000" w:rsidR="00000000" w:rsidRPr="00000000">
        <w:rPr>
          <w:b w:val="1"/>
          <w:smallCaps w:val="1"/>
          <w:sz w:val="20"/>
          <w:szCs w:val="20"/>
          <w:rtl w:val="0"/>
        </w:rPr>
        <w:t xml:space="preserve">REPORTING REQUIREMENTS AND TEMPLATES</w:t>
      </w:r>
    </w:p>
    <w:p w:rsidR="00000000" w:rsidDel="00000000" w:rsidP="00000000" w:rsidRDefault="00000000" w:rsidRPr="00000000" w14:paraId="0000000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rPr>
      </w:pPr>
      <w:r w:rsidDel="00000000" w:rsidR="00000000" w:rsidRPr="00000000">
        <w:rPr>
          <w:rtl w:val="0"/>
        </w:rPr>
      </w:r>
    </w:p>
    <w:p w:rsidR="00000000" w:rsidDel="00000000" w:rsidP="00000000" w:rsidRDefault="00000000" w:rsidRPr="00000000" w14:paraId="0000000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rPr>
      </w:pPr>
      <w:r w:rsidDel="00000000" w:rsidR="00000000" w:rsidRPr="00000000">
        <w:rPr>
          <w:rtl w:val="0"/>
        </w:rPr>
      </w:r>
    </w:p>
    <w:p w:rsidR="00000000" w:rsidDel="00000000" w:rsidP="00000000" w:rsidRDefault="00000000" w:rsidRPr="00000000" w14:paraId="0000000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sz w:val="20"/>
          <w:szCs w:val="20"/>
        </w:rPr>
      </w:pPr>
      <w:r w:rsidDel="00000000" w:rsidR="00000000" w:rsidRPr="00000000">
        <w:rPr>
          <w:sz w:val="20"/>
          <w:szCs w:val="20"/>
          <w:rtl w:val="0"/>
        </w:rPr>
        <w:t xml:space="preserve">All related reporting information and requirements are available in the following folder: </w:t>
      </w:r>
      <w:hyperlink r:id="rId6">
        <w:r w:rsidDel="00000000" w:rsidR="00000000" w:rsidRPr="00000000">
          <w:rPr>
            <w:color w:val="1155cc"/>
            <w:sz w:val="20"/>
            <w:szCs w:val="20"/>
            <w:u w:val="single"/>
            <w:rtl w:val="0"/>
          </w:rPr>
          <w:t xml:space="preserve">Reporting Requirements and Templates folder</w:t>
        </w:r>
      </w:hyperlink>
      <w:r w:rsidDel="00000000" w:rsidR="00000000" w:rsidRPr="00000000">
        <w:rPr>
          <w:sz w:val="20"/>
          <w:szCs w:val="20"/>
          <w:rtl w:val="0"/>
        </w:rPr>
        <w:t xml:space="preserve">. It includes the following documents:</w:t>
      </w:r>
    </w:p>
    <w:p w:rsidR="00000000" w:rsidDel="00000000" w:rsidP="00000000" w:rsidRDefault="00000000" w:rsidRPr="00000000" w14:paraId="00000006">
      <w:pPr>
        <w:numPr>
          <w:ilvl w:val="0"/>
          <w:numId w:val="8"/>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ind w:left="720" w:hanging="360"/>
        <w:rPr>
          <w:sz w:val="20"/>
          <w:szCs w:val="20"/>
        </w:rPr>
      </w:pPr>
      <w:r w:rsidDel="00000000" w:rsidR="00000000" w:rsidRPr="00000000">
        <w:rPr>
          <w:sz w:val="20"/>
          <w:szCs w:val="20"/>
          <w:rtl w:val="0"/>
        </w:rPr>
        <w:t xml:space="preserve">Reporting templates: Narrative, Financial, Results, HIS, Lessons learnt</w:t>
      </w:r>
    </w:p>
    <w:p w:rsidR="00000000" w:rsidDel="00000000" w:rsidP="00000000" w:rsidRDefault="00000000" w:rsidRPr="00000000" w14:paraId="00000007">
      <w:pPr>
        <w:numPr>
          <w:ilvl w:val="0"/>
          <w:numId w:val="8"/>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ind w:left="720" w:hanging="360"/>
        <w:rPr>
          <w:sz w:val="20"/>
          <w:szCs w:val="20"/>
        </w:rPr>
      </w:pPr>
      <w:r w:rsidDel="00000000" w:rsidR="00000000" w:rsidRPr="00000000">
        <w:rPr>
          <w:sz w:val="20"/>
          <w:szCs w:val="20"/>
          <w:rtl w:val="0"/>
        </w:rPr>
        <w:t xml:space="preserve">ATscale reporting requirements SOP</w:t>
      </w:r>
    </w:p>
    <w:p w:rsidR="00000000" w:rsidDel="00000000" w:rsidP="00000000" w:rsidRDefault="00000000" w:rsidRPr="00000000" w14:paraId="00000008">
      <w:pPr>
        <w:numPr>
          <w:ilvl w:val="0"/>
          <w:numId w:val="8"/>
        </w:num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ind w:left="720" w:hanging="360"/>
        <w:rPr>
          <w:sz w:val="20"/>
          <w:szCs w:val="20"/>
        </w:rPr>
      </w:pPr>
      <w:r w:rsidDel="00000000" w:rsidR="00000000" w:rsidRPr="00000000">
        <w:rPr>
          <w:sz w:val="20"/>
          <w:szCs w:val="20"/>
          <w:rtl w:val="0"/>
        </w:rPr>
        <w:t xml:space="preserve">Results template guidance</w:t>
      </w:r>
    </w:p>
    <w:p w:rsidR="00000000" w:rsidDel="00000000" w:rsidP="00000000" w:rsidRDefault="00000000" w:rsidRPr="00000000" w14:paraId="0000000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sz w:val="20"/>
          <w:szCs w:val="20"/>
        </w:rPr>
      </w:pPr>
      <w:r w:rsidDel="00000000" w:rsidR="00000000" w:rsidRPr="00000000">
        <w:rPr>
          <w:rtl w:val="0"/>
        </w:rPr>
      </w:r>
    </w:p>
    <w:p w:rsidR="00000000" w:rsidDel="00000000" w:rsidP="00000000" w:rsidRDefault="00000000" w:rsidRPr="00000000" w14:paraId="0000000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u w:val="single"/>
        </w:rPr>
      </w:pPr>
      <w:r w:rsidDel="00000000" w:rsidR="00000000" w:rsidRPr="00000000">
        <w:rPr>
          <w:b w:val="1"/>
          <w:smallCaps w:val="1"/>
          <w:sz w:val="20"/>
          <w:szCs w:val="20"/>
          <w:u w:val="single"/>
          <w:rtl w:val="0"/>
        </w:rPr>
        <w:t xml:space="preserve">Reporting requirements</w:t>
      </w:r>
    </w:p>
    <w:p w:rsidR="00000000" w:rsidDel="00000000" w:rsidP="00000000" w:rsidRDefault="00000000" w:rsidRPr="00000000" w14:paraId="0000000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sz w:val="20"/>
          <w:szCs w:val="20"/>
        </w:rPr>
      </w:pPr>
      <w:r w:rsidDel="00000000" w:rsidR="00000000" w:rsidRPr="00000000">
        <w:rPr>
          <w:rtl w:val="0"/>
        </w:rPr>
      </w:r>
    </w:p>
    <w:p w:rsidR="00000000" w:rsidDel="00000000" w:rsidP="00000000" w:rsidRDefault="00000000" w:rsidRPr="00000000" w14:paraId="0000000C">
      <w:pPr>
        <w:spacing w:line="240" w:lineRule="auto"/>
        <w:rPr>
          <w:sz w:val="20"/>
          <w:szCs w:val="20"/>
        </w:rPr>
      </w:pPr>
      <w:r w:rsidDel="00000000" w:rsidR="00000000" w:rsidRPr="00000000">
        <w:rPr>
          <w:sz w:val="20"/>
          <w:szCs w:val="20"/>
          <w:rtl w:val="0"/>
        </w:rPr>
        <w:t xml:space="preserve">During the mobilization/inception phase, ATscale will share the final reporting templates for mobilization/inception, progress, annual and final reports. This includes the programme’s </w:t>
      </w:r>
      <w:r w:rsidDel="00000000" w:rsidR="00000000" w:rsidRPr="00000000">
        <w:rPr>
          <w:sz w:val="20"/>
          <w:szCs w:val="20"/>
          <w:u w:val="single"/>
          <w:rtl w:val="0"/>
        </w:rPr>
        <w:t xml:space="preserve">Results template, </w:t>
      </w:r>
      <w:r w:rsidDel="00000000" w:rsidR="00000000" w:rsidRPr="00000000">
        <w:rPr>
          <w:sz w:val="20"/>
          <w:szCs w:val="20"/>
          <w:rtl w:val="0"/>
        </w:rPr>
        <w:t xml:space="preserve">a unique progress monitoring tool for the Grantee to capture expected and achieved cumulative results against: ATscale’s Key Performance Indicators (KPIs) and the programmes’ results framework indicators and ATscale core indicators</w:t>
      </w:r>
    </w:p>
    <w:p w:rsidR="00000000" w:rsidDel="00000000" w:rsidP="00000000" w:rsidRDefault="00000000" w:rsidRPr="00000000" w14:paraId="0000000D">
      <w:pPr>
        <w:spacing w:line="240" w:lineRule="auto"/>
        <w:rPr>
          <w:sz w:val="20"/>
          <w:szCs w:val="20"/>
        </w:rPr>
      </w:pPr>
      <w:r w:rsidDel="00000000" w:rsidR="00000000" w:rsidRPr="00000000">
        <w:rPr>
          <w:rtl w:val="0"/>
        </w:rPr>
      </w:r>
    </w:p>
    <w:p w:rsidR="00000000" w:rsidDel="00000000" w:rsidP="00000000" w:rsidRDefault="00000000" w:rsidRPr="00000000" w14:paraId="0000000E">
      <w:pPr>
        <w:spacing w:line="240" w:lineRule="auto"/>
        <w:rPr>
          <w:sz w:val="20"/>
          <w:szCs w:val="20"/>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720" w:hanging="360"/>
        <w:rPr>
          <w:sz w:val="20"/>
          <w:szCs w:val="20"/>
        </w:rPr>
      </w:pPr>
      <w:r w:rsidDel="00000000" w:rsidR="00000000" w:rsidRPr="00000000">
        <w:rPr>
          <w:sz w:val="20"/>
          <w:szCs w:val="20"/>
          <w:rtl w:val="0"/>
        </w:rPr>
        <w:t xml:space="preserve">ATscale’s Key Performance Indicators (KPIs):</w:t>
      </w:r>
    </w:p>
    <w:p w:rsidR="00000000" w:rsidDel="00000000" w:rsidP="00000000" w:rsidRDefault="00000000" w:rsidRPr="00000000" w14:paraId="00000010">
      <w:pPr>
        <w:spacing w:line="240" w:lineRule="auto"/>
        <w:ind w:left="720" w:firstLine="0"/>
        <w:rPr>
          <w:sz w:val="20"/>
          <w:szCs w:val="20"/>
        </w:rPr>
      </w:pPr>
      <w:r w:rsidDel="00000000" w:rsidR="00000000" w:rsidRPr="00000000">
        <w:rPr>
          <w:rtl w:val="0"/>
        </w:rPr>
      </w:r>
    </w:p>
    <w:tbl>
      <w:tblPr>
        <w:tblStyle w:val="Table1"/>
        <w:tblW w:w="921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5"/>
        <w:gridCol w:w="3945"/>
        <w:tblGridChange w:id="0">
          <w:tblGrid>
            <w:gridCol w:w="5265"/>
            <w:gridCol w:w="3945"/>
          </w:tblGrid>
        </w:tblGridChange>
      </w:tblGrid>
      <w:tr>
        <w:trPr>
          <w:cantSplit w:val="0"/>
          <w:trHeight w:val="390" w:hRule="atLeast"/>
          <w:tblHeader w:val="0"/>
        </w:trPr>
        <w:tc>
          <w:tcPr>
            <w:gridSpan w:val="2"/>
            <w:shd w:fill="f3f3f3"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0"/>
                <w:szCs w:val="20"/>
              </w:rPr>
            </w:pPr>
            <w:r w:rsidDel="00000000" w:rsidR="00000000" w:rsidRPr="00000000">
              <w:rPr>
                <w:b w:val="1"/>
                <w:sz w:val="20"/>
                <w:szCs w:val="20"/>
                <w:rtl w:val="0"/>
              </w:rPr>
              <w:t xml:space="preserve">Key Performance Indicators</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sz w:val="20"/>
                <w:szCs w:val="20"/>
              </w:rPr>
            </w:pPr>
            <w:r w:rsidDel="00000000" w:rsidR="00000000" w:rsidRPr="00000000">
              <w:rPr>
                <w:b w:val="1"/>
                <w:sz w:val="20"/>
                <w:szCs w:val="20"/>
                <w:rtl w:val="0"/>
              </w:rPr>
              <w:t xml:space="preserve">Indicator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sz w:val="20"/>
                <w:szCs w:val="20"/>
              </w:rPr>
            </w:pPr>
            <w:r w:rsidDel="00000000" w:rsidR="00000000" w:rsidRPr="00000000">
              <w:rPr>
                <w:b w:val="1"/>
                <w:sz w:val="20"/>
                <w:szCs w:val="20"/>
                <w:rtl w:val="0"/>
              </w:rPr>
              <w:t xml:space="preserve">Disaggregation</w:t>
            </w:r>
          </w:p>
        </w:tc>
      </w:tr>
      <w:tr>
        <w:trPr>
          <w:cantSplit w:val="0"/>
          <w:tblHeader w:val="0"/>
        </w:trPr>
        <w:tc>
          <w:tcPr>
            <w:vMerge w:val="restart"/>
            <w:tcMar>
              <w:top w:w="100.0" w:type="dxa"/>
              <w:left w:w="100.0" w:type="dxa"/>
              <w:bottom w:w="100.0" w:type="dxa"/>
              <w:right w:w="100.0" w:type="dxa"/>
            </w:tcMar>
            <w:vAlign w:val="top"/>
          </w:tcPr>
          <w:p w:rsidR="00000000" w:rsidDel="00000000" w:rsidP="00000000" w:rsidRDefault="00000000" w:rsidRPr="00000000" w14:paraId="00000015">
            <w:pPr>
              <w:widowControl w:val="0"/>
              <w:spacing w:line="276" w:lineRule="auto"/>
              <w:rPr>
                <w:sz w:val="20"/>
                <w:szCs w:val="20"/>
              </w:rPr>
            </w:pPr>
            <w:r w:rsidDel="00000000" w:rsidR="00000000" w:rsidRPr="00000000">
              <w:rPr>
                <w:sz w:val="20"/>
                <w:szCs w:val="20"/>
                <w:rtl w:val="0"/>
              </w:rPr>
              <w:t xml:space="preserve">K1. Number of people reached with assistive technology (services and/or products) through programmes which ATscale contributed to, disaggregated by: </w:t>
            </w:r>
          </w:p>
          <w:p w:rsidR="00000000" w:rsidDel="00000000" w:rsidP="00000000" w:rsidRDefault="00000000" w:rsidRPr="00000000" w14:paraId="00000016">
            <w:pPr>
              <w:widowControl w:val="0"/>
              <w:numPr>
                <w:ilvl w:val="0"/>
                <w:numId w:val="4"/>
              </w:numPr>
              <w:spacing w:line="276" w:lineRule="auto"/>
              <w:ind w:left="720" w:hanging="360"/>
              <w:rPr>
                <w:sz w:val="20"/>
                <w:szCs w:val="20"/>
              </w:rPr>
            </w:pPr>
            <w:r w:rsidDel="00000000" w:rsidR="00000000" w:rsidRPr="00000000">
              <w:rPr>
                <w:sz w:val="20"/>
                <w:szCs w:val="20"/>
                <w:rtl w:val="0"/>
              </w:rPr>
              <w:t xml:space="preserve">k1a Service- promotion</w:t>
            </w:r>
          </w:p>
          <w:p w:rsidR="00000000" w:rsidDel="00000000" w:rsidP="00000000" w:rsidRDefault="00000000" w:rsidRPr="00000000" w14:paraId="00000017">
            <w:pPr>
              <w:widowControl w:val="0"/>
              <w:numPr>
                <w:ilvl w:val="0"/>
                <w:numId w:val="4"/>
              </w:numPr>
              <w:spacing w:line="276" w:lineRule="auto"/>
              <w:ind w:left="720" w:hanging="360"/>
              <w:rPr>
                <w:sz w:val="20"/>
                <w:szCs w:val="20"/>
              </w:rPr>
            </w:pPr>
            <w:r w:rsidDel="00000000" w:rsidR="00000000" w:rsidRPr="00000000">
              <w:rPr>
                <w:sz w:val="20"/>
                <w:szCs w:val="20"/>
                <w:rtl w:val="0"/>
              </w:rPr>
              <w:t xml:space="preserve">k1b Service - screening</w:t>
            </w:r>
          </w:p>
          <w:p w:rsidR="00000000" w:rsidDel="00000000" w:rsidP="00000000" w:rsidRDefault="00000000" w:rsidRPr="00000000" w14:paraId="00000018">
            <w:pPr>
              <w:widowControl w:val="0"/>
              <w:numPr>
                <w:ilvl w:val="0"/>
                <w:numId w:val="2"/>
              </w:numPr>
              <w:spacing w:line="276" w:lineRule="auto"/>
              <w:ind w:left="720" w:hanging="360"/>
              <w:rPr>
                <w:sz w:val="20"/>
                <w:szCs w:val="20"/>
              </w:rPr>
            </w:pPr>
            <w:r w:rsidDel="00000000" w:rsidR="00000000" w:rsidRPr="00000000">
              <w:rPr>
                <w:sz w:val="20"/>
                <w:szCs w:val="20"/>
                <w:rtl w:val="0"/>
              </w:rPr>
              <w:t xml:space="preserve">k1c Assistive products</w:t>
            </w:r>
          </w:p>
          <w:p w:rsidR="00000000" w:rsidDel="00000000" w:rsidP="00000000" w:rsidRDefault="00000000" w:rsidRPr="00000000" w14:paraId="00000019">
            <w:pPr>
              <w:widowControl w:val="0"/>
              <w:numPr>
                <w:ilvl w:val="0"/>
                <w:numId w:val="2"/>
              </w:numPr>
              <w:spacing w:line="276" w:lineRule="auto"/>
              <w:ind w:left="720" w:hanging="360"/>
              <w:rPr>
                <w:sz w:val="20"/>
                <w:szCs w:val="20"/>
              </w:rPr>
            </w:pPr>
            <w:r w:rsidDel="00000000" w:rsidR="00000000" w:rsidRPr="00000000">
              <w:rPr>
                <w:sz w:val="20"/>
                <w:szCs w:val="20"/>
                <w:rtl w:val="0"/>
              </w:rPr>
              <w:t xml:space="preserve">k1d Service - clinical assessment, prescription, referral, and others</w:t>
            </w:r>
          </w:p>
          <w:p w:rsidR="00000000" w:rsidDel="00000000" w:rsidP="00000000" w:rsidRDefault="00000000" w:rsidRPr="00000000" w14:paraId="0000001A">
            <w:pPr>
              <w:widowControl w:val="0"/>
              <w:numPr>
                <w:ilvl w:val="0"/>
                <w:numId w:val="2"/>
              </w:numPr>
              <w:spacing w:line="276" w:lineRule="auto"/>
              <w:ind w:left="720" w:hanging="360"/>
              <w:rPr>
                <w:sz w:val="20"/>
                <w:szCs w:val="20"/>
              </w:rPr>
            </w:pPr>
            <w:r w:rsidDel="00000000" w:rsidR="00000000" w:rsidRPr="00000000">
              <w:rPr>
                <w:sz w:val="20"/>
                <w:szCs w:val="20"/>
                <w:rtl w:val="0"/>
              </w:rPr>
              <w:t xml:space="preserve">k1e Others</w:t>
            </w:r>
          </w:p>
        </w:tc>
        <w:tc>
          <w:tcPr>
            <w:vMerge w:val="restart"/>
            <w:tcMar>
              <w:top w:w="100.0" w:type="dxa"/>
              <w:left w:w="100.0" w:type="dxa"/>
              <w:bottom w:w="100.0" w:type="dxa"/>
              <w:right w:w="100.0" w:type="dxa"/>
            </w:tcMar>
            <w:vAlign w:val="top"/>
          </w:tcPr>
          <w:p w:rsidR="00000000" w:rsidDel="00000000" w:rsidP="00000000" w:rsidRDefault="00000000" w:rsidRPr="00000000" w14:paraId="0000001B">
            <w:pPr>
              <w:widowControl w:val="0"/>
              <w:numPr>
                <w:ilvl w:val="0"/>
                <w:numId w:val="3"/>
              </w:numPr>
              <w:spacing w:line="276" w:lineRule="auto"/>
              <w:ind w:left="720" w:hanging="360"/>
              <w:rPr>
                <w:sz w:val="20"/>
                <w:szCs w:val="20"/>
              </w:rPr>
            </w:pPr>
            <w:r w:rsidDel="00000000" w:rsidR="00000000" w:rsidRPr="00000000">
              <w:rPr>
                <w:sz w:val="20"/>
                <w:szCs w:val="20"/>
                <w:rtl w:val="0"/>
              </w:rPr>
              <w:t xml:space="preserve">Gender</w:t>
            </w:r>
          </w:p>
          <w:p w:rsidR="00000000" w:rsidDel="00000000" w:rsidP="00000000" w:rsidRDefault="00000000" w:rsidRPr="00000000" w14:paraId="0000001C">
            <w:pPr>
              <w:widowControl w:val="0"/>
              <w:numPr>
                <w:ilvl w:val="0"/>
                <w:numId w:val="3"/>
              </w:numPr>
              <w:spacing w:line="276" w:lineRule="auto"/>
              <w:ind w:left="720" w:hanging="360"/>
              <w:rPr>
                <w:sz w:val="20"/>
                <w:szCs w:val="20"/>
              </w:rPr>
            </w:pPr>
            <w:r w:rsidDel="00000000" w:rsidR="00000000" w:rsidRPr="00000000">
              <w:rPr>
                <w:sz w:val="20"/>
                <w:szCs w:val="20"/>
                <w:rtl w:val="0"/>
              </w:rPr>
              <w:t xml:space="preserve">Age group (Below 18 years old and above) </w:t>
            </w:r>
          </w:p>
          <w:p w:rsidR="00000000" w:rsidDel="00000000" w:rsidP="00000000" w:rsidRDefault="00000000" w:rsidRPr="00000000" w14:paraId="0000001D">
            <w:pPr>
              <w:widowControl w:val="0"/>
              <w:numPr>
                <w:ilvl w:val="0"/>
                <w:numId w:val="3"/>
              </w:numPr>
              <w:spacing w:line="276" w:lineRule="auto"/>
              <w:ind w:left="720" w:hanging="360"/>
              <w:rPr>
                <w:sz w:val="20"/>
                <w:szCs w:val="20"/>
              </w:rPr>
            </w:pPr>
            <w:r w:rsidDel="00000000" w:rsidR="00000000" w:rsidRPr="00000000">
              <w:rPr>
                <w:sz w:val="20"/>
                <w:szCs w:val="20"/>
                <w:rtl w:val="0"/>
              </w:rPr>
              <w:t xml:space="preserve">AT/disability domain (hearing, vision, mobility, cognitive, cross-cutting, etc)</w:t>
            </w:r>
          </w:p>
        </w:tc>
      </w:tr>
      <w:tr>
        <w:trPr>
          <w:cantSplit w:val="0"/>
          <w:trHeight w:val="2415" w:hRule="atLeast"/>
          <w:tblHeader w:val="0"/>
        </w:trPr>
        <w:tc>
          <w:tcPr>
            <w:vMerge w:val="continue"/>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sz w:val="20"/>
                <w:szCs w:val="20"/>
              </w:rPr>
            </w:pPr>
            <w:r w:rsidDel="00000000" w:rsidR="00000000" w:rsidRPr="00000000">
              <w:rPr>
                <w:rtl w:val="0"/>
              </w:rPr>
            </w:r>
          </w:p>
        </w:tc>
        <w:tc>
          <w:tcPr>
            <w:vMerge w:val="continue"/>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20"/>
                <w:szCs w:val="20"/>
              </w:rPr>
            </w:pP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0">
            <w:pPr>
              <w:widowControl w:val="0"/>
              <w:spacing w:line="276" w:lineRule="auto"/>
              <w:rPr>
                <w:sz w:val="20"/>
                <w:szCs w:val="20"/>
              </w:rPr>
            </w:pPr>
            <w:r w:rsidDel="00000000" w:rsidR="00000000" w:rsidRPr="00000000">
              <w:rPr>
                <w:sz w:val="20"/>
                <w:szCs w:val="20"/>
                <w:rtl w:val="0"/>
              </w:rPr>
              <w:t xml:space="preserve">K2. Number of people trained by programmes which ATscale has contributed to</w:t>
            </w:r>
          </w:p>
        </w:tc>
        <w:tc>
          <w:tcPr>
            <w:tcMar>
              <w:top w:w="100.0" w:type="dxa"/>
              <w:left w:w="100.0" w:type="dxa"/>
              <w:bottom w:w="100.0" w:type="dxa"/>
              <w:right w:w="100.0" w:type="dxa"/>
            </w:tcMar>
            <w:vAlign w:val="top"/>
          </w:tcPr>
          <w:p w:rsidR="00000000" w:rsidDel="00000000" w:rsidP="00000000" w:rsidRDefault="00000000" w:rsidRPr="00000000" w14:paraId="00000021">
            <w:pPr>
              <w:widowControl w:val="0"/>
              <w:numPr>
                <w:ilvl w:val="0"/>
                <w:numId w:val="5"/>
              </w:numPr>
              <w:spacing w:line="276" w:lineRule="auto"/>
              <w:ind w:left="720" w:hanging="360"/>
              <w:rPr>
                <w:sz w:val="20"/>
                <w:szCs w:val="20"/>
              </w:rPr>
            </w:pPr>
            <w:r w:rsidDel="00000000" w:rsidR="00000000" w:rsidRPr="00000000">
              <w:rPr>
                <w:sz w:val="20"/>
                <w:szCs w:val="20"/>
                <w:rtl w:val="0"/>
              </w:rPr>
              <w:t xml:space="preserve">Gender</w:t>
            </w:r>
          </w:p>
          <w:p w:rsidR="00000000" w:rsidDel="00000000" w:rsidP="00000000" w:rsidRDefault="00000000" w:rsidRPr="00000000" w14:paraId="00000022">
            <w:pPr>
              <w:widowControl w:val="0"/>
              <w:numPr>
                <w:ilvl w:val="0"/>
                <w:numId w:val="5"/>
              </w:numPr>
              <w:spacing w:line="276" w:lineRule="auto"/>
              <w:ind w:left="720" w:hanging="360"/>
              <w:rPr>
                <w:sz w:val="20"/>
                <w:szCs w:val="20"/>
              </w:rPr>
            </w:pPr>
            <w:r w:rsidDel="00000000" w:rsidR="00000000" w:rsidRPr="00000000">
              <w:rPr>
                <w:sz w:val="20"/>
                <w:szCs w:val="20"/>
                <w:rtl w:val="0"/>
              </w:rPr>
              <w:t xml:space="preserve">Age group</w:t>
            </w:r>
          </w:p>
          <w:p w:rsidR="00000000" w:rsidDel="00000000" w:rsidP="00000000" w:rsidRDefault="00000000" w:rsidRPr="00000000" w14:paraId="00000023">
            <w:pPr>
              <w:widowControl w:val="0"/>
              <w:numPr>
                <w:ilvl w:val="0"/>
                <w:numId w:val="5"/>
              </w:numPr>
              <w:spacing w:line="276" w:lineRule="auto"/>
              <w:ind w:left="720" w:hanging="360"/>
              <w:rPr>
                <w:sz w:val="20"/>
                <w:szCs w:val="20"/>
              </w:rPr>
            </w:pPr>
            <w:r w:rsidDel="00000000" w:rsidR="00000000" w:rsidRPr="00000000">
              <w:rPr>
                <w:sz w:val="20"/>
                <w:szCs w:val="20"/>
                <w:rtl w:val="0"/>
              </w:rPr>
              <w:t xml:space="preserve">AT/disability domain</w:t>
            </w:r>
          </w:p>
          <w:p w:rsidR="00000000" w:rsidDel="00000000" w:rsidP="00000000" w:rsidRDefault="00000000" w:rsidRPr="00000000" w14:paraId="00000024">
            <w:pPr>
              <w:widowControl w:val="0"/>
              <w:numPr>
                <w:ilvl w:val="0"/>
                <w:numId w:val="5"/>
              </w:numPr>
              <w:spacing w:line="276" w:lineRule="auto"/>
              <w:ind w:left="720" w:hanging="360"/>
              <w:rPr>
                <w:sz w:val="20"/>
                <w:szCs w:val="20"/>
              </w:rPr>
            </w:pPr>
            <w:r w:rsidDel="00000000" w:rsidR="00000000" w:rsidRPr="00000000">
              <w:rPr>
                <w:sz w:val="20"/>
                <w:szCs w:val="20"/>
                <w:rtl w:val="0"/>
              </w:rPr>
              <w:t xml:space="preserve">Discipline/personnel title </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25">
            <w:pPr>
              <w:widowControl w:val="0"/>
              <w:spacing w:line="276" w:lineRule="auto"/>
              <w:rPr>
                <w:sz w:val="20"/>
                <w:szCs w:val="20"/>
              </w:rPr>
            </w:pPr>
            <w:r w:rsidDel="00000000" w:rsidR="00000000" w:rsidRPr="00000000">
              <w:rPr>
                <w:sz w:val="20"/>
                <w:szCs w:val="20"/>
                <w:rtl w:val="0"/>
              </w:rPr>
              <w:t xml:space="preserve">K3. Number of ATscale supported organizations strengthened by programmes which ATscale contributes to</w:t>
            </w:r>
          </w:p>
        </w:tc>
        <w:tc>
          <w:tcP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7"/>
              </w:numPr>
              <w:spacing w:line="240" w:lineRule="auto"/>
              <w:ind w:left="720" w:hanging="360"/>
              <w:rPr>
                <w:sz w:val="20"/>
                <w:szCs w:val="20"/>
              </w:rPr>
            </w:pPr>
            <w:r w:rsidDel="00000000" w:rsidR="00000000" w:rsidRPr="00000000">
              <w:rPr>
                <w:sz w:val="20"/>
                <w:szCs w:val="20"/>
                <w:rtl w:val="0"/>
              </w:rPr>
              <w:t xml:space="preserve">AT/disability domain</w:t>
            </w:r>
          </w:p>
          <w:p w:rsidR="00000000" w:rsidDel="00000000" w:rsidP="00000000" w:rsidRDefault="00000000" w:rsidRPr="00000000" w14:paraId="00000027">
            <w:pPr>
              <w:widowControl w:val="0"/>
              <w:numPr>
                <w:ilvl w:val="0"/>
                <w:numId w:val="7"/>
              </w:numPr>
              <w:spacing w:line="240" w:lineRule="auto"/>
              <w:ind w:left="720" w:hanging="360"/>
              <w:rPr>
                <w:sz w:val="20"/>
                <w:szCs w:val="20"/>
              </w:rPr>
            </w:pPr>
            <w:r w:rsidDel="00000000" w:rsidR="00000000" w:rsidRPr="00000000">
              <w:rPr>
                <w:sz w:val="20"/>
                <w:szCs w:val="20"/>
                <w:rtl w:val="0"/>
              </w:rPr>
              <w:t xml:space="preserve">Organization type </w:t>
            </w:r>
          </w:p>
          <w:p w:rsidR="00000000" w:rsidDel="00000000" w:rsidP="00000000" w:rsidRDefault="00000000" w:rsidRPr="00000000" w14:paraId="00000028">
            <w:pPr>
              <w:widowControl w:val="0"/>
              <w:numPr>
                <w:ilvl w:val="0"/>
                <w:numId w:val="7"/>
              </w:numPr>
              <w:spacing w:line="240" w:lineRule="auto"/>
              <w:ind w:left="720" w:hanging="360"/>
              <w:rPr>
                <w:sz w:val="20"/>
                <w:szCs w:val="20"/>
              </w:rPr>
            </w:pPr>
            <w:r w:rsidDel="00000000" w:rsidR="00000000" w:rsidRPr="00000000">
              <w:rPr>
                <w:sz w:val="20"/>
                <w:szCs w:val="20"/>
                <w:rtl w:val="0"/>
              </w:rPr>
              <w:t xml:space="preserve">Activity</w:t>
            </w:r>
          </w:p>
        </w:tc>
      </w:tr>
    </w:tbl>
    <w:p w:rsidR="00000000" w:rsidDel="00000000" w:rsidP="00000000" w:rsidRDefault="00000000" w:rsidRPr="00000000" w14:paraId="00000029">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spacing w:line="240" w:lineRule="auto"/>
        <w:rPr>
          <w:sz w:val="20"/>
          <w:szCs w:val="20"/>
        </w:rPr>
      </w:pPr>
      <w:r w:rsidDel="00000000" w:rsidR="00000000" w:rsidRPr="00000000">
        <w:rPr>
          <w:rtl w:val="0"/>
        </w:rPr>
      </w:r>
    </w:p>
    <w:p w:rsidR="00000000" w:rsidDel="00000000" w:rsidP="00000000" w:rsidRDefault="00000000" w:rsidRPr="00000000" w14:paraId="0000002D">
      <w:pPr>
        <w:spacing w:line="240" w:lineRule="auto"/>
        <w:rPr>
          <w:sz w:val="20"/>
          <w:szCs w:val="20"/>
        </w:rPr>
      </w:pPr>
      <w:r w:rsidDel="00000000" w:rsidR="00000000" w:rsidRPr="00000000">
        <w:rPr>
          <w:sz w:val="20"/>
          <w:szCs w:val="20"/>
          <w:rtl w:val="0"/>
        </w:rPr>
        <w:t xml:space="preserve"> </w:t>
        <w:tab/>
        <w:t xml:space="preserve">2. The programme’s Results Framework indicators and ATscale core indicators:</w:t>
      </w:r>
    </w:p>
    <w:p w:rsidR="00000000" w:rsidDel="00000000" w:rsidP="00000000" w:rsidRDefault="00000000" w:rsidRPr="00000000" w14:paraId="0000002E">
      <w:pPr>
        <w:spacing w:line="240" w:lineRule="auto"/>
        <w:rPr>
          <w:sz w:val="20"/>
          <w:szCs w:val="20"/>
        </w:rPr>
      </w:pPr>
      <w:r w:rsidDel="00000000" w:rsidR="00000000" w:rsidRPr="00000000">
        <w:rPr>
          <w:rtl w:val="0"/>
        </w:rPr>
      </w:r>
    </w:p>
    <w:p w:rsidR="00000000" w:rsidDel="00000000" w:rsidP="00000000" w:rsidRDefault="00000000" w:rsidRPr="00000000" w14:paraId="0000002F">
      <w:pPr>
        <w:spacing w:line="240" w:lineRule="auto"/>
        <w:rPr>
          <w:sz w:val="20"/>
          <w:szCs w:val="20"/>
        </w:rPr>
      </w:pPr>
      <w:r w:rsidDel="00000000" w:rsidR="00000000" w:rsidRPr="00000000">
        <w:rPr>
          <w:sz w:val="20"/>
          <w:szCs w:val="20"/>
          <w:rtl w:val="0"/>
        </w:rPr>
        <w:t xml:space="preserve">An initial programme’s Results Framework is required as part of the proposal submission. It will be finalized during the mobilisation/inception phase in collaboration with the ATscale Monitoring and Evaluation Specialist. </w:t>
      </w:r>
    </w:p>
    <w:p w:rsidR="00000000" w:rsidDel="00000000" w:rsidP="00000000" w:rsidRDefault="00000000" w:rsidRPr="00000000" w14:paraId="00000030">
      <w:pPr>
        <w:rPr>
          <w:sz w:val="20"/>
          <w:szCs w:val="20"/>
        </w:rPr>
      </w:pPr>
      <w:r w:rsidDel="00000000" w:rsidR="00000000" w:rsidRPr="00000000">
        <w:rPr>
          <w:rtl w:val="0"/>
        </w:rPr>
      </w:r>
    </w:p>
    <w:p w:rsidR="00000000" w:rsidDel="00000000" w:rsidP="00000000" w:rsidRDefault="00000000" w:rsidRPr="00000000" w14:paraId="00000031">
      <w:pPr>
        <w:ind w:left="0" w:firstLine="0"/>
        <w:rPr>
          <w:sz w:val="20"/>
          <w:szCs w:val="20"/>
        </w:rPr>
      </w:pPr>
      <w:r w:rsidDel="00000000" w:rsidR="00000000" w:rsidRPr="00000000">
        <w:rPr>
          <w:rtl w:val="0"/>
        </w:rPr>
      </w:r>
    </w:p>
    <w:p w:rsidR="00000000" w:rsidDel="00000000" w:rsidP="00000000" w:rsidRDefault="00000000" w:rsidRPr="00000000" w14:paraId="00000032">
      <w:pPr>
        <w:rPr>
          <w:sz w:val="20"/>
          <w:szCs w:val="20"/>
        </w:rPr>
      </w:pPr>
      <w:r w:rsidDel="00000000" w:rsidR="00000000" w:rsidRPr="00000000">
        <w:rPr>
          <w:sz w:val="20"/>
          <w:szCs w:val="20"/>
          <w:rtl w:val="0"/>
        </w:rPr>
        <w:t xml:space="preserve">To ensure alignment of partners’ results framework with ATscale’s results framework, partners are encouraged to integrate the following core indicators in their results framework:</w:t>
      </w:r>
    </w:p>
    <w:p w:rsidR="00000000" w:rsidDel="00000000" w:rsidP="00000000" w:rsidRDefault="00000000" w:rsidRPr="00000000" w14:paraId="00000033">
      <w:pPr>
        <w:rPr>
          <w:sz w:val="20"/>
          <w:szCs w:val="20"/>
        </w:rPr>
      </w:pPr>
      <w:r w:rsidDel="00000000" w:rsidR="00000000" w:rsidRPr="00000000">
        <w:rPr>
          <w:rtl w:val="0"/>
        </w:rPr>
      </w:r>
    </w:p>
    <w:p w:rsidR="00000000" w:rsidDel="00000000" w:rsidP="00000000" w:rsidRDefault="00000000" w:rsidRPr="00000000" w14:paraId="00000034">
      <w:pPr>
        <w:numPr>
          <w:ilvl w:val="0"/>
          <w:numId w:val="6"/>
        </w:numPr>
        <w:ind w:left="720" w:hanging="360"/>
        <w:jc w:val="both"/>
      </w:pPr>
      <w:r w:rsidDel="00000000" w:rsidR="00000000" w:rsidRPr="00000000">
        <w:rPr>
          <w:sz w:val="20"/>
          <w:szCs w:val="20"/>
          <w:rtl w:val="0"/>
        </w:rPr>
        <w:t xml:space="preserve">Percentage of people who improved their level of functioning by accessing appropriate assistive products they need through ATscale supported programmes</w:t>
      </w:r>
    </w:p>
    <w:p w:rsidR="00000000" w:rsidDel="00000000" w:rsidP="00000000" w:rsidRDefault="00000000" w:rsidRPr="00000000" w14:paraId="00000035">
      <w:pPr>
        <w:numPr>
          <w:ilvl w:val="0"/>
          <w:numId w:val="6"/>
        </w:numPr>
        <w:ind w:left="720" w:hanging="360"/>
        <w:jc w:val="both"/>
      </w:pPr>
      <w:r w:rsidDel="00000000" w:rsidR="00000000" w:rsidRPr="00000000">
        <w:rPr>
          <w:sz w:val="20"/>
          <w:szCs w:val="20"/>
          <w:rtl w:val="0"/>
        </w:rPr>
        <w:t xml:space="preserve">Percentage of districts where AT services (mobility, vision and/or hearing) are available at the primary facility</w:t>
      </w:r>
    </w:p>
    <w:p w:rsidR="00000000" w:rsidDel="00000000" w:rsidP="00000000" w:rsidRDefault="00000000" w:rsidRPr="00000000" w14:paraId="00000036">
      <w:pPr>
        <w:numPr>
          <w:ilvl w:val="0"/>
          <w:numId w:val="6"/>
        </w:numPr>
        <w:ind w:left="720" w:hanging="360"/>
        <w:jc w:val="both"/>
      </w:pPr>
      <w:r w:rsidDel="00000000" w:rsidR="00000000" w:rsidRPr="00000000">
        <w:rPr>
          <w:sz w:val="20"/>
          <w:szCs w:val="20"/>
          <w:rtl w:val="0"/>
        </w:rPr>
        <w:t xml:space="preserve">Level of development and implementation of the priority list of assistive products (APL)</w:t>
      </w:r>
    </w:p>
    <w:p w:rsidR="00000000" w:rsidDel="00000000" w:rsidP="00000000" w:rsidRDefault="00000000" w:rsidRPr="00000000" w14:paraId="00000037">
      <w:pPr>
        <w:numPr>
          <w:ilvl w:val="0"/>
          <w:numId w:val="6"/>
        </w:numPr>
        <w:spacing w:after="0" w:afterAutospacing="0"/>
        <w:ind w:left="720" w:hanging="360"/>
        <w:jc w:val="both"/>
      </w:pPr>
      <w:r w:rsidDel="00000000" w:rsidR="00000000" w:rsidRPr="00000000">
        <w:rPr>
          <w:sz w:val="20"/>
          <w:szCs w:val="20"/>
          <w:rtl w:val="0"/>
        </w:rPr>
        <w:t xml:space="preserve">A governance committee is formed and operational with clear terms of reference (TORs) to improve coordination and promote access to AT</w:t>
      </w:r>
    </w:p>
    <w:p w:rsidR="00000000" w:rsidDel="00000000" w:rsidP="00000000" w:rsidRDefault="00000000" w:rsidRPr="00000000" w14:paraId="00000038">
      <w:pPr>
        <w:numPr>
          <w:ilvl w:val="0"/>
          <w:numId w:val="6"/>
        </w:numPr>
        <w:spacing w:after="0" w:afterAutospacing="0" w:before="0" w:beforeAutospacing="0" w:line="240" w:lineRule="auto"/>
        <w:ind w:left="720" w:hanging="360"/>
        <w:jc w:val="both"/>
        <w:rPr>
          <w:rFonts w:ascii="Proxima Nova" w:cs="Proxima Nova" w:eastAsia="Proxima Nova" w:hAnsi="Proxima Nova"/>
        </w:rPr>
      </w:pPr>
      <w:r w:rsidDel="00000000" w:rsidR="00000000" w:rsidRPr="00000000">
        <w:rPr>
          <w:sz w:val="20"/>
          <w:szCs w:val="20"/>
          <w:rtl w:val="0"/>
        </w:rPr>
        <w:t xml:space="preserve">Annual amount of government budget allocated for the procurement assistive products</w:t>
      </w:r>
    </w:p>
    <w:p w:rsidR="00000000" w:rsidDel="00000000" w:rsidP="00000000" w:rsidRDefault="00000000" w:rsidRPr="00000000" w14:paraId="00000039">
      <w:pPr>
        <w:numPr>
          <w:ilvl w:val="0"/>
          <w:numId w:val="6"/>
        </w:numPr>
        <w:spacing w:before="0" w:beforeAutospacing="0" w:line="240" w:lineRule="auto"/>
        <w:ind w:left="720" w:hanging="360"/>
        <w:jc w:val="both"/>
        <w:rPr>
          <w:rFonts w:ascii="Proxima Nova" w:cs="Proxima Nova" w:eastAsia="Proxima Nova" w:hAnsi="Proxima Nova"/>
        </w:rPr>
      </w:pPr>
      <w:r w:rsidDel="00000000" w:rsidR="00000000" w:rsidRPr="00000000">
        <w:rPr>
          <w:sz w:val="20"/>
          <w:szCs w:val="20"/>
          <w:rtl w:val="0"/>
        </w:rPr>
        <w:t xml:space="preserve">Extend of financial support mechanism for assistive products (eyeglasses, hearing aids and wheelchair) </w:t>
      </w:r>
    </w:p>
    <w:p w:rsidR="00000000" w:rsidDel="00000000" w:rsidP="00000000" w:rsidRDefault="00000000" w:rsidRPr="00000000" w14:paraId="0000003A">
      <w:pPr>
        <w:numPr>
          <w:ilvl w:val="0"/>
          <w:numId w:val="6"/>
        </w:numPr>
        <w:ind w:left="720" w:hanging="360"/>
        <w:jc w:val="both"/>
      </w:pPr>
      <w:r w:rsidDel="00000000" w:rsidR="00000000" w:rsidRPr="00000000">
        <w:rPr>
          <w:sz w:val="20"/>
          <w:szCs w:val="20"/>
          <w:rtl w:val="0"/>
        </w:rPr>
        <w:t xml:space="preserve">Level of compliance of the government toward its co-financing commitment related to the ATscale programme</w:t>
      </w:r>
    </w:p>
    <w:p w:rsidR="00000000" w:rsidDel="00000000" w:rsidP="00000000" w:rsidRDefault="00000000" w:rsidRPr="00000000" w14:paraId="0000003B">
      <w:pPr>
        <w:numPr>
          <w:ilvl w:val="0"/>
          <w:numId w:val="6"/>
        </w:numPr>
        <w:spacing w:after="0" w:afterAutospacing="0"/>
        <w:ind w:left="720" w:hanging="360"/>
        <w:jc w:val="both"/>
        <w:rPr>
          <w:rFonts w:ascii="Proxima Nova" w:cs="Proxima Nova" w:eastAsia="Proxima Nova" w:hAnsi="Proxima Nova"/>
        </w:rPr>
      </w:pPr>
      <w:r w:rsidDel="00000000" w:rsidR="00000000" w:rsidRPr="00000000">
        <w:rPr>
          <w:sz w:val="20"/>
          <w:szCs w:val="20"/>
          <w:rtl w:val="0"/>
        </w:rPr>
        <w:t xml:space="preserve">Number of people reached with awareness raising initiatives related to the importance of assistive technology</w:t>
      </w:r>
    </w:p>
    <w:p w:rsidR="00000000" w:rsidDel="00000000" w:rsidP="00000000" w:rsidRDefault="00000000" w:rsidRPr="00000000" w14:paraId="0000003C">
      <w:pPr>
        <w:numPr>
          <w:ilvl w:val="0"/>
          <w:numId w:val="6"/>
        </w:numPr>
        <w:spacing w:before="0" w:beforeAutospacing="0" w:line="240" w:lineRule="auto"/>
        <w:ind w:left="720" w:hanging="360"/>
        <w:jc w:val="both"/>
        <w:rPr>
          <w:rFonts w:ascii="Proxima Nova" w:cs="Proxima Nova" w:eastAsia="Proxima Nova" w:hAnsi="Proxima Nova"/>
        </w:rPr>
      </w:pPr>
      <w:r w:rsidDel="00000000" w:rsidR="00000000" w:rsidRPr="00000000">
        <w:rPr>
          <w:sz w:val="20"/>
          <w:szCs w:val="20"/>
          <w:rtl w:val="0"/>
        </w:rPr>
        <w:t xml:space="preserve">Number of civil society organizations, including OPDs, strengthened through programmes which ATscale has contributed to</w:t>
      </w:r>
      <w:r w:rsidDel="00000000" w:rsidR="00000000" w:rsidRPr="00000000">
        <w:rPr>
          <w:rtl w:val="0"/>
        </w:rPr>
      </w:r>
    </w:p>
    <w:p w:rsidR="00000000" w:rsidDel="00000000" w:rsidP="00000000" w:rsidRDefault="00000000" w:rsidRPr="00000000" w14:paraId="0000003D">
      <w:pPr>
        <w:rPr>
          <w:sz w:val="20"/>
          <w:szCs w:val="20"/>
        </w:rPr>
      </w:pPr>
      <w:r w:rsidDel="00000000" w:rsidR="00000000" w:rsidRPr="00000000">
        <w:rPr>
          <w:rtl w:val="0"/>
        </w:rPr>
      </w:r>
    </w:p>
    <w:p w:rsidR="00000000" w:rsidDel="00000000" w:rsidP="00000000" w:rsidRDefault="00000000" w:rsidRPr="00000000" w14:paraId="0000003E">
      <w:pPr>
        <w:rPr>
          <w:sz w:val="20"/>
          <w:szCs w:val="20"/>
        </w:rPr>
      </w:pPr>
      <w:r w:rsidDel="00000000" w:rsidR="00000000" w:rsidRPr="00000000">
        <w:rPr>
          <w:sz w:val="20"/>
          <w:szCs w:val="20"/>
          <w:rtl w:val="0"/>
        </w:rPr>
        <w:t xml:space="preserve">Indicator’s guidance will be provided to partners during the mobilization phase of the grant. </w:t>
      </w:r>
    </w:p>
    <w:p w:rsidR="00000000" w:rsidDel="00000000" w:rsidP="00000000" w:rsidRDefault="00000000" w:rsidRPr="00000000" w14:paraId="0000003F">
      <w:pPr>
        <w:spacing w:line="240" w:lineRule="auto"/>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u w:val="single"/>
        </w:rPr>
      </w:pPr>
      <w:r w:rsidDel="00000000" w:rsidR="00000000" w:rsidRPr="00000000">
        <w:rPr>
          <w:b w:val="1"/>
          <w:smallCaps w:val="1"/>
          <w:sz w:val="20"/>
          <w:szCs w:val="20"/>
          <w:u w:val="single"/>
          <w:rtl w:val="0"/>
        </w:rPr>
        <w:t xml:space="preserve">Communications plan</w:t>
      </w:r>
    </w:p>
    <w:p w:rsidR="00000000" w:rsidDel="00000000" w:rsidP="00000000" w:rsidRDefault="00000000" w:rsidRPr="00000000" w14:paraId="0000004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u w:val="single"/>
        </w:rPr>
      </w:pPr>
      <w:r w:rsidDel="00000000" w:rsidR="00000000" w:rsidRPr="00000000">
        <w:rPr>
          <w:rtl w:val="0"/>
        </w:rPr>
      </w:r>
    </w:p>
    <w:p w:rsidR="00000000" w:rsidDel="00000000" w:rsidP="00000000" w:rsidRDefault="00000000" w:rsidRPr="00000000" w14:paraId="0000004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rPr>
          <w:b w:val="1"/>
          <w:smallCaps w:val="1"/>
          <w:sz w:val="20"/>
          <w:szCs w:val="20"/>
          <w:u w:val="single"/>
        </w:rPr>
      </w:pPr>
      <w:r w:rsidDel="00000000" w:rsidR="00000000" w:rsidRPr="00000000">
        <w:rPr>
          <w:sz w:val="20"/>
          <w:szCs w:val="20"/>
          <w:rtl w:val="0"/>
        </w:rPr>
        <w:t xml:space="preserve">The Grantee should work closely with ATscale to develop a Communications Plan for the duration of the grant agreement.  The plan should outline key moments for example the programme launch, World Day for Assistive Technology, and other milestone moments, set out types and frequency of communications, and how to refer to ATscale and donors in all communications. ATscale will provide written guidance on the development of the Plan. Further guidance can be provided via bilateral meetings and via 2 webinars / year for communications focal points. The final version of the Communications Plan shall be included in the First Progress Report.</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lack">
    <w:embedRegular w:fontKey="{00000000-0000-0000-0000-000000000000}" r:id="rId5"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Annex 7 Reporting Requirements and Templates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46">
    <w:pPr>
      <w:widowControl w:val="0"/>
      <w:spacing w:after="60" w:line="240" w:lineRule="auto"/>
      <w:ind w:left="90" w:right="-60" w:firstLine="0"/>
      <w:jc w:val="right"/>
      <w:rPr/>
    </w:pPr>
    <w:r w:rsidDel="00000000" w:rsidR="00000000" w:rsidRPr="00000000">
      <w:rPr>
        <w:color w:val="999999"/>
        <w:sz w:val="16"/>
        <w:szCs w:val="16"/>
        <w:rtl w:val="0"/>
      </w:rPr>
      <w:t xml:space="preserve">CFP ref. no.: </w:t>
    </w:r>
    <w:r w:rsidDel="00000000" w:rsidR="00000000" w:rsidRPr="00000000">
      <w:rPr>
        <w:color w:val="004976"/>
        <w:sz w:val="17"/>
        <w:szCs w:val="17"/>
        <w:rtl w:val="0"/>
      </w:rPr>
      <w:t xml:space="preserve">ATscale/Grant/2025/001-003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3">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4">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3jhN8gFYtRUG647w4rri0iAxjwBwr5SM"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