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Open Sans" w:cs="Open Sans" w:eastAsia="Open Sans" w:hAnsi="Open San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Open Sans" w:cs="Open Sans" w:eastAsia="Open Sans" w:hAnsi="Open Sans"/>
          <w:b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Provision of design services for improving the heating systems in twelve health facilities in North Macedonia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Open Sans" w:cs="Open Sans" w:eastAsia="Open Sans" w:hAnsi="Open Sans"/>
          <w:b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SITE VISIT PLAN 12-13-14.02.2025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2c3e50"/>
          <w:sz w:val="23"/>
          <w:szCs w:val="23"/>
          <w:rtl w:val="0"/>
        </w:rPr>
        <w:t xml:space="preserve">Date and Local time </w:t>
      </w: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"/>
        <w:gridCol w:w="990"/>
        <w:gridCol w:w="990"/>
        <w:gridCol w:w="4680"/>
        <w:gridCol w:w="1275"/>
        <w:tblGridChange w:id="0">
          <w:tblGrid>
            <w:gridCol w:w="1440"/>
            <w:gridCol w:w="990"/>
            <w:gridCol w:w="990"/>
            <w:gridCol w:w="4680"/>
            <w:gridCol w:w="1275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DATE/DAY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TIME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LOT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PROPERTY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LOCATION</w:t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12.02.2025 / 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09.00h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Polyclinic “Bit Pazar”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10.30h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2. Polyclinic “Dracevo”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11.45h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1. Polyclinic “Cento”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13.00h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4. Polyclinic “Suto Orizari”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13.02.2025 / Thursday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09.00h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1. Clinical Hospital - 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Surgery Block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10.15h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4. Clinical Hospital - Emergency Block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11.00h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2. Clinical Hospital - Internal-Infectious Block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11.45h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5. Ambulance (within the Clinical Hospital area)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12.30h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3. Clinical Hospital - Public Health (CJZ)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14.02.2025 / Friday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09.00h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Psychiatric hospital “Skopje” (Bardovci)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10.45h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3. Polyclinic “Gjorce Petrov”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jc w:val="center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12.00h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Gerontology “13 Noemvri” (Sue Ryder)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firstLine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rPr>
          <w:rFonts w:ascii="Roboto" w:cs="Roboto" w:eastAsia="Roboto" w:hAnsi="Roboto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rPr>
          <w:rFonts w:ascii="Roboto" w:cs="Roboto" w:eastAsia="Roboto" w:hAnsi="Roboto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rPr>
          <w:rFonts w:ascii="Roboto" w:cs="Roboto" w:eastAsia="Roboto" w:hAnsi="Roboto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2c3e50"/>
          <w:sz w:val="23"/>
          <w:szCs w:val="23"/>
          <w:rtl w:val="0"/>
        </w:rPr>
        <w:t xml:space="preserve">By location</w:t>
      </w:r>
      <w:r w:rsidDel="00000000" w:rsidR="00000000" w:rsidRPr="00000000">
        <w:rPr>
          <w:rtl w:val="0"/>
        </w:rPr>
      </w:r>
    </w:p>
    <w:tbl>
      <w:tblPr>
        <w:tblStyle w:val="Table2"/>
        <w:tblW w:w="9300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3060"/>
        <w:gridCol w:w="1260"/>
        <w:gridCol w:w="4230"/>
        <w:tblGridChange w:id="0">
          <w:tblGrid>
            <w:gridCol w:w="750"/>
            <w:gridCol w:w="3060"/>
            <w:gridCol w:w="1260"/>
            <w:gridCol w:w="4230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LOT 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PROPERTY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LOCATION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ADDRESS</w:t>
            </w:r>
          </w:p>
        </w:tc>
      </w:tr>
      <w:tr>
        <w:trPr>
          <w:cantSplit w:val="0"/>
          <w:trHeight w:val="634.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Polyclinic “Bit Pazar”</w:t>
            </w:r>
          </w:p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Date:12.02.2025 - 09.00h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bul.Krste Misirkov br.28 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6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Polyclinic Bit-Pazar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1. Polyclinic “Cento”</w:t>
            </w:r>
          </w:p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Date:12.02.2025 - 11.45h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ul.Madjari bb   </w:t>
            </w:r>
          </w:p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7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Polyclinic Čento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2. Polyclinic “Dracevo”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Date:12.02.2025 - 10.30h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ul.Dimitrija Cupovski  bb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8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Drachevo Polyclinic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3. Polyclinic “Gjorce Petrov”</w:t>
            </w:r>
          </w:p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Date:14.02.2025 - 10.45h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ul.Gjorce Petrov bb 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9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Medical Centre Gjorche Petrov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 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4. Polyclinic “Suto Orizari”</w:t>
            </w:r>
          </w:p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Date:12.02.2025 - 13.00h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ul.Suto Orizari bb   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0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Šuto Orizari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Gerontology “13 Noemvri” (Sue Ryder) </w:t>
            </w:r>
          </w:p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Date:14.02.2025 - 12.00h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 Boris Sarafov br.129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Geriatric Hospital Gjorche Petrov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Psychiatric hospital “Skopje” (Bardovci)</w:t>
            </w:r>
          </w:p>
          <w:p w:rsidR="00000000" w:rsidDel="00000000" w:rsidP="00000000" w:rsidRDefault="00000000" w:rsidRPr="00000000" w14:paraId="0000007B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Date:14.02.2025 - 09.00h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Skopje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 Skupi-20 br.56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Bardovci Psychiatric Hospital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LOT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1. Clinical Hospital - </w:t>
            </w:r>
          </w:p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Surgery Block</w:t>
            </w:r>
          </w:p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Date:13.02.2025 - 09.00h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ul.29 Noemvri br.73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Clinical Center Tetovo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2. Clinical Hospital - Internal-Infectious Block</w:t>
            </w:r>
          </w:p>
          <w:p w:rsidR="00000000" w:rsidDel="00000000" w:rsidP="00000000" w:rsidRDefault="00000000" w:rsidRPr="00000000" w14:paraId="00000088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Date:13.02.2025 - 11.00h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ul.29 Noemvri br.73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Clinical Center Tetovo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3. Clinical Hospital - Public Health (CJZ)</w:t>
            </w:r>
          </w:p>
          <w:p w:rsidR="00000000" w:rsidDel="00000000" w:rsidP="00000000" w:rsidRDefault="00000000" w:rsidRPr="00000000" w14:paraId="0000008E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Date:13.02.2025 - 12.30h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ul.29 Noemvri br.73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Clinical Center Tetovo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4. Clinical Hospital - Emergency Block</w:t>
            </w:r>
          </w:p>
          <w:p w:rsidR="00000000" w:rsidDel="00000000" w:rsidP="00000000" w:rsidRDefault="00000000" w:rsidRPr="00000000" w14:paraId="00000094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Date:13.02.2025 - 10.15h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ul.29 Noemvri br.73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6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Clinical Center Tetovo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5. Ambulance (within the Clinical Hospital area)</w:t>
            </w:r>
          </w:p>
          <w:p w:rsidR="00000000" w:rsidDel="00000000" w:rsidP="00000000" w:rsidRDefault="00000000" w:rsidRPr="00000000" w14:paraId="0000009A">
            <w:pPr>
              <w:spacing w:line="36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2c3e50"/>
                <w:sz w:val="20"/>
                <w:szCs w:val="20"/>
                <w:rtl w:val="0"/>
              </w:rPr>
              <w:t xml:space="preserve">Date:13.02.2025 - 11.45h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Tetovo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  <w:rtl w:val="0"/>
              </w:rPr>
              <w:t xml:space="preserve">ul.29 Noemvri br.73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rFonts w:ascii="Open Sans" w:cs="Open Sans" w:eastAsia="Open Sans" w:hAnsi="Open Sans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(</w:t>
            </w:r>
            <w:hyperlink r:id="rId17">
              <w:r w:rsidDel="00000000" w:rsidR="00000000" w:rsidRPr="00000000">
                <w:rPr>
                  <w:rFonts w:ascii="Open Sans" w:cs="Open Sans" w:eastAsia="Open Sans" w:hAnsi="Open Sans"/>
                  <w:color w:val="0000ee"/>
                  <w:sz w:val="20"/>
                  <w:szCs w:val="20"/>
                  <w:u w:val="single"/>
                  <w:rtl w:val="0"/>
                </w:rPr>
                <w:t xml:space="preserve">Clinical Center Tetovo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color w:val="2c3e5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Open Sans" w:cs="Open Sans" w:eastAsia="Open Sans" w:hAnsi="Open Sans"/>
                <w:color w:val="1f1f1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line="360" w:lineRule="auto"/>
        <w:rPr>
          <w:rFonts w:ascii="Roboto" w:cs="Roboto" w:eastAsia="Roboto" w:hAnsi="Roboto"/>
          <w:b w:val="1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360" w:lineRule="auto"/>
        <w:rPr>
          <w:rFonts w:ascii="Roboto" w:cs="Roboto" w:eastAsia="Roboto" w:hAnsi="Roboto"/>
          <w:b w:val="1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360" w:lineRule="auto"/>
        <w:rPr>
          <w:rFonts w:ascii="Roboto" w:cs="Roboto" w:eastAsia="Roboto" w:hAnsi="Roboto"/>
          <w:b w:val="1"/>
          <w:color w:val="2c3e5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360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aps.app.goo.gl/ZbgRDVtfhzugzWje9" TargetMode="External"/><Relationship Id="rId10" Type="http://schemas.openxmlformats.org/officeDocument/2006/relationships/hyperlink" Target="https://maps.app.goo.gl/xNpzPCGsGsyp99gL7" TargetMode="External"/><Relationship Id="rId13" Type="http://schemas.openxmlformats.org/officeDocument/2006/relationships/hyperlink" Target="https://maps.app.goo.gl/SEMHtGRr7dMXbzAM8" TargetMode="External"/><Relationship Id="rId12" Type="http://schemas.openxmlformats.org/officeDocument/2006/relationships/hyperlink" Target="https://maps.app.goo.gl/BM6HtkL2JqBjPeAA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ps.app.goo.gl/tBbwU8CESBWCc8E19" TargetMode="External"/><Relationship Id="rId15" Type="http://schemas.openxmlformats.org/officeDocument/2006/relationships/hyperlink" Target="https://maps.app.goo.gl/SEMHtGRr7dMXbzAM8" TargetMode="External"/><Relationship Id="rId14" Type="http://schemas.openxmlformats.org/officeDocument/2006/relationships/hyperlink" Target="https://maps.app.goo.gl/SEMHtGRr7dMXbzAM8" TargetMode="External"/><Relationship Id="rId17" Type="http://schemas.openxmlformats.org/officeDocument/2006/relationships/hyperlink" Target="https://maps.app.goo.gl/SEMHtGRr7dMXbzAM8" TargetMode="External"/><Relationship Id="rId16" Type="http://schemas.openxmlformats.org/officeDocument/2006/relationships/hyperlink" Target="https://maps.app.goo.gl/SEMHtGRr7dMXbzAM8" TargetMode="External"/><Relationship Id="rId5" Type="http://schemas.openxmlformats.org/officeDocument/2006/relationships/styles" Target="styles.xml"/><Relationship Id="rId6" Type="http://schemas.openxmlformats.org/officeDocument/2006/relationships/hyperlink" Target="https://maps.app.goo.gl/N7bkyAwAcceUAb46A" TargetMode="External"/><Relationship Id="rId7" Type="http://schemas.openxmlformats.org/officeDocument/2006/relationships/hyperlink" Target="https://maps.app.goo.gl/82GTwWTNkRuBX7k69" TargetMode="External"/><Relationship Id="rId8" Type="http://schemas.openxmlformats.org/officeDocument/2006/relationships/hyperlink" Target="https://maps.app.goo.gl/fpjhS2irJfTxjPsT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