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Consultancy Services for Clean Energy Complex in Ninh Thuan Province, Vietnam</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RFP/2025/55660  </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RFP/2025/55660</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320"/>
        <w:gridCol w:w="2685"/>
        <w:gridCol w:w="2100"/>
        <w:tblGridChange w:id="0">
          <w:tblGrid>
            <w:gridCol w:w="645"/>
            <w:gridCol w:w="4320"/>
            <w:gridCol w:w="2685"/>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Item No</w:t>
            </w:r>
          </w:p>
        </w:tc>
        <w:tc>
          <w:tcPr>
            <w:shd w:fill="d9d9d9" w:val="clear"/>
            <w:vAlign w:val="center"/>
          </w:tcPr>
          <w:p w:rsidR="00000000" w:rsidDel="00000000" w:rsidP="00000000" w:rsidRDefault="00000000" w:rsidRPr="00000000" w14:paraId="0000001D">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Deliverables</w:t>
            </w:r>
          </w:p>
        </w:tc>
        <w:tc>
          <w:tcPr>
            <w:shd w:fill="d9d9d9" w:val="clear"/>
            <w:vAlign w:val="center"/>
          </w:tcPr>
          <w:p w:rsidR="00000000" w:rsidDel="00000000" w:rsidP="00000000" w:rsidRDefault="00000000" w:rsidRPr="00000000" w14:paraId="0000001E">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Payment Percentage</w:t>
            </w:r>
          </w:p>
        </w:tc>
        <w:tc>
          <w:tcPr>
            <w:shd w:fill="d9d9d9" w:val="clear"/>
            <w:vAlign w:val="center"/>
          </w:tcPr>
          <w:p w:rsidR="00000000" w:rsidDel="00000000" w:rsidP="00000000" w:rsidRDefault="00000000" w:rsidRPr="00000000" w14:paraId="0000001F">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Total Price</w:t>
            </w:r>
          </w:p>
          <w:p w:rsidR="00000000" w:rsidDel="00000000" w:rsidP="00000000" w:rsidRDefault="00000000" w:rsidRPr="00000000" w14:paraId="00000020">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2">
            <w:pPr>
              <w:widowControl w:val="0"/>
              <w:rPr>
                <w:rFonts w:ascii="Open Sans" w:cs="Open Sans" w:eastAsia="Open Sans" w:hAnsi="Open Sans"/>
              </w:rPr>
            </w:pPr>
            <w:r w:rsidDel="00000000" w:rsidR="00000000" w:rsidRPr="00000000">
              <w:rPr>
                <w:rFonts w:ascii="Open Sans" w:cs="Open Sans" w:eastAsia="Open Sans" w:hAnsi="Open Sans"/>
                <w:rtl w:val="0"/>
              </w:rPr>
              <w:t xml:space="preserve">Deliverable 1: </w:t>
            </w:r>
            <w:r w:rsidDel="00000000" w:rsidR="00000000" w:rsidRPr="00000000">
              <w:rPr>
                <w:rFonts w:ascii="Open Sans" w:cs="Open Sans" w:eastAsia="Open Sans" w:hAnsi="Open Sans"/>
                <w:b w:val="1"/>
                <w:rtl w:val="0"/>
              </w:rPr>
              <w:t xml:space="preserve">Initiation and Data Collection Report</w:t>
            </w:r>
            <w:r w:rsidDel="00000000" w:rsidR="00000000" w:rsidRPr="00000000">
              <w:rPr>
                <w:rtl w:val="0"/>
              </w:rPr>
            </w:r>
          </w:p>
        </w:tc>
        <w:tc>
          <w:tcPr>
            <w:vAlign w:val="center"/>
          </w:tcPr>
          <w:p w:rsidR="00000000" w:rsidDel="00000000" w:rsidP="00000000" w:rsidRDefault="00000000" w:rsidRPr="00000000" w14:paraId="00000023">
            <w:pPr>
              <w:jc w:val="center"/>
              <w:rPr>
                <w:rFonts w:ascii="Open Sans" w:cs="Open Sans" w:eastAsia="Open Sans" w:hAnsi="Open Sans"/>
              </w:rPr>
            </w:pPr>
            <w:r w:rsidDel="00000000" w:rsidR="00000000" w:rsidRPr="00000000">
              <w:rPr>
                <w:rFonts w:ascii="Open Sans" w:cs="Open Sans" w:eastAsia="Open Sans" w:hAnsi="Open Sans"/>
                <w:rtl w:val="0"/>
              </w:rPr>
              <w:t xml:space="preserve">20% of lump sum component of the contract excluding non-personnel costs</w:t>
            </w:r>
          </w:p>
        </w:tc>
        <w:tc>
          <w:tcPr>
            <w:vAlign w:val="center"/>
          </w:tcPr>
          <w:p w:rsidR="00000000" w:rsidDel="00000000" w:rsidP="00000000" w:rsidRDefault="00000000" w:rsidRPr="00000000" w14:paraId="00000024">
            <w:pPr>
              <w:tabs>
                <w:tab w:val="left" w:leader="none" w:pos="468"/>
                <w:tab w:val="right" w:leader="none" w:pos="9753"/>
              </w:tabs>
              <w:jc w:val="center"/>
              <w:rPr>
                <w:rFonts w:ascii="Open Sans" w:cs="Open Sans" w:eastAsia="Open Sans" w:hAnsi="Open Sans"/>
                <w:b w:val="1"/>
                <w:highlight w:val="yellow"/>
              </w:rPr>
            </w:pPr>
            <w:r w:rsidDel="00000000" w:rsidR="00000000" w:rsidRPr="00000000">
              <w:rPr>
                <w:rFonts w:ascii="Open Sans" w:cs="Open Sans" w:eastAsia="Open Sans" w:hAnsi="Open Sans"/>
                <w:b w:val="1"/>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6">
            <w:pPr>
              <w:widowControl w:val="0"/>
              <w:spacing w:line="288" w:lineRule="auto"/>
              <w:rPr>
                <w:rFonts w:ascii="Open Sans" w:cs="Open Sans" w:eastAsia="Open Sans" w:hAnsi="Open Sans"/>
              </w:rPr>
            </w:pPr>
            <w:r w:rsidDel="00000000" w:rsidR="00000000" w:rsidRPr="00000000">
              <w:rPr>
                <w:rFonts w:ascii="Open Sans" w:cs="Open Sans" w:eastAsia="Open Sans" w:hAnsi="Open Sans"/>
                <w:rtl w:val="0"/>
              </w:rPr>
              <w:t xml:space="preserve">Deliverable 2: </w:t>
            </w:r>
            <w:r w:rsidDel="00000000" w:rsidR="00000000" w:rsidRPr="00000000">
              <w:rPr>
                <w:rFonts w:ascii="Open Sans" w:cs="Open Sans" w:eastAsia="Open Sans" w:hAnsi="Open Sans"/>
                <w:b w:val="1"/>
                <w:rtl w:val="0"/>
              </w:rPr>
              <w:t xml:space="preserve">Preliminary Investment Roadmap: Regulatory and Financial Review</w:t>
            </w:r>
            <w:r w:rsidDel="00000000" w:rsidR="00000000" w:rsidRPr="00000000">
              <w:rPr>
                <w:rtl w:val="0"/>
              </w:rPr>
            </w:r>
          </w:p>
        </w:tc>
        <w:tc>
          <w:tcPr>
            <w:vAlign w:val="center"/>
          </w:tcPr>
          <w:p w:rsidR="00000000" w:rsidDel="00000000" w:rsidP="00000000" w:rsidRDefault="00000000" w:rsidRPr="00000000" w14:paraId="00000027">
            <w:pPr>
              <w:jc w:val="center"/>
              <w:rPr>
                <w:rFonts w:ascii="Open Sans" w:cs="Open Sans" w:eastAsia="Open Sans" w:hAnsi="Open Sans"/>
              </w:rPr>
            </w:pPr>
            <w:r w:rsidDel="00000000" w:rsidR="00000000" w:rsidRPr="00000000">
              <w:rPr>
                <w:rFonts w:ascii="Open Sans" w:cs="Open Sans" w:eastAsia="Open Sans" w:hAnsi="Open Sans"/>
                <w:rtl w:val="0"/>
              </w:rPr>
              <w:t xml:space="preserve">20% of lump sum component of the contract excluding non-personnel costs</w:t>
            </w:r>
          </w:p>
        </w:tc>
        <w:tc>
          <w:tcPr>
            <w:vAlign w:val="center"/>
          </w:tcPr>
          <w:p w:rsidR="00000000" w:rsidDel="00000000" w:rsidP="00000000" w:rsidRDefault="00000000" w:rsidRPr="00000000" w14:paraId="00000028">
            <w:pPr>
              <w:tabs>
                <w:tab w:val="left" w:leader="none" w:pos="468"/>
                <w:tab w:val="right" w:leader="none" w:pos="9753"/>
              </w:tabs>
              <w:jc w:val="center"/>
              <w:rPr>
                <w:rFonts w:ascii="Open Sans" w:cs="Open Sans" w:eastAsia="Open Sans" w:hAnsi="Open Sans"/>
                <w:b w:val="1"/>
                <w:highlight w:val="yellow"/>
              </w:rPr>
            </w:pPr>
            <w:r w:rsidDel="00000000" w:rsidR="00000000" w:rsidRPr="00000000">
              <w:rPr>
                <w:rFonts w:ascii="Open Sans" w:cs="Open Sans" w:eastAsia="Open Sans" w:hAnsi="Open Sans"/>
                <w:b w:val="1"/>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A">
            <w:pPr>
              <w:rPr>
                <w:rFonts w:ascii="Open Sans" w:cs="Open Sans" w:eastAsia="Open Sans" w:hAnsi="Open Sans"/>
              </w:rPr>
            </w:pPr>
            <w:r w:rsidDel="00000000" w:rsidR="00000000" w:rsidRPr="00000000">
              <w:rPr>
                <w:rFonts w:ascii="Open Sans" w:cs="Open Sans" w:eastAsia="Open Sans" w:hAnsi="Open Sans"/>
                <w:rtl w:val="0"/>
              </w:rPr>
              <w:t xml:space="preserve">Deliverable 3: </w:t>
            </w:r>
            <w:r w:rsidDel="00000000" w:rsidR="00000000" w:rsidRPr="00000000">
              <w:rPr>
                <w:rFonts w:ascii="Open Sans" w:cs="Open Sans" w:eastAsia="Open Sans" w:hAnsi="Open Sans"/>
                <w:b w:val="1"/>
                <w:rtl w:val="0"/>
              </w:rPr>
              <w:t xml:space="preserve">Preliminary Technical Design and Risk Analysis</w:t>
            </w:r>
            <w:r w:rsidDel="00000000" w:rsidR="00000000" w:rsidRPr="00000000">
              <w:rPr>
                <w:rtl w:val="0"/>
              </w:rPr>
            </w:r>
          </w:p>
        </w:tc>
        <w:tc>
          <w:tcPr>
            <w:vAlign w:val="center"/>
          </w:tcPr>
          <w:p w:rsidR="00000000" w:rsidDel="00000000" w:rsidP="00000000" w:rsidRDefault="00000000" w:rsidRPr="00000000" w14:paraId="0000002B">
            <w:pPr>
              <w:jc w:val="center"/>
              <w:rPr>
                <w:rFonts w:ascii="Open Sans" w:cs="Open Sans" w:eastAsia="Open Sans" w:hAnsi="Open Sans"/>
              </w:rPr>
            </w:pPr>
            <w:r w:rsidDel="00000000" w:rsidR="00000000" w:rsidRPr="00000000">
              <w:rPr>
                <w:rFonts w:ascii="Open Sans" w:cs="Open Sans" w:eastAsia="Open Sans" w:hAnsi="Open Sans"/>
                <w:rtl w:val="0"/>
              </w:rPr>
              <w:t xml:space="preserve">20% of lump sum component of the contract excluding non-personnel costs</w:t>
            </w:r>
          </w:p>
        </w:tc>
        <w:tc>
          <w:tcPr>
            <w:vAlign w:val="center"/>
          </w:tcPr>
          <w:p w:rsidR="00000000" w:rsidDel="00000000" w:rsidP="00000000" w:rsidRDefault="00000000" w:rsidRPr="00000000" w14:paraId="0000002C">
            <w:pPr>
              <w:tabs>
                <w:tab w:val="left" w:leader="none" w:pos="468"/>
                <w:tab w:val="right" w:leader="none" w:pos="9753"/>
              </w:tabs>
              <w:jc w:val="center"/>
              <w:rPr>
                <w:rFonts w:ascii="Open Sans" w:cs="Open Sans" w:eastAsia="Open Sans" w:hAnsi="Open Sans"/>
                <w:b w:val="1"/>
                <w:highlight w:val="yellow"/>
              </w:rPr>
            </w:pPr>
            <w:r w:rsidDel="00000000" w:rsidR="00000000" w:rsidRPr="00000000">
              <w:rPr>
                <w:rFonts w:ascii="Open Sans" w:cs="Open Sans" w:eastAsia="Open Sans" w:hAnsi="Open Sans"/>
                <w:b w:val="1"/>
                <w:highlight w:val="cyan"/>
                <w:rtl w:val="0"/>
              </w:rPr>
              <w:t xml:space="preserve">[Please insert price]</w:t>
            </w:r>
            <w:r w:rsidDel="00000000" w:rsidR="00000000" w:rsidRPr="00000000">
              <w:rPr>
                <w:rtl w:val="0"/>
              </w:rPr>
            </w:r>
          </w:p>
        </w:tc>
      </w:tr>
      <w:tr>
        <w:trPr>
          <w:cantSplit w:val="0"/>
          <w:trHeight w:val="327.42187499999994" w:hRule="atLeast"/>
          <w:tblHeader w:val="0"/>
        </w:trPr>
        <w:tc>
          <w:tcPr>
            <w:vAlign w:val="center"/>
          </w:tcPr>
          <w:p w:rsidR="00000000" w:rsidDel="00000000" w:rsidP="00000000" w:rsidRDefault="00000000" w:rsidRPr="00000000" w14:paraId="000000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E">
            <w:pPr>
              <w:rPr>
                <w:rFonts w:ascii="Open Sans" w:cs="Open Sans" w:eastAsia="Open Sans" w:hAnsi="Open Sans"/>
              </w:rPr>
            </w:pPr>
            <w:r w:rsidDel="00000000" w:rsidR="00000000" w:rsidRPr="00000000">
              <w:rPr>
                <w:rFonts w:ascii="Open Sans" w:cs="Open Sans" w:eastAsia="Open Sans" w:hAnsi="Open Sans"/>
                <w:rtl w:val="0"/>
              </w:rPr>
              <w:t xml:space="preserve">Deliverable 4: </w:t>
            </w:r>
            <w:r w:rsidDel="00000000" w:rsidR="00000000" w:rsidRPr="00000000">
              <w:rPr>
                <w:rFonts w:ascii="Open Sans" w:cs="Open Sans" w:eastAsia="Open Sans" w:hAnsi="Open Sans"/>
                <w:b w:val="1"/>
                <w:rtl w:val="0"/>
              </w:rPr>
              <w:t xml:space="preserve">Stakeholder Consultations and Preliminary Design Review</w:t>
            </w:r>
            <w:r w:rsidDel="00000000" w:rsidR="00000000" w:rsidRPr="00000000">
              <w:rPr>
                <w:rtl w:val="0"/>
              </w:rPr>
            </w:r>
          </w:p>
        </w:tc>
        <w:tc>
          <w:tcPr>
            <w:vAlign w:val="center"/>
          </w:tcPr>
          <w:p w:rsidR="00000000" w:rsidDel="00000000" w:rsidP="00000000" w:rsidRDefault="00000000" w:rsidRPr="00000000" w14:paraId="0000002F">
            <w:pPr>
              <w:jc w:val="center"/>
              <w:rPr>
                <w:rFonts w:ascii="Open Sans" w:cs="Open Sans" w:eastAsia="Open Sans" w:hAnsi="Open Sans"/>
              </w:rPr>
            </w:pPr>
            <w:r w:rsidDel="00000000" w:rsidR="00000000" w:rsidRPr="00000000">
              <w:rPr>
                <w:rFonts w:ascii="Open Sans" w:cs="Open Sans" w:eastAsia="Open Sans" w:hAnsi="Open Sans"/>
                <w:rtl w:val="0"/>
              </w:rPr>
              <w:t xml:space="preserve">20% of lump sum component of the contract excluding non-personnel costs</w:t>
            </w:r>
          </w:p>
        </w:tc>
        <w:tc>
          <w:tcPr>
            <w:vAlign w:val="center"/>
          </w:tcPr>
          <w:p w:rsidR="00000000" w:rsidDel="00000000" w:rsidP="00000000" w:rsidRDefault="00000000" w:rsidRPr="00000000" w14:paraId="00000030">
            <w:pPr>
              <w:tabs>
                <w:tab w:val="left" w:leader="none" w:pos="468"/>
                <w:tab w:val="right" w:leader="none" w:pos="9753"/>
              </w:tabs>
              <w:jc w:val="center"/>
              <w:rPr>
                <w:rFonts w:ascii="Open Sans" w:cs="Open Sans" w:eastAsia="Open Sans" w:hAnsi="Open Sans"/>
                <w:b w:val="1"/>
                <w:highlight w:val="yellow"/>
              </w:rPr>
            </w:pPr>
            <w:r w:rsidDel="00000000" w:rsidR="00000000" w:rsidRPr="00000000">
              <w:rPr>
                <w:rFonts w:ascii="Open Sans" w:cs="Open Sans" w:eastAsia="Open Sans" w:hAnsi="Open Sans"/>
                <w:b w:val="1"/>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2">
            <w:pPr>
              <w:widowControl w:val="0"/>
              <w:spacing w:line="288" w:lineRule="auto"/>
              <w:rPr>
                <w:rFonts w:ascii="Open Sans" w:cs="Open Sans" w:eastAsia="Open Sans" w:hAnsi="Open Sans"/>
              </w:rPr>
            </w:pPr>
            <w:r w:rsidDel="00000000" w:rsidR="00000000" w:rsidRPr="00000000">
              <w:rPr>
                <w:rFonts w:ascii="Open Sans" w:cs="Open Sans" w:eastAsia="Open Sans" w:hAnsi="Open Sans"/>
                <w:rtl w:val="0"/>
              </w:rPr>
              <w:t xml:space="preserve">Deliverable 5: </w:t>
            </w:r>
            <w:r w:rsidDel="00000000" w:rsidR="00000000" w:rsidRPr="00000000">
              <w:rPr>
                <w:rFonts w:ascii="Open Sans" w:cs="Open Sans" w:eastAsia="Open Sans" w:hAnsi="Open Sans"/>
                <w:b w:val="1"/>
                <w:rtl w:val="0"/>
              </w:rPr>
              <w:t xml:space="preserve">Finalisation of Study and Reports</w:t>
            </w:r>
            <w:r w:rsidDel="00000000" w:rsidR="00000000" w:rsidRPr="00000000">
              <w:rPr>
                <w:rtl w:val="0"/>
              </w:rPr>
            </w:r>
          </w:p>
        </w:tc>
        <w:tc>
          <w:tcPr>
            <w:vAlign w:val="center"/>
          </w:tcPr>
          <w:p w:rsidR="00000000" w:rsidDel="00000000" w:rsidP="00000000" w:rsidRDefault="00000000" w:rsidRPr="00000000" w14:paraId="00000033">
            <w:pPr>
              <w:jc w:val="center"/>
              <w:rPr>
                <w:rFonts w:ascii="Open Sans" w:cs="Open Sans" w:eastAsia="Open Sans" w:hAnsi="Open Sans"/>
              </w:rPr>
            </w:pPr>
            <w:r w:rsidDel="00000000" w:rsidR="00000000" w:rsidRPr="00000000">
              <w:rPr>
                <w:rFonts w:ascii="Open Sans" w:cs="Open Sans" w:eastAsia="Open Sans" w:hAnsi="Open Sans"/>
                <w:rtl w:val="0"/>
              </w:rPr>
              <w:t xml:space="preserve">20% of lump sum component of the contract excluding non-personnel costs</w:t>
            </w:r>
          </w:p>
        </w:tc>
        <w:tc>
          <w:tcPr>
            <w:vAlign w:val="center"/>
          </w:tcPr>
          <w:p w:rsidR="00000000" w:rsidDel="00000000" w:rsidP="00000000" w:rsidRDefault="00000000" w:rsidRPr="00000000" w14:paraId="00000034">
            <w:pPr>
              <w:tabs>
                <w:tab w:val="left" w:leader="none" w:pos="468"/>
                <w:tab w:val="right" w:leader="none" w:pos="9753"/>
              </w:tabs>
              <w:jc w:val="center"/>
              <w:rPr>
                <w:rFonts w:ascii="Open Sans" w:cs="Open Sans" w:eastAsia="Open Sans" w:hAnsi="Open Sans"/>
                <w:b w:val="1"/>
                <w:highlight w:val="yellow"/>
              </w:rPr>
            </w:pPr>
            <w:r w:rsidDel="00000000" w:rsidR="00000000" w:rsidRPr="00000000">
              <w:rPr>
                <w:rFonts w:ascii="Open Sans" w:cs="Open Sans" w:eastAsia="Open Sans" w:hAnsi="Open Sans"/>
                <w:b w:val="1"/>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6">
            <w:pPr>
              <w:spacing w:line="276"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Government Endorsement</w:t>
            </w:r>
          </w:p>
          <w:p w:rsidR="00000000" w:rsidDel="00000000" w:rsidP="00000000" w:rsidRDefault="00000000" w:rsidRPr="00000000" w14:paraId="00000037">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 Submit preliminary study and ESIA to the Vietnamese Government for endorsement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8">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9">
            <w:pPr>
              <w:jc w:val="center"/>
              <w:rPr>
                <w:rFonts w:ascii="Open Sans" w:cs="Open Sans" w:eastAsia="Open Sans" w:hAnsi="Open Sans"/>
                <w:b w:val="1"/>
                <w:highlight w:val="cyan"/>
              </w:rPr>
            </w:pPr>
            <w:r w:rsidDel="00000000" w:rsidR="00000000" w:rsidRPr="00000000">
              <w:rPr>
                <w:rtl w:val="0"/>
              </w:rPr>
            </w:r>
          </w:p>
        </w:tc>
      </w:tr>
      <w:tr>
        <w:trPr>
          <w:cantSplit w:val="0"/>
          <w:trHeight w:val="405" w:hRule="atLeast"/>
          <w:tblHeader w:val="0"/>
        </w:trPr>
        <w:tc>
          <w:tcPr>
            <w:gridSpan w:val="3"/>
            <w:vAlign w:val="center"/>
          </w:tcPr>
          <w:p w:rsidR="00000000" w:rsidDel="00000000" w:rsidP="00000000" w:rsidRDefault="00000000" w:rsidRPr="00000000" w14:paraId="0000003A">
            <w:pPr>
              <w:tabs>
                <w:tab w:val="left" w:leader="none" w:pos="468"/>
                <w:tab w:val="right" w:leader="none" w:pos="9753"/>
              </w:tabs>
              <w:rPr>
                <w:rFonts w:ascii="Open Sans" w:cs="Open Sans" w:eastAsia="Open Sans" w:hAnsi="Open Sans"/>
              </w:rPr>
            </w:pPr>
            <w:r w:rsidDel="00000000" w:rsidR="00000000" w:rsidRPr="00000000">
              <w:rPr>
                <w:rFonts w:ascii="Open Sans" w:cs="Open Sans" w:eastAsia="Open Sans" w:hAnsi="Open Sans"/>
                <w:b w:val="1"/>
                <w:rtl w:val="0"/>
              </w:rPr>
              <w:t xml:space="preserve">Total Financial Proposal for Personnel Costs (Lump-Sum)</w:t>
            </w:r>
            <w:r w:rsidDel="00000000" w:rsidR="00000000" w:rsidRPr="00000000">
              <w:rPr>
                <w:rtl w:val="0"/>
              </w:rPr>
            </w:r>
          </w:p>
        </w:tc>
        <w:tc>
          <w:tcPr>
            <w:vAlign w:val="center"/>
          </w:tcPr>
          <w:p w:rsidR="00000000" w:rsidDel="00000000" w:rsidP="00000000" w:rsidRDefault="00000000" w:rsidRPr="00000000" w14:paraId="0000003D">
            <w:pPr>
              <w:tabs>
                <w:tab w:val="left" w:leader="none" w:pos="468"/>
                <w:tab w:val="right" w:leader="none" w:pos="9753"/>
              </w:tabs>
              <w:jc w:val="center"/>
              <w:rPr>
                <w:rFonts w:ascii="Open Sans" w:cs="Open Sans" w:eastAsia="Open Sans" w:hAnsi="Open Sans"/>
                <w:b w:val="1"/>
                <w:highlight w:val="yellow"/>
              </w:rPr>
            </w:pPr>
            <w:r w:rsidDel="00000000" w:rsidR="00000000" w:rsidRPr="00000000">
              <w:rPr>
                <w:rFonts w:ascii="Open Sans" w:cs="Open Sans" w:eastAsia="Open Sans" w:hAnsi="Open Sans"/>
                <w:b w:val="1"/>
                <w:highlight w:val="cyan"/>
                <w:rtl w:val="0"/>
              </w:rPr>
              <w:t xml:space="preserve">[Please insert price]</w:t>
            </w:r>
            <w:r w:rsidDel="00000000" w:rsidR="00000000" w:rsidRPr="00000000">
              <w:rPr>
                <w:rtl w:val="0"/>
              </w:rPr>
            </w:r>
          </w:p>
        </w:tc>
      </w:tr>
      <w:tr>
        <w:trPr>
          <w:cantSplit w:val="0"/>
          <w:trHeight w:val="897.421875" w:hRule="atLeast"/>
          <w:tblHeader w:val="0"/>
        </w:trPr>
        <w:tc>
          <w:tcPr>
            <w:gridSpan w:val="3"/>
            <w:vAlign w:val="center"/>
          </w:tcPr>
          <w:p w:rsidR="00000000" w:rsidDel="00000000" w:rsidP="00000000" w:rsidRDefault="00000000" w:rsidRPr="00000000" w14:paraId="0000003E">
            <w:pPr>
              <w:tabs>
                <w:tab w:val="left" w:leader="none" w:pos="468"/>
                <w:tab w:val="right" w:leader="none" w:pos="9753"/>
              </w:tabs>
              <w:rPr>
                <w:rFonts w:ascii="Open Sans" w:cs="Open Sans" w:eastAsia="Open Sans" w:hAnsi="Open Sans"/>
              </w:rPr>
            </w:pPr>
            <w:r w:rsidDel="00000000" w:rsidR="00000000" w:rsidRPr="00000000">
              <w:rPr>
                <w:rFonts w:ascii="Open Sans" w:cs="Open Sans" w:eastAsia="Open Sans" w:hAnsi="Open Sans"/>
                <w:b w:val="1"/>
                <w:rtl w:val="0"/>
              </w:rPr>
              <w:t xml:space="preserve">Total Financial Proposal for Non-Personnel Costs (Reimbursement Ceiling)</w:t>
            </w:r>
            <w:r w:rsidDel="00000000" w:rsidR="00000000" w:rsidRPr="00000000">
              <w:rPr>
                <w:rtl w:val="0"/>
              </w:rPr>
            </w:r>
          </w:p>
        </w:tc>
        <w:tc>
          <w:tcPr>
            <w:vAlign w:val="center"/>
          </w:tcPr>
          <w:p w:rsidR="00000000" w:rsidDel="00000000" w:rsidP="00000000" w:rsidRDefault="00000000" w:rsidRPr="00000000" w14:paraId="00000041">
            <w:pPr>
              <w:tabs>
                <w:tab w:val="left" w:leader="none" w:pos="468"/>
                <w:tab w:val="right" w:leader="none" w:pos="9753"/>
              </w:tabs>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[Please insert price] </w:t>
            </w:r>
          </w:p>
          <w:p w:rsidR="00000000" w:rsidDel="00000000" w:rsidP="00000000" w:rsidRDefault="00000000" w:rsidRPr="00000000" w14:paraId="00000042">
            <w:pPr>
              <w:tabs>
                <w:tab w:val="left" w:leader="none" w:pos="468"/>
                <w:tab w:val="right" w:leader="none" w:pos="9753"/>
              </w:tabs>
              <w:jc w:val="cente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Max ceiling </w:t>
            </w:r>
          </w:p>
        </w:tc>
      </w:tr>
      <w:tr>
        <w:trPr>
          <w:cantSplit w:val="0"/>
          <w:trHeight w:val="405" w:hRule="atLeast"/>
          <w:tblHeader w:val="0"/>
        </w:trPr>
        <w:tc>
          <w:tcPr>
            <w:gridSpan w:val="3"/>
            <w:vAlign w:val="center"/>
          </w:tcPr>
          <w:p w:rsidR="00000000" w:rsidDel="00000000" w:rsidP="00000000" w:rsidRDefault="00000000" w:rsidRPr="00000000" w14:paraId="00000043">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financial proposal (USD) = Total personnel costs + Total non-personnel costs</w:t>
            </w:r>
          </w:p>
        </w:tc>
        <w:tc>
          <w:tcPr>
            <w:vAlign w:val="center"/>
          </w:tcPr>
          <w:p w:rsidR="00000000" w:rsidDel="00000000" w:rsidP="00000000" w:rsidRDefault="00000000" w:rsidRPr="00000000" w14:paraId="00000046">
            <w:pPr>
              <w:tabs>
                <w:tab w:val="left" w:leader="none" w:pos="468"/>
                <w:tab w:val="right" w:leader="none" w:pos="9753"/>
              </w:tabs>
              <w:jc w:val="center"/>
              <w:rPr>
                <w:rFonts w:ascii="Open Sans" w:cs="Open Sans" w:eastAsia="Open Sans" w:hAnsi="Open Sans"/>
                <w:b w:val="1"/>
              </w:rPr>
            </w:pPr>
            <w:r w:rsidDel="00000000" w:rsidR="00000000" w:rsidRPr="00000000">
              <w:rPr>
                <w:rFonts w:ascii="Open Sans" w:cs="Open Sans" w:eastAsia="Open Sans" w:hAnsi="Open Sans"/>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7">
      <w:pPr>
        <w:spacing w:before="7" w:line="220" w:lineRule="auto"/>
        <w:rPr>
          <w:highlight w:val="magenta"/>
        </w:rPr>
      </w:pPr>
      <w:r w:rsidDel="00000000" w:rsidR="00000000" w:rsidRPr="00000000">
        <w:rPr>
          <w:rtl w:val="0"/>
        </w:rPr>
      </w:r>
    </w:p>
    <w:p w:rsidR="00000000" w:rsidDel="00000000" w:rsidP="00000000" w:rsidRDefault="00000000" w:rsidRPr="00000000" w14:paraId="00000048">
      <w:pPr>
        <w:widowControl w:val="0"/>
        <w:rPr>
          <w:highlight w:val="magenta"/>
        </w:rPr>
      </w:pPr>
      <w:r w:rsidDel="00000000" w:rsidR="00000000" w:rsidRPr="00000000">
        <w:rPr>
          <w:i w:val="1"/>
          <w:sz w:val="18"/>
          <w:szCs w:val="18"/>
          <w:highlight w:val="yellow"/>
          <w:rtl w:val="0"/>
        </w:rPr>
        <w:t xml:space="preserve">*  The Consultant should include in all non-personnel costs associated with implementing the scope of works including other logistics expected.</w:t>
      </w:r>
      <w:r w:rsidDel="00000000" w:rsidR="00000000" w:rsidRPr="00000000">
        <w:rPr>
          <w:rtl w:val="0"/>
        </w:rPr>
      </w:r>
    </w:p>
    <w:p w:rsidR="00000000" w:rsidDel="00000000" w:rsidP="00000000" w:rsidRDefault="00000000" w:rsidRPr="00000000" w14:paraId="00000049">
      <w:pPr>
        <w:spacing w:before="7" w:line="220" w:lineRule="auto"/>
        <w:rPr>
          <w:highlight w:val="magenta"/>
        </w:rPr>
      </w:pPr>
      <w:r w:rsidDel="00000000" w:rsidR="00000000" w:rsidRPr="00000000">
        <w:rPr>
          <w:rtl w:val="0"/>
        </w:rPr>
      </w:r>
    </w:p>
    <w:p w:rsidR="00000000" w:rsidDel="00000000" w:rsidP="00000000" w:rsidRDefault="00000000" w:rsidRPr="00000000" w14:paraId="0000004A">
      <w:pPr>
        <w:spacing w:before="7" w:line="220" w:lineRule="auto"/>
        <w:rPr>
          <w:b w:val="1"/>
        </w:rPr>
      </w:pPr>
      <w:r w:rsidDel="00000000" w:rsidR="00000000" w:rsidRPr="00000000">
        <w:rPr>
          <w:rtl w:val="0"/>
        </w:rPr>
      </w:r>
    </w:p>
    <w:p w:rsidR="00000000" w:rsidDel="00000000" w:rsidP="00000000" w:rsidRDefault="00000000" w:rsidRPr="00000000" w14:paraId="0000004B">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C">
      <w:pPr>
        <w:spacing w:before="7" w:line="220" w:lineRule="auto"/>
        <w:rPr>
          <w:highlight w:val="magenta"/>
        </w:rPr>
      </w:pPr>
      <w:r w:rsidDel="00000000" w:rsidR="00000000" w:rsidRPr="00000000">
        <w:rPr>
          <w:rtl w:val="0"/>
        </w:rPr>
      </w:r>
    </w:p>
    <w:p w:rsidR="00000000" w:rsidDel="00000000" w:rsidP="00000000" w:rsidRDefault="00000000" w:rsidRPr="00000000" w14:paraId="0000004D">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E">
      <w:pPr>
        <w:jc w:val="both"/>
        <w:rPr/>
      </w:pPr>
      <w:r w:rsidDel="00000000" w:rsidR="00000000" w:rsidRPr="00000000">
        <w:rPr>
          <w:rtl w:val="0"/>
        </w:rPr>
      </w:r>
    </w:p>
    <w:p w:rsidR="00000000" w:rsidDel="00000000" w:rsidP="00000000" w:rsidRDefault="00000000" w:rsidRPr="00000000" w14:paraId="0000004F">
      <w:pPr>
        <w:jc w:val="both"/>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80.0000000000005"/>
        <w:gridCol w:w="1414.9999999999998"/>
        <w:gridCol w:w="1470"/>
        <w:gridCol w:w="1710"/>
        <w:gridCol w:w="1890"/>
        <w:tblGridChange w:id="0">
          <w:tblGrid>
            <w:gridCol w:w="3280.0000000000005"/>
            <w:gridCol w:w="1414.9999999999998"/>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0">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Cost component</w:t>
            </w:r>
          </w:p>
        </w:tc>
        <w:tc>
          <w:tcPr>
            <w:shd w:fill="d9d9d9" w:val="clear"/>
            <w:vAlign w:val="center"/>
          </w:tcPr>
          <w:p w:rsidR="00000000" w:rsidDel="00000000" w:rsidP="00000000" w:rsidRDefault="00000000" w:rsidRPr="00000000" w14:paraId="00000051">
            <w:pPr>
              <w:ind w:right="-108"/>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Qty</w:t>
            </w:r>
          </w:p>
          <w:p w:rsidR="00000000" w:rsidDel="00000000" w:rsidP="00000000" w:rsidRDefault="00000000" w:rsidRPr="00000000" w14:paraId="00000052">
            <w:pPr>
              <w:ind w:right="-108"/>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 (number of days)</w:t>
            </w:r>
          </w:p>
        </w:tc>
        <w:tc>
          <w:tcPr>
            <w:shd w:fill="d9d9d9" w:val="clear"/>
            <w:vAlign w:val="center"/>
          </w:tcPr>
          <w:p w:rsidR="00000000" w:rsidDel="00000000" w:rsidP="00000000" w:rsidRDefault="00000000" w:rsidRPr="00000000" w14:paraId="00000053">
            <w:pPr>
              <w:ind w:right="-108"/>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No. of Personnel</w:t>
            </w:r>
          </w:p>
        </w:tc>
        <w:tc>
          <w:tcPr>
            <w:shd w:fill="d9d9d9" w:val="clear"/>
            <w:vAlign w:val="center"/>
          </w:tcPr>
          <w:p w:rsidR="00000000" w:rsidDel="00000000" w:rsidP="00000000" w:rsidRDefault="00000000" w:rsidRPr="00000000" w14:paraId="00000054">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Remuneration per Unit</w:t>
            </w:r>
          </w:p>
          <w:p w:rsidR="00000000" w:rsidDel="00000000" w:rsidP="00000000" w:rsidRDefault="00000000" w:rsidRPr="00000000" w14:paraId="00000055">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 (daily rate)</w:t>
            </w:r>
          </w:p>
        </w:tc>
        <w:tc>
          <w:tcPr>
            <w:shd w:fill="d9d9d9" w:val="clear"/>
            <w:vAlign w:val="center"/>
          </w:tcPr>
          <w:p w:rsidR="00000000" w:rsidDel="00000000" w:rsidP="00000000" w:rsidRDefault="00000000" w:rsidRPr="00000000" w14:paraId="00000056">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Total Rate for the Period</w:t>
            </w:r>
          </w:p>
        </w:tc>
      </w:tr>
      <w:tr>
        <w:trPr>
          <w:cantSplit w:val="0"/>
          <w:trHeight w:val="450" w:hRule="atLeast"/>
          <w:tblHeader w:val="0"/>
        </w:trPr>
        <w:tc>
          <w:tcPr>
            <w:gridSpan w:val="5"/>
            <w:shd w:fill="ffff00" w:val="clear"/>
            <w:vAlign w:val="center"/>
          </w:tcPr>
          <w:p w:rsidR="00000000" w:rsidDel="00000000" w:rsidP="00000000" w:rsidRDefault="00000000" w:rsidRPr="00000000" w14:paraId="00000057">
            <w:pPr>
              <w:rPr>
                <w:rFonts w:ascii="Open Sans" w:cs="Open Sans" w:eastAsia="Open Sans" w:hAnsi="Open Sans"/>
                <w:b w:val="1"/>
                <w:sz w:val="18"/>
                <w:szCs w:val="18"/>
                <w:shd w:fill="f3f3f3" w:val="clear"/>
              </w:rPr>
            </w:pPr>
            <w:r w:rsidDel="00000000" w:rsidR="00000000" w:rsidRPr="00000000">
              <w:rPr>
                <w:rFonts w:ascii="Arial" w:cs="Arial" w:eastAsia="Arial" w:hAnsi="Arial"/>
                <w:b w:val="1"/>
                <w:sz w:val="18"/>
                <w:szCs w:val="18"/>
                <w:rtl w:val="0"/>
              </w:rPr>
              <w:t xml:space="preserve">Personnel costs</w:t>
            </w:r>
            <w:r w:rsidDel="00000000" w:rsidR="00000000" w:rsidRPr="00000000">
              <w:rPr>
                <w:rFonts w:ascii="Arial" w:cs="Arial" w:eastAsia="Arial" w:hAnsi="Arial"/>
                <w:b w:val="1"/>
                <w:color w:val="ff0000"/>
                <w:sz w:val="18"/>
                <w:szCs w:val="18"/>
                <w:rtl w:val="0"/>
              </w:rPr>
              <w:t xml:space="preserve"> (Lump sum payment)</w:t>
            </w:r>
            <w:r w:rsidDel="00000000" w:rsidR="00000000" w:rsidRPr="00000000">
              <w:rPr>
                <w:rtl w:val="0"/>
              </w:rPr>
            </w:r>
          </w:p>
        </w:tc>
      </w:tr>
      <w:tr>
        <w:trPr>
          <w:cantSplit w:val="0"/>
          <w:trHeight w:val="247" w:hRule="atLeast"/>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5C">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Project lead</w:t>
            </w:r>
          </w:p>
        </w:tc>
        <w:tc>
          <w:tcPr>
            <w:vAlign w:val="center"/>
          </w:tcPr>
          <w:p w:rsidR="00000000" w:rsidDel="00000000" w:rsidP="00000000" w:rsidRDefault="00000000" w:rsidRPr="00000000" w14:paraId="0000005D">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5E">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5F">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60">
            <w:pPr>
              <w:rPr>
                <w:rFonts w:ascii="Open Sans" w:cs="Open Sans" w:eastAsia="Open Sans" w:hAnsi="Open Sans"/>
                <w:sz w:val="18"/>
                <w:szCs w:val="18"/>
              </w:rPr>
            </w:pPr>
            <w:r w:rsidDel="00000000" w:rsidR="00000000" w:rsidRPr="00000000">
              <w:rPr>
                <w:rtl w:val="0"/>
              </w:rPr>
            </w:r>
          </w:p>
        </w:tc>
      </w:tr>
      <w:tr>
        <w:trPr>
          <w:cantSplit w:val="0"/>
          <w:trHeight w:val="247" w:hRule="atLeast"/>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1">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Solar energy expert</w:t>
            </w:r>
          </w:p>
        </w:tc>
        <w:tc>
          <w:tcPr>
            <w:vAlign w:val="center"/>
          </w:tcPr>
          <w:p w:rsidR="00000000" w:rsidDel="00000000" w:rsidP="00000000" w:rsidRDefault="00000000" w:rsidRPr="00000000" w14:paraId="00000062">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63">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64">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65">
            <w:pPr>
              <w:rPr>
                <w:rFonts w:ascii="Open Sans" w:cs="Open Sans" w:eastAsia="Open Sans" w:hAnsi="Open Sans"/>
                <w:sz w:val="18"/>
                <w:szCs w:val="18"/>
              </w:rPr>
            </w:pPr>
            <w:r w:rsidDel="00000000" w:rsidR="00000000" w:rsidRPr="00000000">
              <w:rPr>
                <w:rtl w:val="0"/>
              </w:rPr>
            </w:r>
          </w:p>
        </w:tc>
      </w:tr>
      <w:tr>
        <w:trPr>
          <w:cantSplit w:val="0"/>
          <w:trHeight w:val="247" w:hRule="atLeast"/>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6">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Hydropower expert </w:t>
            </w:r>
          </w:p>
        </w:tc>
        <w:tc>
          <w:tcPr>
            <w:vAlign w:val="center"/>
          </w:tcPr>
          <w:p w:rsidR="00000000" w:rsidDel="00000000" w:rsidP="00000000" w:rsidRDefault="00000000" w:rsidRPr="00000000" w14:paraId="00000067">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68">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69">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6A">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B">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Dam expert </w:t>
            </w:r>
          </w:p>
        </w:tc>
        <w:tc>
          <w:tcPr>
            <w:vAlign w:val="center"/>
          </w:tcPr>
          <w:p w:rsidR="00000000" w:rsidDel="00000000" w:rsidP="00000000" w:rsidRDefault="00000000" w:rsidRPr="00000000" w14:paraId="0000006C">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6D">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6E">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6F">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70">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Geological specialist </w:t>
            </w:r>
          </w:p>
        </w:tc>
        <w:tc>
          <w:tcPr>
            <w:vAlign w:val="center"/>
          </w:tcPr>
          <w:p w:rsidR="00000000" w:rsidDel="00000000" w:rsidP="00000000" w:rsidRDefault="00000000" w:rsidRPr="00000000" w14:paraId="00000071">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72">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73">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74">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75">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Meteo-Hydrological specialist</w:t>
            </w:r>
          </w:p>
        </w:tc>
        <w:tc>
          <w:tcPr>
            <w:vAlign w:val="center"/>
          </w:tcPr>
          <w:p w:rsidR="00000000" w:rsidDel="00000000" w:rsidP="00000000" w:rsidRDefault="00000000" w:rsidRPr="00000000" w14:paraId="00000076">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77">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78">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79">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7A">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Electrical system expert </w:t>
            </w:r>
          </w:p>
        </w:tc>
        <w:tc>
          <w:tcPr>
            <w:vAlign w:val="center"/>
          </w:tcPr>
          <w:p w:rsidR="00000000" w:rsidDel="00000000" w:rsidP="00000000" w:rsidRDefault="00000000" w:rsidRPr="00000000" w14:paraId="0000007B">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7C">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7D">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7E">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7F">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Battery technology expert</w:t>
            </w:r>
          </w:p>
        </w:tc>
        <w:tc>
          <w:tcPr>
            <w:vAlign w:val="center"/>
          </w:tcPr>
          <w:p w:rsidR="00000000" w:rsidDel="00000000" w:rsidP="00000000" w:rsidRDefault="00000000" w:rsidRPr="00000000" w14:paraId="00000080">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1">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2">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83">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84">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Cost estimation expert</w:t>
            </w:r>
          </w:p>
        </w:tc>
        <w:tc>
          <w:tcPr>
            <w:vAlign w:val="center"/>
          </w:tcPr>
          <w:p w:rsidR="00000000" w:rsidDel="00000000" w:rsidP="00000000" w:rsidRDefault="00000000" w:rsidRPr="00000000" w14:paraId="00000085">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6">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7">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88">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89">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Energy economic/ Financial Specialist</w:t>
            </w:r>
          </w:p>
        </w:tc>
        <w:tc>
          <w:tcPr>
            <w:vAlign w:val="center"/>
          </w:tcPr>
          <w:p w:rsidR="00000000" w:rsidDel="00000000" w:rsidP="00000000" w:rsidRDefault="00000000" w:rsidRPr="00000000" w14:paraId="0000008A">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B">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8C">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8D">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8E">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Environmental Impact Specialist</w:t>
            </w:r>
          </w:p>
        </w:tc>
        <w:tc>
          <w:tcPr>
            <w:vAlign w:val="center"/>
          </w:tcPr>
          <w:p w:rsidR="00000000" w:rsidDel="00000000" w:rsidP="00000000" w:rsidRDefault="00000000" w:rsidRPr="00000000" w14:paraId="0000008F">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0">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1">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92">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93">
            <w:pPr>
              <w:numPr>
                <w:ilvl w:val="0"/>
                <w:numId w:val="5"/>
              </w:numPr>
              <w:spacing w:line="264"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Social Impact Assessment Specialist </w:t>
            </w:r>
          </w:p>
        </w:tc>
        <w:tc>
          <w:tcPr>
            <w:vAlign w:val="center"/>
          </w:tcPr>
          <w:p w:rsidR="00000000" w:rsidDel="00000000" w:rsidP="00000000" w:rsidRDefault="00000000" w:rsidRPr="00000000" w14:paraId="00000094">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5">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6">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97">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98">
            <w:pPr>
              <w:spacing w:line="264" w:lineRule="auto"/>
              <w:ind w:left="720" w:hanging="360"/>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9">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A">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B">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9C">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9D">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Additional positions (if applicable)</w:t>
            </w:r>
          </w:p>
        </w:tc>
        <w:tc>
          <w:tcPr>
            <w:vAlign w:val="center"/>
          </w:tcPr>
          <w:p w:rsidR="00000000" w:rsidDel="00000000" w:rsidP="00000000" w:rsidRDefault="00000000" w:rsidRPr="00000000" w14:paraId="0000009E">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9F">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0">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A1">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A2">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3">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4">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5">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A6">
            <w:pPr>
              <w:rPr>
                <w:rFonts w:ascii="Open Sans" w:cs="Open Sans" w:eastAsia="Open Sans" w:hAnsi="Open Sans"/>
                <w:sz w:val="18"/>
                <w:szCs w:val="18"/>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A7">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8">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9">
            <w:pP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00AA">
            <w:pP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00AB">
            <w:pPr>
              <w:rPr>
                <w:rFonts w:ascii="Open Sans" w:cs="Open Sans" w:eastAsia="Open Sans" w:hAnsi="Open Sans"/>
                <w:sz w:val="18"/>
                <w:szCs w:val="18"/>
              </w:rPr>
            </w:pPr>
            <w:r w:rsidDel="00000000" w:rsidR="00000000" w:rsidRPr="00000000">
              <w:rPr>
                <w:rtl w:val="0"/>
              </w:rPr>
            </w:r>
          </w:p>
        </w:tc>
      </w:tr>
      <w:tr>
        <w:trPr>
          <w:cantSplit w:val="0"/>
          <w:trHeight w:val="424.140625" w:hRule="atLeast"/>
          <w:tblHeader w:val="0"/>
        </w:trPr>
        <w:tc>
          <w:tcPr>
            <w:gridSpan w:val="4"/>
            <w:shd w:fill="cfe2f3" w:val="clear"/>
            <w:vAlign w:val="center"/>
          </w:tcPr>
          <w:p w:rsidR="00000000" w:rsidDel="00000000" w:rsidP="00000000" w:rsidRDefault="00000000" w:rsidRPr="00000000" w14:paraId="000000AC">
            <w:pPr>
              <w:jc w:val="right"/>
              <w:rPr>
                <w:rFonts w:ascii="Arial" w:cs="Arial" w:eastAsia="Arial" w:hAnsi="Arial"/>
                <w:b w:val="1"/>
              </w:rPr>
            </w:pPr>
            <w:r w:rsidDel="00000000" w:rsidR="00000000" w:rsidRPr="00000000">
              <w:rPr>
                <w:rFonts w:ascii="Arial" w:cs="Arial" w:eastAsia="Arial" w:hAnsi="Arial"/>
                <w:b w:val="1"/>
                <w:rtl w:val="0"/>
              </w:rPr>
              <w:t xml:space="preserve">Total personnel costs (USD)</w:t>
            </w:r>
          </w:p>
        </w:tc>
        <w:tc>
          <w:tcPr>
            <w:shd w:fill="cfe2f3" w:val="clear"/>
            <w:vAlign w:val="center"/>
          </w:tcPr>
          <w:p w:rsidR="00000000" w:rsidDel="00000000" w:rsidP="00000000" w:rsidRDefault="00000000" w:rsidRPr="00000000" w14:paraId="000000B0">
            <w:pPr>
              <w:rPr>
                <w:b w:val="1"/>
              </w:rPr>
            </w:pPr>
            <w:r w:rsidDel="00000000" w:rsidR="00000000" w:rsidRPr="00000000">
              <w:rPr>
                <w:rtl w:val="0"/>
              </w:rPr>
            </w:r>
          </w:p>
        </w:tc>
      </w:tr>
    </w:tbl>
    <w:p w:rsidR="00000000" w:rsidDel="00000000" w:rsidP="00000000" w:rsidRDefault="00000000" w:rsidRPr="00000000" w14:paraId="000000B1">
      <w:pPr>
        <w:jc w:val="both"/>
        <w:rPr/>
      </w:pPr>
      <w:r w:rsidDel="00000000" w:rsidR="00000000" w:rsidRPr="00000000">
        <w:rPr>
          <w:rtl w:val="0"/>
        </w:rPr>
      </w:r>
    </w:p>
    <w:tbl>
      <w:tblPr>
        <w:tblStyle w:val="Table3"/>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825" w:hRule="atLeast"/>
          <w:tblHeader w:val="0"/>
        </w:trPr>
        <w:tc>
          <w:tcPr>
            <w:shd w:fill="d9d9d9" w:val="clear"/>
            <w:vAlign w:val="center"/>
          </w:tcPr>
          <w:p w:rsidR="00000000" w:rsidDel="00000000" w:rsidP="00000000" w:rsidRDefault="00000000" w:rsidRPr="00000000" w14:paraId="000000B2">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Cost component</w:t>
            </w:r>
          </w:p>
        </w:tc>
        <w:tc>
          <w:tcPr>
            <w:shd w:fill="d9d9d9" w:val="clear"/>
            <w:vAlign w:val="center"/>
          </w:tcPr>
          <w:p w:rsidR="00000000" w:rsidDel="00000000" w:rsidP="00000000" w:rsidRDefault="00000000" w:rsidRPr="00000000" w14:paraId="000000B3">
            <w:pPr>
              <w:ind w:right="-108"/>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Qty</w:t>
            </w:r>
          </w:p>
          <w:p w:rsidR="00000000" w:rsidDel="00000000" w:rsidP="00000000" w:rsidRDefault="00000000" w:rsidRPr="00000000" w14:paraId="000000B4">
            <w:pPr>
              <w:ind w:right="-108"/>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 (no. of event)</w:t>
            </w:r>
          </w:p>
        </w:tc>
        <w:tc>
          <w:tcPr>
            <w:shd w:fill="d9d9d9" w:val="clear"/>
            <w:vAlign w:val="center"/>
          </w:tcPr>
          <w:p w:rsidR="00000000" w:rsidDel="00000000" w:rsidP="00000000" w:rsidRDefault="00000000" w:rsidRPr="00000000" w14:paraId="000000B5">
            <w:pPr>
              <w:ind w:right="-108"/>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Unit Rate</w:t>
            </w:r>
          </w:p>
        </w:tc>
        <w:tc>
          <w:tcPr>
            <w:shd w:fill="d9d9d9" w:val="clear"/>
            <w:vAlign w:val="center"/>
          </w:tcPr>
          <w:p w:rsidR="00000000" w:rsidDel="00000000" w:rsidP="00000000" w:rsidRDefault="00000000" w:rsidRPr="00000000" w14:paraId="000000B6">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Quantity</w:t>
            </w:r>
          </w:p>
          <w:p w:rsidR="00000000" w:rsidDel="00000000" w:rsidP="00000000" w:rsidRDefault="00000000" w:rsidRPr="00000000" w14:paraId="000000B7">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(no. of pax)</w:t>
            </w:r>
          </w:p>
        </w:tc>
        <w:tc>
          <w:tcPr>
            <w:shd w:fill="d9d9d9" w:val="clear"/>
            <w:vAlign w:val="center"/>
          </w:tcPr>
          <w:p w:rsidR="00000000" w:rsidDel="00000000" w:rsidP="00000000" w:rsidRDefault="00000000" w:rsidRPr="00000000" w14:paraId="000000B8">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Total Cost</w:t>
            </w:r>
          </w:p>
        </w:tc>
      </w:tr>
      <w:tr>
        <w:trPr>
          <w:cantSplit w:val="0"/>
          <w:trHeight w:val="495" w:hRule="atLeast"/>
          <w:tblHeader w:val="0"/>
        </w:trPr>
        <w:tc>
          <w:tcPr>
            <w:gridSpan w:val="5"/>
            <w:shd w:fill="ffff00" w:val="clear"/>
            <w:vAlign w:val="center"/>
          </w:tcPr>
          <w:p w:rsidR="00000000" w:rsidDel="00000000" w:rsidP="00000000" w:rsidRDefault="00000000" w:rsidRPr="00000000" w14:paraId="000000B9">
            <w:pPr>
              <w:rPr>
                <w:rFonts w:ascii="Arial" w:cs="Arial" w:eastAsia="Arial" w:hAnsi="Arial"/>
                <w:b w:val="1"/>
                <w:color w:val="ff0000"/>
                <w:sz w:val="18"/>
                <w:szCs w:val="18"/>
              </w:rPr>
            </w:pPr>
            <w:r w:rsidDel="00000000" w:rsidR="00000000" w:rsidRPr="00000000">
              <w:rPr>
                <w:rFonts w:ascii="Arial" w:cs="Arial" w:eastAsia="Arial" w:hAnsi="Arial"/>
                <w:b w:val="1"/>
                <w:sz w:val="18"/>
                <w:szCs w:val="18"/>
                <w:rtl w:val="0"/>
              </w:rPr>
              <w:t xml:space="preserve">Non-personnel costs</w:t>
            </w:r>
            <w:r w:rsidDel="00000000" w:rsidR="00000000" w:rsidRPr="00000000">
              <w:rPr>
                <w:rFonts w:ascii="Arial" w:cs="Arial" w:eastAsia="Arial" w:hAnsi="Arial"/>
                <w:b w:val="1"/>
                <w:color w:val="ff0000"/>
                <w:sz w:val="18"/>
                <w:szCs w:val="18"/>
                <w:rtl w:val="0"/>
              </w:rPr>
              <w:t xml:space="preserve"> (Reimbursable payment)</w:t>
            </w:r>
          </w:p>
        </w:tc>
      </w:tr>
      <w:tr>
        <w:trPr>
          <w:cantSplit w:val="0"/>
          <w:trHeight w:val="510" w:hRule="atLeast"/>
          <w:tblHeader w:val="0"/>
        </w:trPr>
        <w:tc>
          <w:tcPr>
            <w:gridSpan w:val="5"/>
            <w:vAlign w:val="center"/>
          </w:tcPr>
          <w:p w:rsidR="00000000" w:rsidDel="00000000" w:rsidP="00000000" w:rsidRDefault="00000000" w:rsidRPr="00000000" w14:paraId="000000BE">
            <w:pPr>
              <w:rPr>
                <w:rFonts w:ascii="Open Sans" w:cs="Open Sans" w:eastAsia="Open Sans" w:hAnsi="Open Sans"/>
                <w:b w:val="1"/>
              </w:rPr>
            </w:pPr>
            <w:r w:rsidDel="00000000" w:rsidR="00000000" w:rsidRPr="00000000">
              <w:rPr>
                <w:rFonts w:ascii="Open Sans" w:cs="Open Sans" w:eastAsia="Open Sans" w:hAnsi="Open Sans"/>
                <w:b w:val="1"/>
                <w:rtl w:val="0"/>
              </w:rPr>
              <w:t xml:space="preserve">Site Survey and data collection (Deliverable 1)</w:t>
            </w:r>
          </w:p>
        </w:tc>
      </w:tr>
      <w:tr>
        <w:trPr>
          <w:cantSplit w:val="0"/>
          <w:trHeight w:val="276" w:hRule="atLeast"/>
          <w:tblHeader w:val="0"/>
        </w:trPr>
        <w:tc>
          <w:tcPr>
            <w:vAlign w:val="center"/>
          </w:tcPr>
          <w:p w:rsidR="00000000" w:rsidDel="00000000" w:rsidP="00000000" w:rsidRDefault="00000000" w:rsidRPr="00000000" w14:paraId="000000C3">
            <w:pPr>
              <w:spacing w:line="276" w:lineRule="auto"/>
              <w:rPr>
                <w:rFonts w:ascii="Open Sans" w:cs="Open Sans" w:eastAsia="Open Sans" w:hAnsi="Open Sans"/>
              </w:rPr>
            </w:pPr>
            <w:r w:rsidDel="00000000" w:rsidR="00000000" w:rsidRPr="00000000">
              <w:rPr>
                <w:rFonts w:ascii="Open Sans" w:cs="Open Sans" w:eastAsia="Open Sans" w:hAnsi="Open Sans"/>
                <w:color w:val="2c2825"/>
                <w:sz w:val="18"/>
                <w:szCs w:val="18"/>
                <w:highlight w:val="white"/>
                <w:rtl w:val="0"/>
              </w:rPr>
              <w:t xml:space="preserve">Please provide details</w:t>
            </w:r>
            <w:r w:rsidDel="00000000" w:rsidR="00000000" w:rsidRPr="00000000">
              <w:rPr>
                <w:rtl w:val="0"/>
              </w:rPr>
            </w:r>
          </w:p>
        </w:tc>
        <w:tc>
          <w:tcPr>
            <w:vAlign w:val="center"/>
          </w:tcPr>
          <w:p w:rsidR="00000000" w:rsidDel="00000000" w:rsidP="00000000" w:rsidRDefault="00000000" w:rsidRPr="00000000" w14:paraId="000000C4">
            <w:pPr>
              <w:jc w:val="center"/>
              <w:rPr/>
            </w:pPr>
            <w:r w:rsidDel="00000000" w:rsidR="00000000" w:rsidRPr="00000000">
              <w:rPr>
                <w:rtl w:val="0"/>
              </w:rPr>
            </w:r>
          </w:p>
        </w:tc>
        <w:tc>
          <w:tcPr>
            <w:vAlign w:val="center"/>
          </w:tcPr>
          <w:p w:rsidR="00000000" w:rsidDel="00000000" w:rsidP="00000000" w:rsidRDefault="00000000" w:rsidRPr="00000000" w14:paraId="000000C5">
            <w:pPr>
              <w:jc w:val="center"/>
              <w:rPr/>
            </w:pPr>
            <w:r w:rsidDel="00000000" w:rsidR="00000000" w:rsidRPr="00000000">
              <w:rPr>
                <w:rtl w:val="0"/>
              </w:rPr>
            </w:r>
          </w:p>
        </w:tc>
        <w:tc>
          <w:tcPr>
            <w:vAlign w:val="center"/>
          </w:tcPr>
          <w:p w:rsidR="00000000" w:rsidDel="00000000" w:rsidP="00000000" w:rsidRDefault="00000000" w:rsidRPr="00000000" w14:paraId="000000C6">
            <w:pPr>
              <w:jc w:val="center"/>
              <w:rPr/>
            </w:pPr>
            <w:r w:rsidDel="00000000" w:rsidR="00000000" w:rsidRPr="00000000">
              <w:rPr>
                <w:rtl w:val="0"/>
              </w:rPr>
            </w:r>
          </w:p>
        </w:tc>
        <w:tc>
          <w:tcPr/>
          <w:p w:rsidR="00000000" w:rsidDel="00000000" w:rsidP="00000000" w:rsidRDefault="00000000" w:rsidRPr="00000000" w14:paraId="000000C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8">
            <w:pPr>
              <w:rPr>
                <w:rFonts w:ascii="Open Sans" w:cs="Open Sans" w:eastAsia="Open Sans" w:hAnsi="Open Sans"/>
                <w:highlight w:val="yellow"/>
              </w:rPr>
            </w:pPr>
            <w:r w:rsidDel="00000000" w:rsidR="00000000" w:rsidRPr="00000000">
              <w:rPr>
                <w:rtl w:val="0"/>
              </w:rPr>
            </w:r>
          </w:p>
        </w:tc>
        <w:tc>
          <w:tcPr>
            <w:vAlign w:val="center"/>
          </w:tcPr>
          <w:p w:rsidR="00000000" w:rsidDel="00000000" w:rsidP="00000000" w:rsidRDefault="00000000" w:rsidRPr="00000000" w14:paraId="000000C9">
            <w:pPr>
              <w:rPr/>
            </w:pPr>
            <w:r w:rsidDel="00000000" w:rsidR="00000000" w:rsidRPr="00000000">
              <w:rPr>
                <w:rtl w:val="0"/>
              </w:rPr>
            </w:r>
          </w:p>
        </w:tc>
        <w:tc>
          <w:tcPr>
            <w:vAlign w:val="center"/>
          </w:tcPr>
          <w:p w:rsidR="00000000" w:rsidDel="00000000" w:rsidP="00000000" w:rsidRDefault="00000000" w:rsidRPr="00000000" w14:paraId="000000CA">
            <w:pPr>
              <w:rPr/>
            </w:pPr>
            <w:r w:rsidDel="00000000" w:rsidR="00000000" w:rsidRPr="00000000">
              <w:rPr>
                <w:rtl w:val="0"/>
              </w:rPr>
            </w:r>
          </w:p>
        </w:tc>
        <w:tc>
          <w:tcPr>
            <w:vAlign w:val="center"/>
          </w:tcPr>
          <w:p w:rsidR="00000000" w:rsidDel="00000000" w:rsidP="00000000" w:rsidRDefault="00000000" w:rsidRPr="00000000" w14:paraId="000000CB">
            <w:pPr>
              <w:rPr/>
            </w:pPr>
            <w:r w:rsidDel="00000000" w:rsidR="00000000" w:rsidRPr="00000000">
              <w:rPr>
                <w:rtl w:val="0"/>
              </w:rPr>
            </w:r>
          </w:p>
        </w:tc>
        <w:tc>
          <w:tcPr/>
          <w:p w:rsidR="00000000" w:rsidDel="00000000" w:rsidP="00000000" w:rsidRDefault="00000000" w:rsidRPr="00000000" w14:paraId="000000C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D">
            <w:pPr>
              <w:rPr>
                <w:rFonts w:ascii="Open Sans" w:cs="Open Sans" w:eastAsia="Open Sans" w:hAnsi="Open Sans"/>
                <w:highlight w:val="yellow"/>
              </w:rPr>
            </w:pPr>
            <w:r w:rsidDel="00000000" w:rsidR="00000000" w:rsidRPr="00000000">
              <w:rPr>
                <w:rtl w:val="0"/>
              </w:rPr>
            </w:r>
          </w:p>
        </w:tc>
        <w:tc>
          <w:tcPr>
            <w:vAlign w:val="center"/>
          </w:tcPr>
          <w:p w:rsidR="00000000" w:rsidDel="00000000" w:rsidP="00000000" w:rsidRDefault="00000000" w:rsidRPr="00000000" w14:paraId="000000CE">
            <w:pPr>
              <w:rPr/>
            </w:pPr>
            <w:r w:rsidDel="00000000" w:rsidR="00000000" w:rsidRPr="00000000">
              <w:rPr>
                <w:rtl w:val="0"/>
              </w:rPr>
            </w:r>
          </w:p>
        </w:tc>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rPr/>
            </w:pPr>
            <w:r w:rsidDel="00000000" w:rsidR="00000000" w:rsidRPr="00000000">
              <w:rPr>
                <w:rtl w:val="0"/>
              </w:rPr>
            </w:r>
          </w:p>
        </w:tc>
        <w:tc>
          <w:tcPr/>
          <w:p w:rsidR="00000000" w:rsidDel="00000000" w:rsidP="00000000" w:rsidRDefault="00000000" w:rsidRPr="00000000" w14:paraId="000000D1">
            <w:pPr>
              <w:rPr/>
            </w:pPr>
            <w:r w:rsidDel="00000000" w:rsidR="00000000" w:rsidRPr="00000000">
              <w:rPr>
                <w:rtl w:val="0"/>
              </w:rPr>
            </w:r>
          </w:p>
        </w:tc>
      </w:tr>
      <w:tr>
        <w:trPr>
          <w:cantSplit w:val="0"/>
          <w:trHeight w:val="570" w:hRule="atLeast"/>
          <w:tblHeader w:val="0"/>
        </w:trPr>
        <w:tc>
          <w:tcPr>
            <w:gridSpan w:val="5"/>
            <w:vAlign w:val="center"/>
          </w:tcPr>
          <w:p w:rsidR="00000000" w:rsidDel="00000000" w:rsidP="00000000" w:rsidRDefault="00000000" w:rsidRPr="00000000" w14:paraId="000000D2">
            <w:pPr>
              <w:rPr>
                <w:rFonts w:ascii="Open Sans" w:cs="Open Sans" w:eastAsia="Open Sans" w:hAnsi="Open Sans"/>
                <w:b w:val="1"/>
              </w:rPr>
            </w:pPr>
            <w:r w:rsidDel="00000000" w:rsidR="00000000" w:rsidRPr="00000000">
              <w:rPr>
                <w:rFonts w:ascii="Open Sans" w:cs="Open Sans" w:eastAsia="Open Sans" w:hAnsi="Open Sans"/>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0D7">
            <w:pPr>
              <w:rPr>
                <w:rFonts w:ascii="Open Sans" w:cs="Open Sans" w:eastAsia="Open Sans" w:hAnsi="Open Sans"/>
              </w:rPr>
            </w:pPr>
            <w:r w:rsidDel="00000000" w:rsidR="00000000" w:rsidRPr="00000000">
              <w:rPr>
                <w:rFonts w:ascii="Open Sans" w:cs="Open Sans" w:eastAsia="Open Sans" w:hAnsi="Open Sans"/>
                <w:rtl w:val="0"/>
              </w:rPr>
              <w:t xml:space="preserve">Travel related costs </w:t>
            </w:r>
          </w:p>
        </w:tc>
        <w:tc>
          <w:tcPr>
            <w:vAlign w:val="center"/>
          </w:tcPr>
          <w:p w:rsidR="00000000" w:rsidDel="00000000" w:rsidP="00000000" w:rsidRDefault="00000000" w:rsidRPr="00000000" w14:paraId="000000D8">
            <w:pPr>
              <w:jc w:val="center"/>
              <w:rPr/>
            </w:pPr>
            <w:r w:rsidDel="00000000" w:rsidR="00000000" w:rsidRPr="00000000">
              <w:rPr>
                <w:rtl w:val="0"/>
              </w:rPr>
            </w:r>
          </w:p>
        </w:tc>
        <w:tc>
          <w:tcPr>
            <w:vAlign w:val="center"/>
          </w:tcPr>
          <w:p w:rsidR="00000000" w:rsidDel="00000000" w:rsidP="00000000" w:rsidRDefault="00000000" w:rsidRPr="00000000" w14:paraId="000000D9">
            <w:pPr>
              <w:jc w:val="center"/>
              <w:rPr/>
            </w:pPr>
            <w:r w:rsidDel="00000000" w:rsidR="00000000" w:rsidRPr="00000000">
              <w:rPr>
                <w:rtl w:val="0"/>
              </w:rPr>
            </w:r>
          </w:p>
        </w:tc>
        <w:tc>
          <w:tcPr>
            <w:vAlign w:val="center"/>
          </w:tcPr>
          <w:p w:rsidR="00000000" w:rsidDel="00000000" w:rsidP="00000000" w:rsidRDefault="00000000" w:rsidRPr="00000000" w14:paraId="000000DA">
            <w:pPr>
              <w:jc w:val="center"/>
              <w:rPr/>
            </w:pPr>
            <w:r w:rsidDel="00000000" w:rsidR="00000000" w:rsidRPr="00000000">
              <w:rPr>
                <w:rtl w:val="0"/>
              </w:rPr>
            </w:r>
          </w:p>
        </w:tc>
        <w:tc>
          <w:tcPr/>
          <w:p w:rsidR="00000000" w:rsidDel="00000000" w:rsidP="00000000" w:rsidRDefault="00000000" w:rsidRPr="00000000" w14:paraId="000000DB">
            <w:pPr>
              <w:jc w:val="cente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C">
            <w:pPr>
              <w:rPr>
                <w:rFonts w:ascii="Open Sans" w:cs="Open Sans" w:eastAsia="Open Sans" w:hAnsi="Open Sans"/>
              </w:rPr>
            </w:pPr>
            <w:r w:rsidDel="00000000" w:rsidR="00000000" w:rsidRPr="00000000">
              <w:rPr>
                <w:rFonts w:ascii="Open Sans" w:cs="Open Sans" w:eastAsia="Open Sans" w:hAnsi="Open Sans"/>
                <w:rtl w:val="0"/>
              </w:rPr>
              <w:t xml:space="preserve">DSA</w:t>
            </w:r>
          </w:p>
        </w:tc>
        <w:tc>
          <w:tcPr>
            <w:vAlign w:val="center"/>
          </w:tcPr>
          <w:p w:rsidR="00000000" w:rsidDel="00000000" w:rsidP="00000000" w:rsidRDefault="00000000" w:rsidRPr="00000000" w14:paraId="000000DD">
            <w:pPr>
              <w:rPr/>
            </w:pPr>
            <w:r w:rsidDel="00000000" w:rsidR="00000000" w:rsidRPr="00000000">
              <w:rPr>
                <w:rtl w:val="0"/>
              </w:rPr>
            </w:r>
          </w:p>
        </w:tc>
        <w:tc>
          <w:tcPr>
            <w:vAlign w:val="center"/>
          </w:tcPr>
          <w:p w:rsidR="00000000" w:rsidDel="00000000" w:rsidP="00000000" w:rsidRDefault="00000000" w:rsidRPr="00000000" w14:paraId="000000DE">
            <w:pPr>
              <w:rPr/>
            </w:pPr>
            <w:r w:rsidDel="00000000" w:rsidR="00000000" w:rsidRPr="00000000">
              <w:rPr>
                <w:rtl w:val="0"/>
              </w:rPr>
            </w:r>
          </w:p>
        </w:tc>
        <w:tc>
          <w:tcPr>
            <w:vAlign w:val="center"/>
          </w:tcPr>
          <w:p w:rsidR="00000000" w:rsidDel="00000000" w:rsidP="00000000" w:rsidRDefault="00000000" w:rsidRPr="00000000" w14:paraId="000000DF">
            <w:pPr>
              <w:rPr/>
            </w:pPr>
            <w:r w:rsidDel="00000000" w:rsidR="00000000" w:rsidRPr="00000000">
              <w:rPr>
                <w:rtl w:val="0"/>
              </w:rPr>
            </w:r>
          </w:p>
        </w:tc>
        <w:tc>
          <w:tcPr/>
          <w:p w:rsidR="00000000" w:rsidDel="00000000" w:rsidP="00000000" w:rsidRDefault="00000000" w:rsidRPr="00000000" w14:paraId="000000E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1">
            <w:pPr>
              <w:rPr>
                <w:highlight w:val="yellow"/>
              </w:rPr>
            </w:pPr>
            <w:r w:rsidDel="00000000" w:rsidR="00000000" w:rsidRPr="00000000">
              <w:rPr>
                <w:rtl w:val="0"/>
              </w:rPr>
            </w:r>
          </w:p>
        </w:tc>
        <w:tc>
          <w:tcPr>
            <w:vAlign w:val="center"/>
          </w:tcPr>
          <w:p w:rsidR="00000000" w:rsidDel="00000000" w:rsidP="00000000" w:rsidRDefault="00000000" w:rsidRPr="00000000" w14:paraId="000000E2">
            <w:pPr>
              <w:rPr/>
            </w:pPr>
            <w:r w:rsidDel="00000000" w:rsidR="00000000" w:rsidRPr="00000000">
              <w:rPr>
                <w:rtl w:val="0"/>
              </w:rPr>
            </w:r>
          </w:p>
        </w:tc>
        <w:tc>
          <w:tcPr>
            <w:vAlign w:val="center"/>
          </w:tcPr>
          <w:p w:rsidR="00000000" w:rsidDel="00000000" w:rsidP="00000000" w:rsidRDefault="00000000" w:rsidRPr="00000000" w14:paraId="000000E3">
            <w:pPr>
              <w:rPr/>
            </w:pPr>
            <w:r w:rsidDel="00000000" w:rsidR="00000000" w:rsidRPr="00000000">
              <w:rPr>
                <w:rtl w:val="0"/>
              </w:rPr>
            </w:r>
          </w:p>
        </w:tc>
        <w:tc>
          <w:tcPr>
            <w:vAlign w:val="center"/>
          </w:tcPr>
          <w:p w:rsidR="00000000" w:rsidDel="00000000" w:rsidP="00000000" w:rsidRDefault="00000000" w:rsidRPr="00000000" w14:paraId="000000E4">
            <w:pPr>
              <w:rPr/>
            </w:pPr>
            <w:r w:rsidDel="00000000" w:rsidR="00000000" w:rsidRPr="00000000">
              <w:rPr>
                <w:rtl w:val="0"/>
              </w:rPr>
            </w:r>
          </w:p>
        </w:tc>
        <w:tc>
          <w:tcPr/>
          <w:p w:rsidR="00000000" w:rsidDel="00000000" w:rsidP="00000000" w:rsidRDefault="00000000" w:rsidRPr="00000000" w14:paraId="000000E5">
            <w:pPr>
              <w:rPr/>
            </w:pPr>
            <w:r w:rsidDel="00000000" w:rsidR="00000000" w:rsidRPr="00000000">
              <w:rPr>
                <w:rtl w:val="0"/>
              </w:rPr>
            </w:r>
          </w:p>
        </w:tc>
      </w:tr>
      <w:tr>
        <w:trPr>
          <w:cantSplit w:val="0"/>
          <w:trHeight w:val="276" w:hRule="atLeast"/>
          <w:tblHeader w:val="0"/>
        </w:trPr>
        <w:tc>
          <w:tcPr>
            <w:gridSpan w:val="4"/>
            <w:shd w:fill="cfe2f3" w:val="clear"/>
            <w:vAlign w:val="center"/>
          </w:tcPr>
          <w:p w:rsidR="00000000" w:rsidDel="00000000" w:rsidP="00000000" w:rsidRDefault="00000000" w:rsidRPr="00000000" w14:paraId="000000E6">
            <w:pPr>
              <w:jc w:val="right"/>
              <w:rPr>
                <w:rFonts w:ascii="Arial" w:cs="Arial" w:eastAsia="Arial" w:hAnsi="Arial"/>
                <w:b w:val="1"/>
              </w:rPr>
            </w:pPr>
            <w:r w:rsidDel="00000000" w:rsidR="00000000" w:rsidRPr="00000000">
              <w:rPr>
                <w:rFonts w:ascii="Arial" w:cs="Arial" w:eastAsia="Arial" w:hAnsi="Arial"/>
                <w:b w:val="1"/>
                <w:rtl w:val="0"/>
              </w:rPr>
              <w:t xml:space="preserve">Total non-personnel costs (USD)</w:t>
            </w:r>
          </w:p>
        </w:tc>
        <w:tc>
          <w:tcPr>
            <w:shd w:fill="d9edf7" w:val="clear"/>
            <w:vAlign w:val="center"/>
          </w:tcPr>
          <w:p w:rsidR="00000000" w:rsidDel="00000000" w:rsidP="00000000" w:rsidRDefault="00000000" w:rsidRPr="00000000" w14:paraId="000000EA">
            <w:pPr>
              <w:rPr>
                <w:rFonts w:ascii="Arial" w:cs="Arial" w:eastAsia="Arial" w:hAnsi="Arial"/>
              </w:rPr>
            </w:pPr>
            <w:r w:rsidDel="00000000" w:rsidR="00000000" w:rsidRPr="00000000">
              <w:rPr>
                <w:rtl w:val="0"/>
              </w:rPr>
            </w:r>
          </w:p>
        </w:tc>
      </w:tr>
      <w:tr>
        <w:trPr>
          <w:cantSplit w:val="0"/>
          <w:trHeight w:val="276" w:hRule="atLeast"/>
          <w:tblHeader w:val="0"/>
        </w:trPr>
        <w:tc>
          <w:tcPr>
            <w:gridSpan w:val="4"/>
            <w:shd w:fill="ffff00" w:val="clear"/>
            <w:vAlign w:val="center"/>
          </w:tcPr>
          <w:p w:rsidR="00000000" w:rsidDel="00000000" w:rsidP="00000000" w:rsidRDefault="00000000" w:rsidRPr="00000000" w14:paraId="000000EB">
            <w:pPr>
              <w:jc w:val="center"/>
              <w:rPr>
                <w:rFonts w:ascii="Arial" w:cs="Arial" w:eastAsia="Arial" w:hAnsi="Arial"/>
                <w:b w:val="1"/>
              </w:rPr>
            </w:pPr>
            <w:r w:rsidDel="00000000" w:rsidR="00000000" w:rsidRPr="00000000">
              <w:rPr>
                <w:rFonts w:ascii="Arial" w:cs="Arial" w:eastAsia="Arial" w:hAnsi="Arial"/>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EF">
            <w:pPr>
              <w:rPr>
                <w:rFonts w:ascii="Arial" w:cs="Arial" w:eastAsia="Arial" w:hAnsi="Arial"/>
              </w:rPr>
            </w:pPr>
            <w:r w:rsidDel="00000000" w:rsidR="00000000" w:rsidRPr="00000000">
              <w:rPr>
                <w:rtl w:val="0"/>
              </w:rPr>
            </w:r>
          </w:p>
        </w:tc>
      </w:tr>
    </w:tbl>
    <w:p w:rsidR="00000000" w:rsidDel="00000000" w:rsidP="00000000" w:rsidRDefault="00000000" w:rsidRPr="00000000" w14:paraId="000000F0">
      <w:pPr>
        <w:jc w:val="both"/>
        <w:rPr/>
      </w:pPr>
      <w:r w:rsidDel="00000000" w:rsidR="00000000" w:rsidRPr="00000000">
        <w:rPr>
          <w:rtl w:val="0"/>
        </w:rPr>
      </w:r>
    </w:p>
    <w:p w:rsidR="00000000" w:rsidDel="00000000" w:rsidP="00000000" w:rsidRDefault="00000000" w:rsidRPr="00000000" w14:paraId="000000F1">
      <w:pPr>
        <w:jc w:val="both"/>
        <w:rPr>
          <w:b w:val="1"/>
          <w:color w:val="ff0000"/>
        </w:rPr>
      </w:pPr>
      <w:r w:rsidDel="00000000" w:rsidR="00000000" w:rsidRPr="00000000">
        <w:rPr>
          <w:b w:val="1"/>
          <w:color w:val="ff0000"/>
          <w:rtl w:val="0"/>
        </w:rPr>
        <w:t xml:space="preserve">NOTES:</w:t>
      </w:r>
    </w:p>
    <w:p w:rsidR="00000000" w:rsidDel="00000000" w:rsidP="00000000" w:rsidRDefault="00000000" w:rsidRPr="00000000" w14:paraId="000000F2">
      <w:pPr>
        <w:numPr>
          <w:ilvl w:val="0"/>
          <w:numId w:val="2"/>
        </w:numPr>
        <w:ind w:left="720" w:hanging="360"/>
        <w:jc w:val="both"/>
        <w:rPr>
          <w:b w:val="1"/>
          <w:color w:val="ff0000"/>
        </w:rPr>
      </w:pPr>
      <w:r w:rsidDel="00000000" w:rsidR="00000000" w:rsidRPr="00000000">
        <w:rPr>
          <w:b w:val="1"/>
          <w:color w:val="ff0000"/>
          <w:rtl w:val="0"/>
        </w:rPr>
        <w:t xml:space="preserve">Total amount in table 1 and table 2 should be the same </w:t>
      </w:r>
    </w:p>
    <w:p w:rsidR="00000000" w:rsidDel="00000000" w:rsidP="00000000" w:rsidRDefault="00000000" w:rsidRPr="00000000" w14:paraId="000000F3">
      <w:pPr>
        <w:numPr>
          <w:ilvl w:val="0"/>
          <w:numId w:val="2"/>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F4">
      <w:pPr>
        <w:numPr>
          <w:ilvl w:val="0"/>
          <w:numId w:val="2"/>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F5">
      <w:pPr>
        <w:numPr>
          <w:ilvl w:val="0"/>
          <w:numId w:val="2"/>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F6">
      <w:pPr>
        <w:numPr>
          <w:ilvl w:val="0"/>
          <w:numId w:val="2"/>
        </w:numPr>
        <w:ind w:left="720" w:hanging="360"/>
        <w:rPr>
          <w:b w:val="1"/>
          <w:color w:val="ff0000"/>
        </w:rPr>
      </w:pPr>
      <w:r w:rsidDel="00000000" w:rsidR="00000000" w:rsidRPr="00000000">
        <w:rPr>
          <w:b w:val="1"/>
          <w:color w:val="ff0000"/>
          <w:rtl w:val="0"/>
        </w:rPr>
        <w:t xml:space="preserve">Exchange rate of reimbursement invoices/ receipt other than US dollars should be converted using </w:t>
      </w:r>
      <w:hyperlink r:id="rId8">
        <w:r w:rsidDel="00000000" w:rsidR="00000000" w:rsidRPr="00000000">
          <w:rPr>
            <w:b w:val="1"/>
            <w:color w:val="1155cc"/>
            <w:u w:val="single"/>
            <w:rtl w:val="0"/>
          </w:rPr>
          <w:t xml:space="preserve">UN exchange rate</w:t>
        </w:r>
      </w:hyperlink>
      <w:r w:rsidDel="00000000" w:rsidR="00000000" w:rsidRPr="00000000">
        <w:rPr>
          <w:b w:val="1"/>
          <w:color w:val="ff0000"/>
          <w:rtl w:val="0"/>
        </w:rPr>
        <w:t xml:space="preserve"> at the time the cost is incurred  accompanied by a summary table for the incurred costs.</w:t>
      </w:r>
    </w:p>
    <w:p w:rsidR="00000000" w:rsidDel="00000000" w:rsidP="00000000" w:rsidRDefault="00000000" w:rsidRPr="00000000" w14:paraId="000000F7">
      <w:pPr>
        <w:numPr>
          <w:ilvl w:val="0"/>
          <w:numId w:val="2"/>
        </w:numPr>
        <w:ind w:left="720" w:hanging="360"/>
        <w:jc w:val="both"/>
        <w:rPr>
          <w:b w:val="1"/>
          <w:color w:val="ff0000"/>
        </w:rPr>
      </w:pPr>
      <w:r w:rsidDel="00000000" w:rsidR="00000000" w:rsidRPr="00000000">
        <w:rPr>
          <w:b w:val="1"/>
          <w:color w:val="ff0000"/>
          <w:rtl w:val="0"/>
        </w:rPr>
        <w:t xml:space="preserve">For all flights proposed, please use the economy class type.</w:t>
      </w:r>
    </w:p>
    <w:p w:rsidR="00000000" w:rsidDel="00000000" w:rsidP="00000000" w:rsidRDefault="00000000" w:rsidRPr="00000000" w14:paraId="000000F8">
      <w:pPr>
        <w:jc w:val="both"/>
        <w:rPr/>
      </w:pPr>
      <w:r w:rsidDel="00000000" w:rsidR="00000000" w:rsidRPr="00000000">
        <w:rPr>
          <w:rtl w:val="0"/>
        </w:rPr>
      </w:r>
    </w:p>
    <w:p w:rsidR="00000000" w:rsidDel="00000000" w:rsidP="00000000" w:rsidRDefault="00000000" w:rsidRPr="00000000" w14:paraId="000000F9">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F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F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D">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FE">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F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00">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01">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02">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03">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04">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05">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06">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0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0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0B">
      <w:pPr>
        <w:tabs>
          <w:tab w:val="left" w:leader="none" w:pos="720"/>
        </w:tabs>
        <w:rPr>
          <w:color w:val="000000"/>
        </w:rPr>
      </w:pPr>
      <w:r w:rsidDel="00000000" w:rsidR="00000000" w:rsidRPr="00000000">
        <w:rPr>
          <w:rtl w:val="0"/>
        </w:rPr>
      </w:r>
    </w:p>
    <w:p w:rsidR="00000000" w:rsidDel="00000000" w:rsidP="00000000" w:rsidRDefault="00000000" w:rsidRPr="00000000" w14:paraId="0000010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0D">
      <w:pPr>
        <w:rPr>
          <w:color w:val="000000"/>
        </w:rPr>
      </w:pPr>
      <w:r w:rsidDel="00000000" w:rsidR="00000000" w:rsidRPr="00000000">
        <w:rPr>
          <w:rtl w:val="0"/>
        </w:rPr>
      </w:r>
    </w:p>
    <w:p w:rsidR="00000000" w:rsidDel="00000000" w:rsidP="00000000" w:rsidRDefault="00000000" w:rsidRPr="00000000" w14:paraId="0000010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0F">
      <w:pPr>
        <w:rPr>
          <w:color w:val="000000"/>
        </w:rPr>
      </w:pPr>
      <w:r w:rsidDel="00000000" w:rsidR="00000000" w:rsidRPr="00000000">
        <w:rPr>
          <w:rtl w:val="0"/>
        </w:rPr>
      </w:r>
    </w:p>
    <w:p w:rsidR="00000000" w:rsidDel="00000000" w:rsidP="00000000" w:rsidRDefault="00000000" w:rsidRPr="00000000" w14:paraId="0000011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11">
      <w:pPr>
        <w:rPr>
          <w:color w:val="000000"/>
        </w:rPr>
      </w:pPr>
      <w:r w:rsidDel="00000000" w:rsidR="00000000" w:rsidRPr="00000000">
        <w:rPr>
          <w:rtl w:val="0"/>
        </w:rPr>
      </w:r>
    </w:p>
    <w:p w:rsidR="00000000" w:rsidDel="00000000" w:rsidP="00000000" w:rsidRDefault="00000000" w:rsidRPr="00000000" w14:paraId="00000112">
      <w:pPr>
        <w:rPr>
          <w:highlight w:val="yellow"/>
        </w:rPr>
      </w:pPr>
      <w:r w:rsidDel="00000000" w:rsidR="00000000" w:rsidRPr="00000000">
        <w:rPr>
          <w:rtl w:val="0"/>
        </w:rPr>
      </w:r>
    </w:p>
    <w:sectPr>
      <w:headerReference r:id="rId9" w:type="default"/>
      <w:footerReference r:id="rId10"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1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4459</wp:posOffset>
                </wp:positionH>
                <wp:positionV relativeFrom="paragraph">
                  <wp:posOffset>-79363</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1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yperlink" Target="https://treasury.un.org/operationalrates/OperationalRates.php"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lz+94sGb5KWVUC8fGc24FBsJRQ==">CgMxLjAyCGguZ2pkZ3hzMg5oLndqMzBjdnN6OTdiMTIOaC5yeWp3M3N2cWs4N2EyDmguZGo1N3p4azJoajBtMgloLjMwajB6bGw4AGomChNzdWdnZXN0Lnk1ZWZkNzY3Y2lhEg9OYWRpeWFoIE5BRElZQUhyITFHcUVvVzMwVmFZU2ttbXFLVHhEY2ZUVnFZNnFqRTFxWg==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