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14A02" w14:textId="77777777" w:rsidR="00410A09" w:rsidRPr="00984B7A" w:rsidRDefault="00000000" w:rsidP="00984B7A">
      <w:pPr>
        <w:jc w:val="center"/>
        <w:rPr>
          <w:rFonts w:eastAsia="Arial"/>
          <w:b/>
          <w:sz w:val="20"/>
          <w:szCs w:val="20"/>
        </w:rPr>
      </w:pPr>
      <w:r w:rsidRPr="00984B7A">
        <w:rPr>
          <w:rFonts w:eastAsia="Arial"/>
          <w:b/>
          <w:sz w:val="20"/>
          <w:szCs w:val="20"/>
        </w:rPr>
        <w:t xml:space="preserve"> </w:t>
      </w:r>
      <w:r w:rsidRPr="00984B7A">
        <w:rPr>
          <w:noProof/>
          <w:sz w:val="20"/>
          <w:szCs w:val="20"/>
        </w:rPr>
        <w:drawing>
          <wp:anchor distT="0" distB="0" distL="114300" distR="114300" simplePos="0" relativeHeight="251658240" behindDoc="0" locked="0" layoutInCell="1" hidden="0" allowOverlap="1" wp14:anchorId="65A490BB" wp14:editId="755140C7">
            <wp:simplePos x="0" y="0"/>
            <wp:positionH relativeFrom="column">
              <wp:posOffset>-25121</wp:posOffset>
            </wp:positionH>
            <wp:positionV relativeFrom="paragraph">
              <wp:posOffset>-269309</wp:posOffset>
            </wp:positionV>
            <wp:extent cx="782876" cy="383249"/>
            <wp:effectExtent l="0" t="0" r="0" b="0"/>
            <wp:wrapNone/>
            <wp:docPr id="4" name="image1.png" descr="A picture containing text, clipart, vector graphic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ext, clipart, vector graphics&#10;&#10;Description automatically generated"/>
                    <pic:cNvPicPr preferRelativeResize="0"/>
                  </pic:nvPicPr>
                  <pic:blipFill>
                    <a:blip r:embed="rId6"/>
                    <a:srcRect/>
                    <a:stretch>
                      <a:fillRect/>
                    </a:stretch>
                  </pic:blipFill>
                  <pic:spPr>
                    <a:xfrm>
                      <a:off x="0" y="0"/>
                      <a:ext cx="782876" cy="383249"/>
                    </a:xfrm>
                    <a:prstGeom prst="rect">
                      <a:avLst/>
                    </a:prstGeom>
                    <a:ln/>
                  </pic:spPr>
                </pic:pic>
              </a:graphicData>
            </a:graphic>
          </wp:anchor>
        </w:drawing>
      </w:r>
      <w:r w:rsidRPr="00984B7A">
        <w:rPr>
          <w:noProof/>
          <w:sz w:val="20"/>
          <w:szCs w:val="20"/>
        </w:rPr>
        <mc:AlternateContent>
          <mc:Choice Requires="wpg">
            <w:drawing>
              <wp:anchor distT="0" distB="0" distL="114300" distR="114300" simplePos="0" relativeHeight="251659264" behindDoc="0" locked="0" layoutInCell="1" hidden="0" allowOverlap="1" wp14:anchorId="492F133F" wp14:editId="2E022297">
                <wp:simplePos x="0" y="0"/>
                <wp:positionH relativeFrom="column">
                  <wp:posOffset>4597400</wp:posOffset>
                </wp:positionH>
                <wp:positionV relativeFrom="paragraph">
                  <wp:posOffset>-406399</wp:posOffset>
                </wp:positionV>
                <wp:extent cx="1337154" cy="742298"/>
                <wp:effectExtent l="0" t="0" r="0" b="0"/>
                <wp:wrapNone/>
                <wp:docPr id="3" name="Rectangle 3"/>
                <wp:cNvGraphicFramePr/>
                <a:graphic xmlns:a="http://schemas.openxmlformats.org/drawingml/2006/main">
                  <a:graphicData uri="http://schemas.microsoft.com/office/word/2010/wordprocessingShape">
                    <wps:wsp>
                      <wps:cNvSpPr/>
                      <wps:spPr>
                        <a:xfrm>
                          <a:off x="4682186" y="3413614"/>
                          <a:ext cx="1327629" cy="732773"/>
                        </a:xfrm>
                        <a:prstGeom prst="rect">
                          <a:avLst/>
                        </a:prstGeom>
                        <a:noFill/>
                        <a:ln>
                          <a:noFill/>
                        </a:ln>
                      </wps:spPr>
                      <wps:txbx>
                        <w:txbxContent>
                          <w:p w14:paraId="4C7A5C00" w14:textId="77777777" w:rsidR="00410A09" w:rsidRDefault="00000000">
                            <w:pPr>
                              <w:jc w:val="right"/>
                              <w:textDirection w:val="btLr"/>
                            </w:pPr>
                            <w:r>
                              <w:rPr>
                                <w:color w:val="000000"/>
                                <w:sz w:val="14"/>
                              </w:rPr>
                              <w:t>United Nations Population Fund</w:t>
                            </w:r>
                          </w:p>
                          <w:p w14:paraId="0D283B47" w14:textId="77777777" w:rsidR="00410A09" w:rsidRDefault="00000000">
                            <w:pPr>
                              <w:jc w:val="right"/>
                              <w:textDirection w:val="btLr"/>
                            </w:pPr>
                            <w:r>
                              <w:rPr>
                                <w:color w:val="000000"/>
                                <w:sz w:val="14"/>
                              </w:rPr>
                              <w:t>Ulaanbaatar-14201, Mongolia</w:t>
                            </w:r>
                          </w:p>
                          <w:p w14:paraId="5B76CD03" w14:textId="77777777" w:rsidR="00410A09" w:rsidRDefault="00000000">
                            <w:pPr>
                              <w:jc w:val="right"/>
                              <w:textDirection w:val="btLr"/>
                            </w:pPr>
                            <w:r>
                              <w:rPr>
                                <w:color w:val="000000"/>
                                <w:sz w:val="14"/>
                              </w:rPr>
                              <w:t>Telephone: 976-11-353505/3355</w:t>
                            </w:r>
                          </w:p>
                          <w:p w14:paraId="77A3CB19" w14:textId="77777777" w:rsidR="00410A09" w:rsidRDefault="00000000">
                            <w:pPr>
                              <w:jc w:val="right"/>
                              <w:textDirection w:val="btLr"/>
                            </w:pPr>
                            <w:r>
                              <w:rPr>
                                <w:color w:val="000000"/>
                                <w:sz w:val="14"/>
                              </w:rPr>
                              <w:t>Email: batsuuri@unfpa.org</w:t>
                            </w:r>
                          </w:p>
                          <w:p w14:paraId="61B36435" w14:textId="77777777" w:rsidR="00410A09" w:rsidRDefault="00000000">
                            <w:pPr>
                              <w:jc w:val="right"/>
                              <w:textDirection w:val="btLr"/>
                            </w:pPr>
                            <w:r>
                              <w:rPr>
                                <w:color w:val="000000"/>
                                <w:sz w:val="14"/>
                              </w:rPr>
                              <w:t xml:space="preserve">Website: </w:t>
                            </w:r>
                            <w:r>
                              <w:rPr>
                                <w:color w:val="0563C1"/>
                                <w:sz w:val="14"/>
                                <w:u w:val="single"/>
                              </w:rPr>
                              <w:t>www.unfpa.org</w:t>
                            </w:r>
                          </w:p>
                          <w:p w14:paraId="3A183546" w14:textId="77777777" w:rsidR="00410A09" w:rsidRDefault="00410A09">
                            <w:pPr>
                              <w:textDirection w:val="btLr"/>
                            </w:pP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4597400</wp:posOffset>
                </wp:positionH>
                <wp:positionV relativeFrom="paragraph">
                  <wp:posOffset>-406399</wp:posOffset>
                </wp:positionV>
                <wp:extent cx="1337154" cy="742298"/>
                <wp:effectExtent b="0" l="0" r="0" t="0"/>
                <wp:wrapNone/>
                <wp:docPr id="3"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337154" cy="742298"/>
                        </a:xfrm>
                        <a:prstGeom prst="rect"/>
                        <a:ln/>
                      </pic:spPr>
                    </pic:pic>
                  </a:graphicData>
                </a:graphic>
              </wp:anchor>
            </w:drawing>
          </mc:Fallback>
        </mc:AlternateContent>
      </w:r>
    </w:p>
    <w:p w14:paraId="0D90FB62" w14:textId="77777777" w:rsidR="00410A09" w:rsidRPr="00984B7A" w:rsidRDefault="00410A09" w:rsidP="00984B7A">
      <w:pPr>
        <w:jc w:val="center"/>
        <w:rPr>
          <w:rFonts w:eastAsia="Arial"/>
          <w:b/>
          <w:sz w:val="20"/>
          <w:szCs w:val="20"/>
        </w:rPr>
      </w:pPr>
    </w:p>
    <w:p w14:paraId="0E088B1D" w14:textId="77777777" w:rsidR="00410A09" w:rsidRPr="00984B7A" w:rsidRDefault="00410A09" w:rsidP="00984B7A">
      <w:pPr>
        <w:jc w:val="center"/>
        <w:rPr>
          <w:rFonts w:eastAsia="Arial"/>
          <w:b/>
          <w:sz w:val="20"/>
          <w:szCs w:val="20"/>
        </w:rPr>
      </w:pPr>
    </w:p>
    <w:p w14:paraId="78CD86F6" w14:textId="77777777" w:rsidR="00410A09" w:rsidRPr="00984B7A" w:rsidRDefault="00000000" w:rsidP="00984B7A">
      <w:pPr>
        <w:jc w:val="center"/>
        <w:rPr>
          <w:rFonts w:eastAsia="Arial"/>
          <w:b/>
          <w:sz w:val="22"/>
          <w:szCs w:val="22"/>
        </w:rPr>
      </w:pPr>
      <w:r w:rsidRPr="00984B7A">
        <w:rPr>
          <w:rFonts w:eastAsia="Arial"/>
          <w:b/>
          <w:sz w:val="22"/>
          <w:szCs w:val="22"/>
        </w:rPr>
        <w:t>UNFPA/MNG/RFQ/25/001</w:t>
      </w:r>
    </w:p>
    <w:p w14:paraId="7FBF8ABE" w14:textId="77777777" w:rsidR="00410A09" w:rsidRPr="00984B7A" w:rsidRDefault="00410A09" w:rsidP="00984B7A">
      <w:pPr>
        <w:jc w:val="center"/>
        <w:rPr>
          <w:rFonts w:eastAsia="Arial"/>
          <w:b/>
          <w:sz w:val="22"/>
          <w:szCs w:val="22"/>
        </w:rPr>
      </w:pPr>
    </w:p>
    <w:p w14:paraId="723A9321" w14:textId="77777777" w:rsidR="00410A09" w:rsidRPr="00984B7A" w:rsidRDefault="00000000" w:rsidP="00984B7A">
      <w:pPr>
        <w:jc w:val="center"/>
        <w:rPr>
          <w:rFonts w:eastAsia="Arial"/>
          <w:b/>
          <w:sz w:val="22"/>
          <w:szCs w:val="22"/>
        </w:rPr>
      </w:pPr>
      <w:r w:rsidRPr="00984B7A">
        <w:rPr>
          <w:rFonts w:eastAsia="Arial"/>
          <w:b/>
          <w:sz w:val="22"/>
          <w:szCs w:val="22"/>
        </w:rPr>
        <w:t>CLARIFICATION TO BIDDERS</w:t>
      </w:r>
    </w:p>
    <w:p w14:paraId="4C2B5FC9" w14:textId="19B3887C" w:rsidR="00410A09" w:rsidRPr="00984B7A" w:rsidRDefault="00000000" w:rsidP="00984B7A">
      <w:pPr>
        <w:jc w:val="center"/>
        <w:rPr>
          <w:rFonts w:eastAsia="Arial"/>
          <w:b/>
          <w:sz w:val="20"/>
          <w:szCs w:val="20"/>
        </w:rPr>
      </w:pPr>
      <w:r w:rsidRPr="00984B7A">
        <w:rPr>
          <w:rFonts w:eastAsia="Arial"/>
          <w:b/>
          <w:sz w:val="20"/>
          <w:szCs w:val="20"/>
        </w:rPr>
        <w:t>No: 0</w:t>
      </w:r>
      <w:r w:rsidR="00E520A8" w:rsidRPr="00984B7A">
        <w:rPr>
          <w:rFonts w:eastAsia="Arial"/>
          <w:b/>
          <w:sz w:val="20"/>
          <w:szCs w:val="20"/>
        </w:rPr>
        <w:t>2</w:t>
      </w:r>
    </w:p>
    <w:p w14:paraId="3706732B" w14:textId="461C1081" w:rsidR="00410A09" w:rsidRPr="00984B7A" w:rsidRDefault="00000000" w:rsidP="00984B7A">
      <w:pPr>
        <w:jc w:val="right"/>
        <w:rPr>
          <w:rFonts w:eastAsia="Arial"/>
          <w:b/>
          <w:sz w:val="20"/>
          <w:szCs w:val="20"/>
        </w:rPr>
      </w:pPr>
      <w:r w:rsidRPr="00984B7A">
        <w:rPr>
          <w:rFonts w:eastAsia="Arial"/>
          <w:b/>
          <w:sz w:val="20"/>
          <w:szCs w:val="20"/>
        </w:rPr>
        <w:t>2025.1.2</w:t>
      </w:r>
      <w:r w:rsidR="00E520A8" w:rsidRPr="00984B7A">
        <w:rPr>
          <w:rFonts w:eastAsia="Arial"/>
          <w:b/>
          <w:sz w:val="20"/>
          <w:szCs w:val="20"/>
        </w:rPr>
        <w:t>8</w:t>
      </w:r>
    </w:p>
    <w:p w14:paraId="0D7D0799" w14:textId="77777777" w:rsidR="00410A09" w:rsidRPr="00984B7A" w:rsidRDefault="00410A09" w:rsidP="00984B7A">
      <w:pPr>
        <w:jc w:val="center"/>
        <w:rPr>
          <w:rFonts w:eastAsia="Arial"/>
          <w:b/>
          <w:sz w:val="20"/>
          <w:szCs w:val="20"/>
        </w:rPr>
      </w:pPr>
    </w:p>
    <w:tbl>
      <w:tblPr>
        <w:tblStyle w:val="a"/>
        <w:tblW w:w="9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4170"/>
        <w:gridCol w:w="4860"/>
      </w:tblGrid>
      <w:tr w:rsidR="00410A09" w:rsidRPr="00984B7A" w14:paraId="4E83DE87" w14:textId="77777777">
        <w:tc>
          <w:tcPr>
            <w:tcW w:w="510" w:type="dxa"/>
            <w:shd w:val="clear" w:color="auto" w:fill="BFBFBF"/>
          </w:tcPr>
          <w:p w14:paraId="10993D4B" w14:textId="77777777" w:rsidR="00410A09" w:rsidRPr="00984B7A" w:rsidRDefault="00000000" w:rsidP="00984B7A">
            <w:pPr>
              <w:jc w:val="center"/>
              <w:rPr>
                <w:rFonts w:eastAsia="Arial"/>
                <w:b/>
                <w:sz w:val="20"/>
                <w:szCs w:val="20"/>
              </w:rPr>
            </w:pPr>
            <w:r w:rsidRPr="00984B7A">
              <w:rPr>
                <w:rFonts w:eastAsia="Arial"/>
                <w:b/>
                <w:sz w:val="20"/>
                <w:szCs w:val="20"/>
              </w:rPr>
              <w:t>№</w:t>
            </w:r>
          </w:p>
        </w:tc>
        <w:tc>
          <w:tcPr>
            <w:tcW w:w="4170" w:type="dxa"/>
            <w:shd w:val="clear" w:color="auto" w:fill="BFBFBF"/>
          </w:tcPr>
          <w:p w14:paraId="61D12F60" w14:textId="77777777" w:rsidR="00410A09" w:rsidRPr="00984B7A" w:rsidRDefault="00000000" w:rsidP="00984B7A">
            <w:pPr>
              <w:jc w:val="center"/>
              <w:rPr>
                <w:rFonts w:eastAsia="Arial"/>
                <w:b/>
                <w:sz w:val="20"/>
                <w:szCs w:val="20"/>
              </w:rPr>
            </w:pPr>
            <w:r w:rsidRPr="00984B7A">
              <w:rPr>
                <w:rFonts w:eastAsia="Arial"/>
                <w:b/>
                <w:sz w:val="20"/>
                <w:szCs w:val="20"/>
              </w:rPr>
              <w:t>Questions from suppliers</w:t>
            </w:r>
          </w:p>
        </w:tc>
        <w:tc>
          <w:tcPr>
            <w:tcW w:w="4860" w:type="dxa"/>
            <w:shd w:val="clear" w:color="auto" w:fill="BFBFBF"/>
          </w:tcPr>
          <w:p w14:paraId="31135A81" w14:textId="77777777" w:rsidR="00410A09" w:rsidRPr="00984B7A" w:rsidRDefault="00000000" w:rsidP="00984B7A">
            <w:pPr>
              <w:jc w:val="center"/>
              <w:rPr>
                <w:rFonts w:eastAsia="Arial"/>
                <w:b/>
                <w:sz w:val="20"/>
                <w:szCs w:val="20"/>
              </w:rPr>
            </w:pPr>
            <w:r w:rsidRPr="00984B7A">
              <w:rPr>
                <w:rFonts w:eastAsia="Arial"/>
                <w:b/>
                <w:sz w:val="20"/>
                <w:szCs w:val="20"/>
              </w:rPr>
              <w:t>Answer of UNFPA</w:t>
            </w:r>
          </w:p>
        </w:tc>
      </w:tr>
      <w:tr w:rsidR="00410A09" w:rsidRPr="00984B7A" w14:paraId="4BB3C74E" w14:textId="77777777">
        <w:tc>
          <w:tcPr>
            <w:tcW w:w="510" w:type="dxa"/>
          </w:tcPr>
          <w:p w14:paraId="04C3C2C9" w14:textId="6FC199DB" w:rsidR="00410A09" w:rsidRPr="00984B7A" w:rsidRDefault="00E520A8" w:rsidP="00984B7A">
            <w:pPr>
              <w:rPr>
                <w:rFonts w:eastAsia="Arial"/>
                <w:sz w:val="20"/>
                <w:szCs w:val="20"/>
              </w:rPr>
            </w:pPr>
            <w:r w:rsidRPr="00984B7A">
              <w:rPr>
                <w:rFonts w:eastAsia="Arial"/>
                <w:sz w:val="20"/>
                <w:szCs w:val="20"/>
              </w:rPr>
              <w:t>1</w:t>
            </w:r>
          </w:p>
        </w:tc>
        <w:tc>
          <w:tcPr>
            <w:tcW w:w="4170" w:type="dxa"/>
          </w:tcPr>
          <w:p w14:paraId="65143B7C" w14:textId="77777777" w:rsidR="00410A09" w:rsidRPr="00984B7A" w:rsidRDefault="00000000" w:rsidP="00984B7A">
            <w:pPr>
              <w:ind w:right="40"/>
              <w:rPr>
                <w:rFonts w:eastAsia="Calibri"/>
                <w:sz w:val="20"/>
                <w:szCs w:val="20"/>
              </w:rPr>
            </w:pPr>
            <w:r w:rsidRPr="00984B7A">
              <w:rPr>
                <w:rFonts w:eastAsia="Calibri"/>
                <w:sz w:val="20"/>
                <w:szCs w:val="20"/>
              </w:rPr>
              <w:t xml:space="preserve">Regarding the clause </w:t>
            </w:r>
            <w:r w:rsidRPr="00984B7A">
              <w:rPr>
                <w:rFonts w:eastAsia="Calibri"/>
                <w:b/>
                <w:i/>
                <w:sz w:val="20"/>
                <w:szCs w:val="20"/>
              </w:rPr>
              <w:t xml:space="preserve">“To capture a broad spectrum of users’ experiences, the assessment will include a diverse group of users, particularly adolescents from remote areas, ensuring the dataset is representative and inclusive.” </w:t>
            </w:r>
            <w:r w:rsidRPr="00984B7A">
              <w:rPr>
                <w:rFonts w:eastAsia="Calibri"/>
                <w:sz w:val="20"/>
                <w:szCs w:val="20"/>
              </w:rPr>
              <w:t>of the Terms of Reference, the bidder asks:</w:t>
            </w:r>
          </w:p>
          <w:p w14:paraId="543AF32A" w14:textId="77777777" w:rsidR="00410A09" w:rsidRPr="00984B7A" w:rsidRDefault="00410A09" w:rsidP="00984B7A">
            <w:pPr>
              <w:ind w:right="40"/>
              <w:rPr>
                <w:rFonts w:eastAsia="Calibri"/>
                <w:sz w:val="20"/>
                <w:szCs w:val="20"/>
              </w:rPr>
            </w:pPr>
          </w:p>
          <w:p w14:paraId="748F7A68" w14:textId="77777777" w:rsidR="00410A09" w:rsidRPr="00984B7A" w:rsidRDefault="00000000" w:rsidP="00984B7A">
            <w:pPr>
              <w:numPr>
                <w:ilvl w:val="0"/>
                <w:numId w:val="3"/>
              </w:numPr>
              <w:pBdr>
                <w:top w:val="nil"/>
                <w:left w:val="nil"/>
                <w:bottom w:val="nil"/>
                <w:right w:val="nil"/>
                <w:between w:val="nil"/>
              </w:pBdr>
              <w:ind w:left="450" w:right="180"/>
              <w:rPr>
                <w:rFonts w:eastAsia="Calibri"/>
                <w:sz w:val="20"/>
                <w:szCs w:val="20"/>
              </w:rPr>
            </w:pPr>
            <w:r w:rsidRPr="00984B7A">
              <w:rPr>
                <w:rFonts w:eastAsia="Arial"/>
                <w:sz w:val="20"/>
                <w:szCs w:val="20"/>
              </w:rPr>
              <w:t xml:space="preserve">Would the bidder be expected to conduct a survey for the feedback? </w:t>
            </w:r>
          </w:p>
          <w:p w14:paraId="3F57D40E" w14:textId="77777777" w:rsidR="00410A09" w:rsidRPr="00984B7A" w:rsidRDefault="00000000" w:rsidP="00984B7A">
            <w:pPr>
              <w:numPr>
                <w:ilvl w:val="0"/>
                <w:numId w:val="3"/>
              </w:numPr>
              <w:pBdr>
                <w:top w:val="nil"/>
                <w:left w:val="nil"/>
                <w:bottom w:val="nil"/>
                <w:right w:val="nil"/>
                <w:between w:val="nil"/>
              </w:pBdr>
              <w:ind w:left="450" w:right="180"/>
              <w:rPr>
                <w:rFonts w:eastAsia="Calibri"/>
                <w:sz w:val="20"/>
                <w:szCs w:val="20"/>
              </w:rPr>
            </w:pPr>
            <w:r w:rsidRPr="00984B7A">
              <w:rPr>
                <w:rFonts w:eastAsia="Arial"/>
                <w:sz w:val="20"/>
                <w:szCs w:val="20"/>
              </w:rPr>
              <w:t xml:space="preserve">What is the location where this survey would be expected to be conducted by the bidder? </w:t>
            </w:r>
          </w:p>
          <w:p w14:paraId="276EE2B2" w14:textId="77777777" w:rsidR="00410A09" w:rsidRPr="00984B7A" w:rsidRDefault="00000000" w:rsidP="00984B7A">
            <w:pPr>
              <w:numPr>
                <w:ilvl w:val="0"/>
                <w:numId w:val="3"/>
              </w:numPr>
              <w:pBdr>
                <w:top w:val="nil"/>
                <w:left w:val="nil"/>
                <w:bottom w:val="nil"/>
                <w:right w:val="nil"/>
                <w:between w:val="nil"/>
              </w:pBdr>
              <w:ind w:left="450" w:right="180"/>
              <w:rPr>
                <w:rFonts w:eastAsia="Calibri"/>
                <w:sz w:val="20"/>
                <w:szCs w:val="20"/>
              </w:rPr>
            </w:pPr>
            <w:r w:rsidRPr="00984B7A">
              <w:rPr>
                <w:rFonts w:eastAsia="Arial"/>
                <w:sz w:val="20"/>
                <w:szCs w:val="20"/>
              </w:rPr>
              <w:t xml:space="preserve">What is the expected modality for collecting such feedback/usage information? </w:t>
            </w:r>
          </w:p>
          <w:p w14:paraId="63FB96B0" w14:textId="77777777" w:rsidR="00410A09" w:rsidRPr="00984B7A" w:rsidRDefault="00000000" w:rsidP="00984B7A">
            <w:pPr>
              <w:numPr>
                <w:ilvl w:val="0"/>
                <w:numId w:val="3"/>
              </w:numPr>
              <w:pBdr>
                <w:top w:val="nil"/>
                <w:left w:val="nil"/>
                <w:bottom w:val="nil"/>
                <w:right w:val="nil"/>
                <w:between w:val="nil"/>
              </w:pBdr>
              <w:ind w:left="450" w:right="180"/>
              <w:rPr>
                <w:rFonts w:eastAsia="Calibri"/>
                <w:sz w:val="20"/>
                <w:szCs w:val="20"/>
              </w:rPr>
            </w:pPr>
            <w:r w:rsidRPr="00984B7A">
              <w:rPr>
                <w:rFonts w:eastAsia="Arial"/>
                <w:sz w:val="20"/>
                <w:szCs w:val="20"/>
              </w:rPr>
              <w:t>How many users and what profile of users would it be expected to cover form the purpose of capturing user experience?</w:t>
            </w:r>
          </w:p>
          <w:p w14:paraId="45D0B77A" w14:textId="77777777" w:rsidR="00410A09" w:rsidRPr="00984B7A" w:rsidRDefault="00000000" w:rsidP="00984B7A">
            <w:pPr>
              <w:numPr>
                <w:ilvl w:val="0"/>
                <w:numId w:val="3"/>
              </w:numPr>
              <w:pBdr>
                <w:top w:val="nil"/>
                <w:left w:val="nil"/>
                <w:bottom w:val="nil"/>
                <w:right w:val="nil"/>
                <w:between w:val="nil"/>
              </w:pBdr>
              <w:ind w:left="450" w:right="180"/>
              <w:rPr>
                <w:rFonts w:eastAsia="Calibri"/>
                <w:sz w:val="20"/>
                <w:szCs w:val="20"/>
              </w:rPr>
            </w:pPr>
            <w:r w:rsidRPr="00984B7A">
              <w:rPr>
                <w:rFonts w:eastAsia="Arial"/>
                <w:sz w:val="20"/>
                <w:szCs w:val="20"/>
              </w:rPr>
              <w:t>Would the logistics related costs be borne by UNFPA Mongolia?</w:t>
            </w:r>
          </w:p>
        </w:tc>
        <w:tc>
          <w:tcPr>
            <w:tcW w:w="4860" w:type="dxa"/>
          </w:tcPr>
          <w:p w14:paraId="731B9F7B" w14:textId="24EC567A" w:rsidR="00410A09" w:rsidRPr="00984B7A" w:rsidRDefault="00000000" w:rsidP="00984B7A">
            <w:pPr>
              <w:rPr>
                <w:rFonts w:eastAsia="Arial"/>
                <w:sz w:val="20"/>
                <w:szCs w:val="20"/>
              </w:rPr>
            </w:pPr>
            <w:r w:rsidRPr="00984B7A">
              <w:rPr>
                <w:rFonts w:eastAsia="Arial"/>
                <w:sz w:val="20"/>
                <w:szCs w:val="20"/>
              </w:rPr>
              <w:t>A and B. To get an idea of the bot's current usage and performance to meet the user’s intention and response, the bidder may need to conduct one-on-one sessions to observe participants as they interact with the chatbot (use observation checklist), completing specific tasks. Immediate feedback (could be a small monkey survey) will be collected through observation, post-session questionnaires, or brief interviews (with few adolescents from different age groups)</w:t>
            </w:r>
            <w:r w:rsidR="00984B7A">
              <w:rPr>
                <w:rFonts w:eastAsia="Arial"/>
                <w:sz w:val="20"/>
                <w:szCs w:val="20"/>
              </w:rPr>
              <w:t>.</w:t>
            </w:r>
          </w:p>
          <w:p w14:paraId="05C21B90" w14:textId="77777777" w:rsidR="00410A09" w:rsidRPr="00984B7A" w:rsidRDefault="00410A09" w:rsidP="00984B7A">
            <w:pPr>
              <w:rPr>
                <w:rFonts w:eastAsia="Arial"/>
                <w:sz w:val="20"/>
                <w:szCs w:val="20"/>
              </w:rPr>
            </w:pPr>
          </w:p>
          <w:p w14:paraId="02A809C1" w14:textId="03E01D45" w:rsidR="00410A09" w:rsidRPr="00984B7A" w:rsidRDefault="00000000" w:rsidP="00984B7A">
            <w:pPr>
              <w:rPr>
                <w:rFonts w:eastAsia="Arial"/>
                <w:sz w:val="20"/>
                <w:szCs w:val="20"/>
              </w:rPr>
            </w:pPr>
            <w:r w:rsidRPr="00984B7A">
              <w:rPr>
                <w:rFonts w:eastAsia="Arial"/>
                <w:sz w:val="20"/>
                <w:szCs w:val="20"/>
              </w:rPr>
              <w:t xml:space="preserve">C. We don’t have specific modality for the feedback, </w:t>
            </w:r>
            <w:r w:rsidR="00984B7A">
              <w:rPr>
                <w:rFonts w:eastAsia="Arial"/>
                <w:sz w:val="20"/>
                <w:szCs w:val="20"/>
              </w:rPr>
              <w:t xml:space="preserve">bidders are expected to propose the modality based on their </w:t>
            </w:r>
            <w:r w:rsidRPr="00984B7A">
              <w:rPr>
                <w:rFonts w:eastAsia="Arial"/>
                <w:sz w:val="20"/>
                <w:szCs w:val="20"/>
              </w:rPr>
              <w:t>experiences</w:t>
            </w:r>
            <w:r w:rsidR="00984B7A">
              <w:rPr>
                <w:rFonts w:eastAsia="Arial"/>
                <w:sz w:val="20"/>
                <w:szCs w:val="20"/>
              </w:rPr>
              <w:t xml:space="preserve"> and expertise</w:t>
            </w:r>
            <w:r w:rsidRPr="00984B7A">
              <w:rPr>
                <w:rFonts w:eastAsia="Arial"/>
                <w:sz w:val="20"/>
                <w:szCs w:val="20"/>
              </w:rPr>
              <w:t>.</w:t>
            </w:r>
          </w:p>
          <w:p w14:paraId="620DA382" w14:textId="77777777" w:rsidR="00A74D4F" w:rsidRDefault="00A74D4F" w:rsidP="00984B7A">
            <w:pPr>
              <w:rPr>
                <w:rFonts w:eastAsia="Arial"/>
                <w:sz w:val="20"/>
                <w:szCs w:val="20"/>
              </w:rPr>
            </w:pPr>
          </w:p>
          <w:p w14:paraId="037B9A82" w14:textId="681AAA8C" w:rsidR="00410A09" w:rsidRPr="00984B7A" w:rsidRDefault="00000000" w:rsidP="00984B7A">
            <w:pPr>
              <w:rPr>
                <w:rFonts w:eastAsia="Arial"/>
                <w:sz w:val="20"/>
                <w:szCs w:val="20"/>
              </w:rPr>
            </w:pPr>
            <w:r w:rsidRPr="00984B7A">
              <w:rPr>
                <w:rFonts w:eastAsia="Arial"/>
                <w:sz w:val="20"/>
                <w:szCs w:val="20"/>
              </w:rPr>
              <w:t xml:space="preserve">D. Age group &gt; 15 </w:t>
            </w:r>
          </w:p>
          <w:p w14:paraId="37E31142" w14:textId="77777777" w:rsidR="00410A09" w:rsidRPr="00984B7A" w:rsidRDefault="00000000" w:rsidP="00984B7A">
            <w:pPr>
              <w:rPr>
                <w:rFonts w:eastAsia="Arial"/>
                <w:sz w:val="20"/>
                <w:szCs w:val="20"/>
              </w:rPr>
            </w:pPr>
            <w:r w:rsidRPr="00984B7A">
              <w:rPr>
                <w:rFonts w:eastAsia="Arial"/>
                <w:sz w:val="20"/>
                <w:szCs w:val="20"/>
              </w:rPr>
              <w:t xml:space="preserve">15-19, rural and UB </w:t>
            </w:r>
          </w:p>
          <w:p w14:paraId="7473A6E3" w14:textId="77777777" w:rsidR="00984B7A" w:rsidRPr="00984B7A" w:rsidRDefault="00984B7A" w:rsidP="00984B7A">
            <w:pPr>
              <w:rPr>
                <w:rFonts w:eastAsia="Arial"/>
                <w:sz w:val="20"/>
                <w:szCs w:val="20"/>
              </w:rPr>
            </w:pPr>
          </w:p>
          <w:p w14:paraId="06281B81" w14:textId="5B6AFFF9" w:rsidR="00410A09" w:rsidRPr="00984B7A" w:rsidRDefault="00000000" w:rsidP="00984B7A">
            <w:pPr>
              <w:rPr>
                <w:rFonts w:eastAsia="Arial"/>
                <w:sz w:val="20"/>
                <w:szCs w:val="20"/>
              </w:rPr>
            </w:pPr>
            <w:r w:rsidRPr="00984B7A">
              <w:rPr>
                <w:rFonts w:eastAsia="Arial"/>
                <w:sz w:val="20"/>
                <w:szCs w:val="20"/>
              </w:rPr>
              <w:t xml:space="preserve">E. This </w:t>
            </w:r>
            <w:r w:rsidR="00984B7A">
              <w:rPr>
                <w:rFonts w:eastAsia="Arial"/>
                <w:sz w:val="20"/>
                <w:szCs w:val="20"/>
              </w:rPr>
              <w:t xml:space="preserve">should be </w:t>
            </w:r>
            <w:r w:rsidRPr="00984B7A">
              <w:rPr>
                <w:rFonts w:eastAsia="Arial"/>
                <w:sz w:val="20"/>
                <w:szCs w:val="20"/>
              </w:rPr>
              <w:t>a part of the financial proposal of the bidder.</w:t>
            </w:r>
          </w:p>
        </w:tc>
      </w:tr>
      <w:tr w:rsidR="00410A09" w:rsidRPr="00984B7A" w14:paraId="0AB5C069" w14:textId="77777777">
        <w:tc>
          <w:tcPr>
            <w:tcW w:w="510" w:type="dxa"/>
          </w:tcPr>
          <w:p w14:paraId="4AF1D1F4" w14:textId="17BA8768" w:rsidR="00410A09" w:rsidRPr="00984B7A" w:rsidRDefault="00E520A8" w:rsidP="00984B7A">
            <w:pPr>
              <w:rPr>
                <w:rFonts w:eastAsia="Arial"/>
                <w:sz w:val="20"/>
                <w:szCs w:val="20"/>
              </w:rPr>
            </w:pPr>
            <w:r w:rsidRPr="00984B7A">
              <w:rPr>
                <w:rFonts w:eastAsia="Arial"/>
                <w:sz w:val="20"/>
                <w:szCs w:val="20"/>
              </w:rPr>
              <w:t>2</w:t>
            </w:r>
          </w:p>
        </w:tc>
        <w:tc>
          <w:tcPr>
            <w:tcW w:w="4170" w:type="dxa"/>
          </w:tcPr>
          <w:p w14:paraId="3A105695" w14:textId="77777777" w:rsidR="00410A09" w:rsidRPr="00984B7A" w:rsidRDefault="00000000" w:rsidP="00984B7A">
            <w:pPr>
              <w:ind w:right="40"/>
              <w:rPr>
                <w:rFonts w:eastAsia="Calibri"/>
                <w:sz w:val="20"/>
                <w:szCs w:val="20"/>
              </w:rPr>
            </w:pPr>
            <w:r w:rsidRPr="00984B7A">
              <w:rPr>
                <w:rFonts w:eastAsia="Calibri"/>
                <w:sz w:val="20"/>
                <w:szCs w:val="20"/>
              </w:rPr>
              <w:t xml:space="preserve">Regarding the clause </w:t>
            </w:r>
            <w:r w:rsidRPr="00984B7A">
              <w:rPr>
                <w:rFonts w:eastAsia="Calibri"/>
                <w:b/>
                <w:i/>
                <w:sz w:val="20"/>
                <w:szCs w:val="20"/>
              </w:rPr>
              <w:t xml:space="preserve">“With the support of UNFPA Mongolia, a Facebook-based Mandukhai chatbot was launched in 2021, to deliver accurate and confidential information on sexual and reproductive health (SRH) to adolescents.” </w:t>
            </w:r>
            <w:r w:rsidRPr="00984B7A">
              <w:rPr>
                <w:rFonts w:eastAsia="Calibri"/>
                <w:sz w:val="20"/>
                <w:szCs w:val="20"/>
              </w:rPr>
              <w:t>of the Terms of Reference, the bidder asks:</w:t>
            </w:r>
          </w:p>
          <w:p w14:paraId="1FD65CE9" w14:textId="77777777" w:rsidR="00410A09" w:rsidRPr="00984B7A" w:rsidRDefault="00410A09" w:rsidP="00984B7A">
            <w:pPr>
              <w:rPr>
                <w:rFonts w:eastAsia="Arial"/>
                <w:sz w:val="20"/>
                <w:szCs w:val="20"/>
              </w:rPr>
            </w:pPr>
          </w:p>
          <w:p w14:paraId="7DB714C2" w14:textId="77777777" w:rsidR="00410A09" w:rsidRPr="00984B7A" w:rsidRDefault="00000000" w:rsidP="00984B7A">
            <w:pPr>
              <w:numPr>
                <w:ilvl w:val="0"/>
                <w:numId w:val="2"/>
              </w:numPr>
              <w:pBdr>
                <w:top w:val="nil"/>
                <w:left w:val="nil"/>
                <w:bottom w:val="nil"/>
                <w:right w:val="nil"/>
                <w:between w:val="nil"/>
              </w:pBdr>
              <w:ind w:left="450" w:right="180"/>
              <w:rPr>
                <w:rFonts w:eastAsia="Calibri"/>
                <w:sz w:val="20"/>
                <w:szCs w:val="20"/>
              </w:rPr>
            </w:pPr>
            <w:r w:rsidRPr="00984B7A">
              <w:rPr>
                <w:rFonts w:eastAsia="Arial"/>
                <w:sz w:val="20"/>
                <w:szCs w:val="20"/>
              </w:rPr>
              <w:t>Request to kindly share the technology components of the existing Mandukhai chatbot. Is it accessed only through Facebook Messenger?</w:t>
            </w:r>
          </w:p>
          <w:p w14:paraId="73A44691" w14:textId="77777777" w:rsidR="00410A09" w:rsidRPr="00984B7A" w:rsidRDefault="00000000" w:rsidP="00984B7A">
            <w:pPr>
              <w:numPr>
                <w:ilvl w:val="0"/>
                <w:numId w:val="2"/>
              </w:numPr>
              <w:pBdr>
                <w:top w:val="nil"/>
                <w:left w:val="nil"/>
                <w:bottom w:val="nil"/>
                <w:right w:val="nil"/>
                <w:between w:val="nil"/>
              </w:pBdr>
              <w:ind w:left="450" w:right="180"/>
              <w:rPr>
                <w:rFonts w:eastAsia="Calibri"/>
                <w:sz w:val="20"/>
                <w:szCs w:val="20"/>
              </w:rPr>
            </w:pPr>
            <w:r w:rsidRPr="00984B7A">
              <w:rPr>
                <w:rFonts w:eastAsia="Arial"/>
                <w:sz w:val="20"/>
                <w:szCs w:val="20"/>
              </w:rPr>
              <w:t>Is it available for citizens access, and without login?</w:t>
            </w:r>
          </w:p>
          <w:p w14:paraId="00341EB1" w14:textId="77777777" w:rsidR="00410A09" w:rsidRPr="00984B7A" w:rsidRDefault="00000000" w:rsidP="00984B7A">
            <w:pPr>
              <w:numPr>
                <w:ilvl w:val="0"/>
                <w:numId w:val="2"/>
              </w:numPr>
              <w:pBdr>
                <w:top w:val="nil"/>
                <w:left w:val="nil"/>
                <w:bottom w:val="nil"/>
                <w:right w:val="nil"/>
                <w:between w:val="nil"/>
              </w:pBdr>
              <w:ind w:left="450" w:right="180"/>
              <w:rPr>
                <w:rFonts w:eastAsia="Calibri"/>
                <w:sz w:val="20"/>
                <w:szCs w:val="20"/>
              </w:rPr>
            </w:pPr>
            <w:r w:rsidRPr="00984B7A">
              <w:rPr>
                <w:rFonts w:eastAsia="Arial"/>
                <w:sz w:val="20"/>
                <w:szCs w:val="20"/>
              </w:rPr>
              <w:t>Kindly share insights on the architecture used for the current chatbot. Which of the categories does it fall under?</w:t>
            </w:r>
          </w:p>
          <w:p w14:paraId="6A8A2312" w14:textId="77777777" w:rsidR="00410A09" w:rsidRPr="00984B7A" w:rsidRDefault="00000000" w:rsidP="00984B7A">
            <w:pPr>
              <w:numPr>
                <w:ilvl w:val="0"/>
                <w:numId w:val="5"/>
              </w:numPr>
              <w:pBdr>
                <w:top w:val="nil"/>
                <w:left w:val="nil"/>
                <w:bottom w:val="nil"/>
                <w:right w:val="nil"/>
                <w:between w:val="nil"/>
              </w:pBdr>
              <w:ind w:left="990" w:right="180"/>
              <w:rPr>
                <w:rFonts w:eastAsia="Arial"/>
                <w:sz w:val="20"/>
                <w:szCs w:val="20"/>
              </w:rPr>
            </w:pPr>
            <w:r w:rsidRPr="00984B7A">
              <w:rPr>
                <w:rFonts w:eastAsia="Arial"/>
                <w:sz w:val="20"/>
                <w:szCs w:val="20"/>
              </w:rPr>
              <w:t>Rule-Based or Retrieval-Based</w:t>
            </w:r>
          </w:p>
          <w:p w14:paraId="50706146" w14:textId="77777777" w:rsidR="00410A09" w:rsidRPr="00984B7A" w:rsidRDefault="00000000" w:rsidP="00984B7A">
            <w:pPr>
              <w:numPr>
                <w:ilvl w:val="0"/>
                <w:numId w:val="5"/>
              </w:numPr>
              <w:pBdr>
                <w:top w:val="nil"/>
                <w:left w:val="nil"/>
                <w:bottom w:val="nil"/>
                <w:right w:val="nil"/>
                <w:between w:val="nil"/>
              </w:pBdr>
              <w:ind w:left="990" w:right="180"/>
              <w:rPr>
                <w:rFonts w:eastAsia="Arial"/>
                <w:sz w:val="20"/>
                <w:szCs w:val="20"/>
              </w:rPr>
            </w:pPr>
            <w:r w:rsidRPr="00984B7A">
              <w:rPr>
                <w:rFonts w:eastAsia="Arial"/>
                <w:sz w:val="20"/>
                <w:szCs w:val="20"/>
              </w:rPr>
              <w:t>Sequence-Learning-Based (e.g., RNN/LSTM)</w:t>
            </w:r>
          </w:p>
          <w:p w14:paraId="0250ACB3" w14:textId="77777777" w:rsidR="00410A09" w:rsidRPr="00984B7A" w:rsidRDefault="00000000" w:rsidP="00984B7A">
            <w:pPr>
              <w:numPr>
                <w:ilvl w:val="0"/>
                <w:numId w:val="5"/>
              </w:numPr>
              <w:pBdr>
                <w:top w:val="nil"/>
                <w:left w:val="nil"/>
                <w:bottom w:val="nil"/>
                <w:right w:val="nil"/>
                <w:between w:val="nil"/>
              </w:pBdr>
              <w:ind w:left="990" w:right="180"/>
              <w:rPr>
                <w:rFonts w:eastAsia="Arial"/>
                <w:sz w:val="20"/>
                <w:szCs w:val="20"/>
              </w:rPr>
            </w:pPr>
            <w:r w:rsidRPr="00984B7A">
              <w:rPr>
                <w:rFonts w:eastAsia="Arial"/>
                <w:sz w:val="20"/>
                <w:szCs w:val="20"/>
              </w:rPr>
              <w:t>Large Language Model-Based</w:t>
            </w:r>
          </w:p>
        </w:tc>
        <w:tc>
          <w:tcPr>
            <w:tcW w:w="4860" w:type="dxa"/>
          </w:tcPr>
          <w:p w14:paraId="6BFE0293" w14:textId="79CC51A9" w:rsidR="00410A09" w:rsidRPr="00984B7A" w:rsidRDefault="00000000" w:rsidP="00984B7A">
            <w:pPr>
              <w:rPr>
                <w:rFonts w:eastAsia="Arial"/>
                <w:sz w:val="20"/>
                <w:szCs w:val="20"/>
              </w:rPr>
            </w:pPr>
            <w:r w:rsidRPr="00984B7A">
              <w:rPr>
                <w:rFonts w:eastAsia="Arial"/>
                <w:sz w:val="20"/>
                <w:szCs w:val="20"/>
              </w:rPr>
              <w:t xml:space="preserve">A, B and C. </w:t>
            </w:r>
            <w:r w:rsidR="00A74D4F" w:rsidRPr="00A74D4F">
              <w:rPr>
                <w:rFonts w:eastAsia="Arial"/>
                <w:sz w:val="20"/>
                <w:szCs w:val="20"/>
              </w:rPr>
              <w:t>Please refer to the attached report from the developer for the Mandukhai chatbot regarding the technology component.</w:t>
            </w:r>
            <w:r w:rsidR="00962194">
              <w:rPr>
                <w:rFonts w:eastAsia="Arial"/>
                <w:sz w:val="20"/>
                <w:szCs w:val="20"/>
              </w:rPr>
              <w:t xml:space="preserve"> </w:t>
            </w:r>
          </w:p>
        </w:tc>
      </w:tr>
      <w:tr w:rsidR="00410A09" w:rsidRPr="00984B7A" w14:paraId="37AEC7DF" w14:textId="77777777">
        <w:tc>
          <w:tcPr>
            <w:tcW w:w="510" w:type="dxa"/>
          </w:tcPr>
          <w:p w14:paraId="79A3420D" w14:textId="37A875C5" w:rsidR="00410A09" w:rsidRPr="00984B7A" w:rsidRDefault="00E520A8" w:rsidP="00984B7A">
            <w:pPr>
              <w:rPr>
                <w:rFonts w:eastAsia="Arial"/>
                <w:sz w:val="20"/>
                <w:szCs w:val="20"/>
              </w:rPr>
            </w:pPr>
            <w:r w:rsidRPr="00984B7A">
              <w:rPr>
                <w:rFonts w:eastAsia="Arial"/>
                <w:sz w:val="20"/>
                <w:szCs w:val="20"/>
              </w:rPr>
              <w:lastRenderedPageBreak/>
              <w:t>3</w:t>
            </w:r>
          </w:p>
        </w:tc>
        <w:tc>
          <w:tcPr>
            <w:tcW w:w="4170" w:type="dxa"/>
          </w:tcPr>
          <w:p w14:paraId="0729D8A0" w14:textId="77777777" w:rsidR="00410A09" w:rsidRPr="00984B7A" w:rsidRDefault="00000000" w:rsidP="00984B7A">
            <w:pPr>
              <w:ind w:right="40"/>
              <w:rPr>
                <w:rFonts w:eastAsia="Calibri"/>
                <w:b/>
                <w:i/>
                <w:sz w:val="20"/>
                <w:szCs w:val="20"/>
              </w:rPr>
            </w:pPr>
            <w:r w:rsidRPr="00984B7A">
              <w:rPr>
                <w:rFonts w:eastAsia="Calibri"/>
                <w:sz w:val="20"/>
                <w:szCs w:val="20"/>
              </w:rPr>
              <w:t xml:space="preserve">Regarding the clause </w:t>
            </w:r>
            <w:r w:rsidRPr="00984B7A">
              <w:rPr>
                <w:rFonts w:eastAsia="Calibri"/>
                <w:b/>
                <w:i/>
                <w:sz w:val="20"/>
                <w:szCs w:val="20"/>
              </w:rPr>
              <w:t>“The purpose of the</w:t>
            </w:r>
          </w:p>
          <w:p w14:paraId="6B6814D1" w14:textId="77777777" w:rsidR="00410A09" w:rsidRPr="00984B7A" w:rsidRDefault="00000000" w:rsidP="00984B7A">
            <w:pPr>
              <w:ind w:right="80"/>
              <w:rPr>
                <w:rFonts w:eastAsia="Calibri"/>
                <w:b/>
                <w:i/>
                <w:sz w:val="20"/>
                <w:szCs w:val="20"/>
              </w:rPr>
            </w:pPr>
            <w:r w:rsidRPr="00984B7A">
              <w:rPr>
                <w:rFonts w:eastAsia="Calibri"/>
                <w:b/>
                <w:i/>
                <w:sz w:val="20"/>
                <w:szCs w:val="20"/>
              </w:rPr>
              <w:t>professional service is to conduct a comprehensive technical assessment of the Mandukhai chatbot by evaluating its functionality, performance, and</w:t>
            </w:r>
          </w:p>
          <w:p w14:paraId="12F37397" w14:textId="77777777" w:rsidR="00410A09" w:rsidRPr="00984B7A" w:rsidRDefault="00000000" w:rsidP="00984B7A">
            <w:pPr>
              <w:ind w:right="40"/>
              <w:rPr>
                <w:rFonts w:eastAsia="Calibri"/>
                <w:sz w:val="20"/>
                <w:szCs w:val="20"/>
              </w:rPr>
            </w:pPr>
            <w:r w:rsidRPr="00984B7A">
              <w:rPr>
                <w:rFonts w:eastAsia="Calibri"/>
                <w:b/>
                <w:i/>
                <w:sz w:val="20"/>
                <w:szCs w:val="20"/>
              </w:rPr>
              <w:t xml:space="preserve">scalability, while also identifying opportunities for enhancements to its current capabilities.” </w:t>
            </w:r>
            <w:r w:rsidRPr="00984B7A">
              <w:rPr>
                <w:rFonts w:eastAsia="Calibri"/>
                <w:sz w:val="20"/>
                <w:szCs w:val="20"/>
              </w:rPr>
              <w:t>of the Terms of Reference, the bidder asks:</w:t>
            </w:r>
          </w:p>
          <w:p w14:paraId="20A61D6E" w14:textId="77777777" w:rsidR="00410A09" w:rsidRPr="00984B7A" w:rsidRDefault="00410A09" w:rsidP="00984B7A">
            <w:pPr>
              <w:rPr>
                <w:rFonts w:eastAsia="Arial"/>
                <w:sz w:val="20"/>
                <w:szCs w:val="20"/>
              </w:rPr>
            </w:pPr>
          </w:p>
          <w:p w14:paraId="1FC3D9EF" w14:textId="77777777" w:rsidR="00410A09" w:rsidRPr="00984B7A" w:rsidRDefault="00000000" w:rsidP="00984B7A">
            <w:pPr>
              <w:numPr>
                <w:ilvl w:val="0"/>
                <w:numId w:val="1"/>
              </w:numPr>
              <w:pBdr>
                <w:top w:val="nil"/>
                <w:left w:val="nil"/>
                <w:bottom w:val="nil"/>
                <w:right w:val="nil"/>
                <w:between w:val="nil"/>
              </w:pBdr>
              <w:ind w:left="450" w:right="180"/>
              <w:rPr>
                <w:rFonts w:eastAsia="Calibri"/>
                <w:sz w:val="20"/>
                <w:szCs w:val="20"/>
              </w:rPr>
            </w:pPr>
            <w:r w:rsidRPr="00984B7A">
              <w:rPr>
                <w:rFonts w:eastAsia="Arial"/>
                <w:sz w:val="20"/>
                <w:szCs w:val="20"/>
              </w:rPr>
              <w:t>Request to kindly share details on the existing set of functionalities, data integration and accessibility aspects for the existing chatbot.</w:t>
            </w:r>
          </w:p>
          <w:p w14:paraId="378C588D" w14:textId="77777777" w:rsidR="00410A09" w:rsidRPr="00984B7A" w:rsidRDefault="00000000" w:rsidP="00984B7A">
            <w:pPr>
              <w:numPr>
                <w:ilvl w:val="0"/>
                <w:numId w:val="1"/>
              </w:numPr>
              <w:pBdr>
                <w:top w:val="nil"/>
                <w:left w:val="nil"/>
                <w:bottom w:val="nil"/>
                <w:right w:val="nil"/>
                <w:between w:val="nil"/>
              </w:pBdr>
              <w:ind w:left="450" w:right="180"/>
              <w:rPr>
                <w:rFonts w:eastAsia="Calibri"/>
                <w:sz w:val="20"/>
                <w:szCs w:val="20"/>
              </w:rPr>
            </w:pPr>
            <w:r w:rsidRPr="00984B7A">
              <w:rPr>
                <w:rFonts w:eastAsia="Arial"/>
                <w:sz w:val="20"/>
                <w:szCs w:val="20"/>
              </w:rPr>
              <w:t xml:space="preserve">Request to share the usage statistics, users and concurrency of access, data volumes, and nature of queries. </w:t>
            </w:r>
          </w:p>
          <w:p w14:paraId="1E2DF1F1" w14:textId="77777777" w:rsidR="00410A09" w:rsidRPr="00984B7A" w:rsidRDefault="00000000" w:rsidP="00984B7A">
            <w:pPr>
              <w:numPr>
                <w:ilvl w:val="0"/>
                <w:numId w:val="1"/>
              </w:numPr>
              <w:pBdr>
                <w:top w:val="nil"/>
                <w:left w:val="nil"/>
                <w:bottom w:val="nil"/>
                <w:right w:val="nil"/>
                <w:between w:val="nil"/>
              </w:pBdr>
              <w:ind w:left="450" w:right="180"/>
              <w:rPr>
                <w:rFonts w:eastAsia="Calibri"/>
                <w:sz w:val="20"/>
                <w:szCs w:val="20"/>
              </w:rPr>
            </w:pPr>
            <w:r w:rsidRPr="00984B7A">
              <w:rPr>
                <w:rFonts w:eastAsia="Arial"/>
                <w:sz w:val="20"/>
                <w:szCs w:val="20"/>
              </w:rPr>
              <w:t xml:space="preserve">Also, request to kindly suggest what is the envisaged rollout/scalability and performance requirements for short term and long-term perspective. </w:t>
            </w:r>
          </w:p>
          <w:p w14:paraId="63A7606C" w14:textId="77777777" w:rsidR="00410A09" w:rsidRPr="00984B7A" w:rsidRDefault="00000000" w:rsidP="00984B7A">
            <w:pPr>
              <w:numPr>
                <w:ilvl w:val="0"/>
                <w:numId w:val="1"/>
              </w:numPr>
              <w:pBdr>
                <w:top w:val="nil"/>
                <w:left w:val="nil"/>
                <w:bottom w:val="nil"/>
                <w:right w:val="nil"/>
                <w:between w:val="nil"/>
              </w:pBdr>
              <w:ind w:left="450" w:right="180"/>
              <w:rPr>
                <w:rFonts w:eastAsia="Calibri"/>
                <w:sz w:val="20"/>
                <w:szCs w:val="20"/>
              </w:rPr>
            </w:pPr>
            <w:r w:rsidRPr="00984B7A">
              <w:rPr>
                <w:rFonts w:eastAsia="Arial"/>
                <w:sz w:val="20"/>
                <w:szCs w:val="20"/>
              </w:rPr>
              <w:t>What has been the nature of user feedback, captured informally, since the launch of the chatbot?</w:t>
            </w:r>
          </w:p>
        </w:tc>
        <w:tc>
          <w:tcPr>
            <w:tcW w:w="4860" w:type="dxa"/>
          </w:tcPr>
          <w:p w14:paraId="272B0014" w14:textId="69C0A78C" w:rsidR="00410A09" w:rsidRPr="00984B7A" w:rsidRDefault="00A74D4F" w:rsidP="00984B7A">
            <w:pPr>
              <w:rPr>
                <w:rFonts w:eastAsia="Arial"/>
                <w:sz w:val="20"/>
                <w:szCs w:val="20"/>
              </w:rPr>
            </w:pPr>
            <w:r w:rsidRPr="00984B7A">
              <w:rPr>
                <w:rFonts w:eastAsia="Arial"/>
                <w:sz w:val="20"/>
                <w:szCs w:val="20"/>
              </w:rPr>
              <w:t>A, B, C, and D. Please refer to the attached report of the developer for the Mandukhai chatbot for the technology component.</w:t>
            </w:r>
          </w:p>
        </w:tc>
      </w:tr>
      <w:tr w:rsidR="00410A09" w:rsidRPr="00984B7A" w14:paraId="28550080" w14:textId="77777777">
        <w:tc>
          <w:tcPr>
            <w:tcW w:w="510" w:type="dxa"/>
          </w:tcPr>
          <w:p w14:paraId="4736903A" w14:textId="1EE6D6F9" w:rsidR="00410A09" w:rsidRPr="00984B7A" w:rsidRDefault="00E520A8" w:rsidP="00984B7A">
            <w:pPr>
              <w:rPr>
                <w:rFonts w:eastAsia="Arial"/>
                <w:sz w:val="20"/>
                <w:szCs w:val="20"/>
              </w:rPr>
            </w:pPr>
            <w:r w:rsidRPr="00984B7A">
              <w:rPr>
                <w:rFonts w:eastAsia="Arial"/>
                <w:sz w:val="20"/>
                <w:szCs w:val="20"/>
              </w:rPr>
              <w:t>4</w:t>
            </w:r>
          </w:p>
        </w:tc>
        <w:tc>
          <w:tcPr>
            <w:tcW w:w="4170" w:type="dxa"/>
          </w:tcPr>
          <w:p w14:paraId="1347CF39" w14:textId="77777777" w:rsidR="00410A09" w:rsidRPr="00984B7A" w:rsidRDefault="00000000" w:rsidP="00984B7A">
            <w:pPr>
              <w:ind w:right="40"/>
              <w:rPr>
                <w:rFonts w:eastAsia="Calibri"/>
                <w:sz w:val="20"/>
                <w:szCs w:val="20"/>
              </w:rPr>
            </w:pPr>
            <w:r w:rsidRPr="00984B7A">
              <w:rPr>
                <w:rFonts w:eastAsia="Calibri"/>
                <w:sz w:val="20"/>
                <w:szCs w:val="20"/>
              </w:rPr>
              <w:t xml:space="preserve">Regarding the clause </w:t>
            </w:r>
            <w:r w:rsidRPr="00984B7A">
              <w:rPr>
                <w:rFonts w:eastAsia="Calibri"/>
                <w:b/>
                <w:i/>
                <w:sz w:val="20"/>
                <w:szCs w:val="20"/>
              </w:rPr>
              <w:t xml:space="preserve">“Usability Testing: The selected vendor will conduct one-on-one sessions to observe participants as they interact with the chatbot, completing specific tasks.” </w:t>
            </w:r>
            <w:r w:rsidRPr="00984B7A">
              <w:rPr>
                <w:rFonts w:eastAsia="Calibri"/>
                <w:sz w:val="20"/>
                <w:szCs w:val="20"/>
              </w:rPr>
              <w:t>of the Terms of Reference, the bidder asks:</w:t>
            </w:r>
          </w:p>
          <w:p w14:paraId="44E5827E" w14:textId="77777777" w:rsidR="00410A09" w:rsidRPr="00984B7A" w:rsidRDefault="00410A09" w:rsidP="00984B7A">
            <w:pPr>
              <w:rPr>
                <w:rFonts w:eastAsia="Arial"/>
                <w:sz w:val="20"/>
                <w:szCs w:val="20"/>
              </w:rPr>
            </w:pPr>
          </w:p>
          <w:p w14:paraId="33CBEBDF" w14:textId="77777777" w:rsidR="00410A09" w:rsidRPr="00984B7A" w:rsidRDefault="00000000" w:rsidP="00984B7A">
            <w:pPr>
              <w:numPr>
                <w:ilvl w:val="0"/>
                <w:numId w:val="4"/>
              </w:numPr>
              <w:pBdr>
                <w:top w:val="nil"/>
                <w:left w:val="nil"/>
                <w:bottom w:val="nil"/>
                <w:right w:val="nil"/>
                <w:between w:val="nil"/>
              </w:pBdr>
              <w:ind w:left="450" w:right="180"/>
              <w:rPr>
                <w:rFonts w:eastAsia="Calibri"/>
                <w:sz w:val="20"/>
                <w:szCs w:val="20"/>
              </w:rPr>
            </w:pPr>
            <w:r w:rsidRPr="00984B7A">
              <w:rPr>
                <w:rFonts w:eastAsia="Arial"/>
                <w:sz w:val="20"/>
                <w:szCs w:val="20"/>
              </w:rPr>
              <w:t xml:space="preserve">How many such users/user groups are expected to be covered for the usability testing purpose? </w:t>
            </w:r>
          </w:p>
          <w:p w14:paraId="3124AA85" w14:textId="77777777" w:rsidR="00410A09" w:rsidRPr="00984B7A" w:rsidRDefault="00000000" w:rsidP="00984B7A">
            <w:pPr>
              <w:numPr>
                <w:ilvl w:val="0"/>
                <w:numId w:val="4"/>
              </w:numPr>
              <w:pBdr>
                <w:top w:val="nil"/>
                <w:left w:val="nil"/>
                <w:bottom w:val="nil"/>
                <w:right w:val="nil"/>
                <w:between w:val="nil"/>
              </w:pBdr>
              <w:ind w:left="450" w:right="180"/>
              <w:rPr>
                <w:rFonts w:eastAsia="Calibri"/>
                <w:sz w:val="20"/>
                <w:szCs w:val="20"/>
              </w:rPr>
            </w:pPr>
            <w:r w:rsidRPr="00984B7A">
              <w:rPr>
                <w:rFonts w:eastAsia="Arial"/>
                <w:sz w:val="20"/>
                <w:szCs w:val="20"/>
              </w:rPr>
              <w:t>Would these assessment / observations be done in a centralized manner, and online or in a physical medium?</w:t>
            </w:r>
          </w:p>
        </w:tc>
        <w:tc>
          <w:tcPr>
            <w:tcW w:w="4860" w:type="dxa"/>
          </w:tcPr>
          <w:p w14:paraId="1F6DBB8A" w14:textId="77777777" w:rsidR="00984B7A" w:rsidRDefault="00984B7A" w:rsidP="00984B7A">
            <w:pPr>
              <w:rPr>
                <w:rFonts w:eastAsia="Arial"/>
                <w:sz w:val="20"/>
                <w:szCs w:val="20"/>
              </w:rPr>
            </w:pPr>
          </w:p>
          <w:p w14:paraId="20A1D9AE" w14:textId="77777777" w:rsidR="00984B7A" w:rsidRDefault="00984B7A" w:rsidP="00984B7A">
            <w:pPr>
              <w:rPr>
                <w:rFonts w:eastAsia="Arial"/>
                <w:sz w:val="20"/>
                <w:szCs w:val="20"/>
              </w:rPr>
            </w:pPr>
          </w:p>
          <w:p w14:paraId="4175AC3C" w14:textId="77777777" w:rsidR="00984B7A" w:rsidRDefault="00984B7A" w:rsidP="00984B7A">
            <w:pPr>
              <w:rPr>
                <w:rFonts w:eastAsia="Arial"/>
                <w:sz w:val="20"/>
                <w:szCs w:val="20"/>
              </w:rPr>
            </w:pPr>
          </w:p>
          <w:p w14:paraId="46678807" w14:textId="77777777" w:rsidR="00984B7A" w:rsidRDefault="00984B7A" w:rsidP="00984B7A">
            <w:pPr>
              <w:rPr>
                <w:rFonts w:eastAsia="Arial"/>
                <w:sz w:val="20"/>
                <w:szCs w:val="20"/>
              </w:rPr>
            </w:pPr>
          </w:p>
          <w:p w14:paraId="2FFD8041" w14:textId="77777777" w:rsidR="00984B7A" w:rsidRDefault="00984B7A" w:rsidP="00984B7A">
            <w:pPr>
              <w:rPr>
                <w:rFonts w:eastAsia="Arial"/>
                <w:sz w:val="20"/>
                <w:szCs w:val="20"/>
              </w:rPr>
            </w:pPr>
          </w:p>
          <w:p w14:paraId="2183179C" w14:textId="77777777" w:rsidR="00984B7A" w:rsidRDefault="00984B7A" w:rsidP="00984B7A">
            <w:pPr>
              <w:rPr>
                <w:rFonts w:eastAsia="Arial"/>
                <w:sz w:val="20"/>
                <w:szCs w:val="20"/>
              </w:rPr>
            </w:pPr>
          </w:p>
          <w:p w14:paraId="50B1F54E" w14:textId="35EECC98" w:rsidR="00410A09" w:rsidRPr="00984B7A" w:rsidRDefault="00984B7A" w:rsidP="00984B7A">
            <w:pPr>
              <w:rPr>
                <w:rFonts w:eastAsia="Arial"/>
                <w:sz w:val="20"/>
                <w:szCs w:val="20"/>
              </w:rPr>
            </w:pPr>
            <w:r w:rsidRPr="00984B7A">
              <w:rPr>
                <w:rFonts w:eastAsia="Arial"/>
                <w:sz w:val="20"/>
                <w:szCs w:val="20"/>
              </w:rPr>
              <w:t xml:space="preserve">A. A total of approximately 100 adolescents, aged 10-19, including both urban and rural participants, would be </w:t>
            </w:r>
            <w:r>
              <w:rPr>
                <w:rFonts w:eastAsia="Arial"/>
                <w:sz w:val="20"/>
                <w:szCs w:val="20"/>
              </w:rPr>
              <w:t>sufficient</w:t>
            </w:r>
            <w:r w:rsidRPr="00984B7A">
              <w:rPr>
                <w:rFonts w:eastAsia="Arial"/>
                <w:sz w:val="20"/>
                <w:szCs w:val="20"/>
              </w:rPr>
              <w:t>.</w:t>
            </w:r>
          </w:p>
          <w:p w14:paraId="561CA0E7" w14:textId="42A4265B" w:rsidR="00410A09" w:rsidRPr="00984B7A" w:rsidRDefault="00000000" w:rsidP="00984B7A">
            <w:pPr>
              <w:rPr>
                <w:rFonts w:eastAsia="Arial"/>
                <w:sz w:val="20"/>
                <w:szCs w:val="20"/>
              </w:rPr>
            </w:pPr>
            <w:r w:rsidRPr="00984B7A">
              <w:rPr>
                <w:rFonts w:eastAsia="Arial"/>
                <w:sz w:val="20"/>
                <w:szCs w:val="20"/>
              </w:rPr>
              <w:t xml:space="preserve">B. </w:t>
            </w:r>
            <w:r w:rsidR="00A74D4F" w:rsidRPr="00A74D4F">
              <w:rPr>
                <w:rFonts w:eastAsia="Arial"/>
                <w:sz w:val="20"/>
                <w:szCs w:val="20"/>
              </w:rPr>
              <w:t>There are no restrictions on the specific manner.</w:t>
            </w:r>
          </w:p>
          <w:p w14:paraId="2355A984" w14:textId="77777777" w:rsidR="00410A09" w:rsidRPr="00984B7A" w:rsidRDefault="00410A09" w:rsidP="00984B7A">
            <w:pPr>
              <w:rPr>
                <w:rFonts w:eastAsia="Arial"/>
                <w:sz w:val="20"/>
                <w:szCs w:val="20"/>
              </w:rPr>
            </w:pPr>
          </w:p>
        </w:tc>
      </w:tr>
      <w:tr w:rsidR="00410A09" w:rsidRPr="00984B7A" w14:paraId="5D93DC6E" w14:textId="77777777">
        <w:tc>
          <w:tcPr>
            <w:tcW w:w="510" w:type="dxa"/>
          </w:tcPr>
          <w:p w14:paraId="6000F648" w14:textId="4717454D" w:rsidR="00410A09" w:rsidRPr="00984B7A" w:rsidRDefault="00E520A8" w:rsidP="00984B7A">
            <w:pPr>
              <w:rPr>
                <w:rFonts w:eastAsia="Arial"/>
                <w:sz w:val="20"/>
                <w:szCs w:val="20"/>
              </w:rPr>
            </w:pPr>
            <w:r w:rsidRPr="00984B7A">
              <w:rPr>
                <w:rFonts w:eastAsia="Arial"/>
                <w:sz w:val="20"/>
                <w:szCs w:val="20"/>
              </w:rPr>
              <w:t>5</w:t>
            </w:r>
          </w:p>
        </w:tc>
        <w:tc>
          <w:tcPr>
            <w:tcW w:w="4170" w:type="dxa"/>
          </w:tcPr>
          <w:p w14:paraId="1FF50272" w14:textId="77777777" w:rsidR="00410A09" w:rsidRPr="00984B7A" w:rsidRDefault="00000000" w:rsidP="00984B7A">
            <w:pPr>
              <w:ind w:right="40"/>
              <w:rPr>
                <w:rFonts w:eastAsia="Arial"/>
                <w:sz w:val="20"/>
                <w:szCs w:val="20"/>
              </w:rPr>
            </w:pPr>
            <w:r w:rsidRPr="00984B7A">
              <w:rPr>
                <w:rFonts w:eastAsia="Calibri"/>
                <w:sz w:val="20"/>
                <w:szCs w:val="20"/>
              </w:rPr>
              <w:t xml:space="preserve">Regarding the clause </w:t>
            </w:r>
            <w:r w:rsidRPr="00984B7A">
              <w:rPr>
                <w:rFonts w:eastAsia="Calibri"/>
                <w:bCs/>
                <w:i/>
                <w:sz w:val="20"/>
                <w:szCs w:val="20"/>
              </w:rPr>
              <w:t>“Timelines - The selected institution will be contracted for 60 non-consecutive days starting from January 15, 2025.”</w:t>
            </w:r>
            <w:r w:rsidRPr="00984B7A">
              <w:rPr>
                <w:rFonts w:eastAsia="Calibri"/>
                <w:b/>
                <w:i/>
                <w:sz w:val="20"/>
                <w:szCs w:val="20"/>
              </w:rPr>
              <w:t xml:space="preserve"> </w:t>
            </w:r>
            <w:r w:rsidRPr="00984B7A">
              <w:rPr>
                <w:rFonts w:eastAsia="Calibri"/>
                <w:sz w:val="20"/>
                <w:szCs w:val="20"/>
              </w:rPr>
              <w:t xml:space="preserve"> </w:t>
            </w:r>
            <w:r w:rsidRPr="00984B7A">
              <w:rPr>
                <w:rFonts w:eastAsia="Arial"/>
                <w:sz w:val="20"/>
                <w:szCs w:val="20"/>
              </w:rPr>
              <w:t>Kindly share the expected timelines for project start.</w:t>
            </w:r>
          </w:p>
        </w:tc>
        <w:tc>
          <w:tcPr>
            <w:tcW w:w="4860" w:type="dxa"/>
          </w:tcPr>
          <w:p w14:paraId="156BA489" w14:textId="013872D1" w:rsidR="00410A09" w:rsidRPr="00984B7A" w:rsidRDefault="00984B7A" w:rsidP="00984B7A">
            <w:pPr>
              <w:rPr>
                <w:rFonts w:eastAsia="Arial"/>
                <w:sz w:val="20"/>
                <w:szCs w:val="20"/>
              </w:rPr>
            </w:pPr>
            <w:r w:rsidRPr="00984B7A">
              <w:rPr>
                <w:rFonts w:eastAsia="Arial"/>
                <w:sz w:val="20"/>
                <w:szCs w:val="20"/>
              </w:rPr>
              <w:t>We expect to begin the contract by mid-March 2025.</w:t>
            </w:r>
          </w:p>
        </w:tc>
      </w:tr>
      <w:tr w:rsidR="00410A09" w:rsidRPr="00984B7A" w14:paraId="7C56EB12" w14:textId="77777777">
        <w:tc>
          <w:tcPr>
            <w:tcW w:w="510" w:type="dxa"/>
          </w:tcPr>
          <w:p w14:paraId="0C7C5ECD" w14:textId="09EAB884" w:rsidR="00410A09" w:rsidRPr="00984B7A" w:rsidRDefault="00E520A8" w:rsidP="00984B7A">
            <w:pPr>
              <w:rPr>
                <w:rFonts w:eastAsia="Arial"/>
                <w:sz w:val="20"/>
                <w:szCs w:val="20"/>
              </w:rPr>
            </w:pPr>
            <w:r w:rsidRPr="00984B7A">
              <w:rPr>
                <w:rFonts w:eastAsia="Arial"/>
                <w:sz w:val="20"/>
                <w:szCs w:val="20"/>
              </w:rPr>
              <w:t>6</w:t>
            </w:r>
          </w:p>
        </w:tc>
        <w:tc>
          <w:tcPr>
            <w:tcW w:w="4170" w:type="dxa"/>
          </w:tcPr>
          <w:p w14:paraId="1A4D9519" w14:textId="77777777" w:rsidR="00410A09" w:rsidRPr="00984B7A" w:rsidRDefault="00000000" w:rsidP="00984B7A">
            <w:pPr>
              <w:ind w:right="40"/>
              <w:rPr>
                <w:rFonts w:eastAsia="Arial"/>
                <w:sz w:val="20"/>
                <w:szCs w:val="20"/>
              </w:rPr>
            </w:pPr>
            <w:r w:rsidRPr="00984B7A">
              <w:rPr>
                <w:rFonts w:eastAsia="Calibri"/>
                <w:sz w:val="20"/>
                <w:szCs w:val="20"/>
              </w:rPr>
              <w:t xml:space="preserve">Regarding the </w:t>
            </w:r>
            <w:r w:rsidRPr="00984B7A">
              <w:rPr>
                <w:rFonts w:eastAsia="Calibri"/>
                <w:b/>
                <w:sz w:val="20"/>
                <w:szCs w:val="20"/>
              </w:rPr>
              <w:t xml:space="preserve">Requirements and Qualifications section </w:t>
            </w:r>
            <w:r w:rsidRPr="00984B7A">
              <w:rPr>
                <w:rFonts w:eastAsia="Calibri"/>
                <w:sz w:val="20"/>
                <w:szCs w:val="20"/>
              </w:rPr>
              <w:t xml:space="preserve">of the Terms of Reference, </w:t>
            </w:r>
            <w:r w:rsidRPr="00984B7A">
              <w:rPr>
                <w:rFonts w:eastAsia="Arial"/>
                <w:sz w:val="20"/>
                <w:szCs w:val="20"/>
              </w:rPr>
              <w:t>kindly confirm if the project work is expected to be conducted completely offshore (at bidder premises). Are all resources, including the Project Manager, to be deployed offshore (at bidder premises) only?</w:t>
            </w:r>
          </w:p>
        </w:tc>
        <w:tc>
          <w:tcPr>
            <w:tcW w:w="4860" w:type="dxa"/>
          </w:tcPr>
          <w:p w14:paraId="2D5DA385" w14:textId="591641CC" w:rsidR="00410A09" w:rsidRPr="00984B7A" w:rsidRDefault="00984B7A" w:rsidP="00984B7A">
            <w:pPr>
              <w:rPr>
                <w:rFonts w:eastAsia="Arial"/>
                <w:sz w:val="20"/>
                <w:szCs w:val="20"/>
              </w:rPr>
            </w:pPr>
            <w:r w:rsidRPr="00984B7A">
              <w:rPr>
                <w:rFonts w:eastAsia="Arial"/>
                <w:sz w:val="20"/>
                <w:szCs w:val="20"/>
              </w:rPr>
              <w:t>Yes, however, regular updates and bi-weekly meetings with UNFPA are required.</w:t>
            </w:r>
          </w:p>
        </w:tc>
      </w:tr>
    </w:tbl>
    <w:p w14:paraId="2D8515DD" w14:textId="77777777" w:rsidR="00410A09" w:rsidRPr="00984B7A" w:rsidRDefault="00410A09" w:rsidP="00984B7A">
      <w:pPr>
        <w:rPr>
          <w:rFonts w:eastAsia="Arial"/>
          <w:sz w:val="20"/>
          <w:szCs w:val="20"/>
        </w:rPr>
      </w:pPr>
    </w:p>
    <w:sectPr w:rsidR="00410A09" w:rsidRPr="00984B7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4022A"/>
    <w:multiLevelType w:val="multilevel"/>
    <w:tmpl w:val="7196FC9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69A75D7"/>
    <w:multiLevelType w:val="multilevel"/>
    <w:tmpl w:val="391EBB9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C3749B4"/>
    <w:multiLevelType w:val="multilevel"/>
    <w:tmpl w:val="A8FE83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0BF6300"/>
    <w:multiLevelType w:val="multilevel"/>
    <w:tmpl w:val="6C44D70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73AF45D5"/>
    <w:multiLevelType w:val="multilevel"/>
    <w:tmpl w:val="75E8AC2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62189697">
    <w:abstractNumId w:val="4"/>
  </w:num>
  <w:num w:numId="2" w16cid:durableId="865220049">
    <w:abstractNumId w:val="1"/>
  </w:num>
  <w:num w:numId="3" w16cid:durableId="539589690">
    <w:abstractNumId w:val="2"/>
  </w:num>
  <w:num w:numId="4" w16cid:durableId="1433823138">
    <w:abstractNumId w:val="0"/>
  </w:num>
  <w:num w:numId="5" w16cid:durableId="8597809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A09"/>
    <w:rsid w:val="00410A09"/>
    <w:rsid w:val="00962194"/>
    <w:rsid w:val="00984B7A"/>
    <w:rsid w:val="00A74D4F"/>
    <w:rsid w:val="00CA62DC"/>
    <w:rsid w:val="00E52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15E84"/>
  <w15:docId w15:val="{5C597DB8-C0A0-4216-AF88-351499EAD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65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link w:val="Heading4Char"/>
    <w:uiPriority w:val="9"/>
    <w:semiHidden/>
    <w:unhideWhenUsed/>
    <w:qFormat/>
    <w:rsid w:val="00AB6CA6"/>
    <w:pPr>
      <w:spacing w:before="100" w:beforeAutospacing="1" w:after="100" w:afterAutospacing="1"/>
      <w:outlineLvl w:val="3"/>
    </w:pPr>
    <w:rPr>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02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2F9A"/>
    <w:pPr>
      <w:ind w:firstLine="420"/>
      <w:jc w:val="both"/>
    </w:pPr>
    <w:rPr>
      <w:rFonts w:ascii="Calibri" w:eastAsia="SimSun" w:hAnsi="Calibri" w:cs="Calibri"/>
      <w:sz w:val="21"/>
      <w:szCs w:val="21"/>
      <w:lang w:eastAsia="zh-CN"/>
    </w:rPr>
  </w:style>
  <w:style w:type="character" w:styleId="Hyperlink">
    <w:name w:val="Hyperlink"/>
    <w:basedOn w:val="DefaultParagraphFont"/>
    <w:uiPriority w:val="99"/>
    <w:unhideWhenUsed/>
    <w:rsid w:val="009260E0"/>
    <w:rPr>
      <w:color w:val="0563C1" w:themeColor="hyperlink"/>
      <w:u w:val="single"/>
    </w:rPr>
  </w:style>
  <w:style w:type="character" w:customStyle="1" w:styleId="UnresolvedMention1">
    <w:name w:val="Unresolved Mention1"/>
    <w:basedOn w:val="DefaultParagraphFont"/>
    <w:uiPriority w:val="99"/>
    <w:semiHidden/>
    <w:unhideWhenUsed/>
    <w:rsid w:val="009260E0"/>
    <w:rPr>
      <w:color w:val="605E5C"/>
      <w:shd w:val="clear" w:color="auto" w:fill="E1DFDD"/>
    </w:rPr>
  </w:style>
  <w:style w:type="character" w:styleId="CommentReference">
    <w:name w:val="annotation reference"/>
    <w:basedOn w:val="DefaultParagraphFont"/>
    <w:uiPriority w:val="99"/>
    <w:semiHidden/>
    <w:unhideWhenUsed/>
    <w:rsid w:val="006D7A14"/>
    <w:rPr>
      <w:sz w:val="16"/>
      <w:szCs w:val="16"/>
    </w:rPr>
  </w:style>
  <w:style w:type="paragraph" w:styleId="CommentText">
    <w:name w:val="annotation text"/>
    <w:basedOn w:val="Normal"/>
    <w:link w:val="CommentTextChar"/>
    <w:uiPriority w:val="99"/>
    <w:unhideWhenUsed/>
    <w:rsid w:val="006D7A14"/>
    <w:rPr>
      <w:sz w:val="20"/>
      <w:szCs w:val="20"/>
    </w:rPr>
  </w:style>
  <w:style w:type="character" w:customStyle="1" w:styleId="CommentTextChar">
    <w:name w:val="Comment Text Char"/>
    <w:basedOn w:val="DefaultParagraphFont"/>
    <w:link w:val="CommentText"/>
    <w:uiPriority w:val="99"/>
    <w:rsid w:val="006D7A1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D7A14"/>
    <w:rPr>
      <w:b/>
      <w:bCs/>
    </w:rPr>
  </w:style>
  <w:style w:type="character" w:customStyle="1" w:styleId="CommentSubjectChar">
    <w:name w:val="Comment Subject Char"/>
    <w:basedOn w:val="CommentTextChar"/>
    <w:link w:val="CommentSubject"/>
    <w:uiPriority w:val="99"/>
    <w:semiHidden/>
    <w:rsid w:val="006D7A14"/>
    <w:rPr>
      <w:rFonts w:ascii="Times New Roman" w:hAnsi="Times New Roman" w:cs="Times New Roman"/>
      <w:b/>
      <w:bCs/>
      <w:sz w:val="20"/>
      <w:szCs w:val="20"/>
    </w:rPr>
  </w:style>
  <w:style w:type="paragraph" w:styleId="Revision">
    <w:name w:val="Revision"/>
    <w:hidden/>
    <w:uiPriority w:val="99"/>
    <w:semiHidden/>
    <w:rsid w:val="008C566B"/>
  </w:style>
  <w:style w:type="paragraph" w:styleId="NormalWeb">
    <w:name w:val="Normal (Web)"/>
    <w:basedOn w:val="Normal"/>
    <w:uiPriority w:val="99"/>
    <w:unhideWhenUsed/>
    <w:rsid w:val="00A24BAD"/>
    <w:pPr>
      <w:spacing w:before="100" w:beforeAutospacing="1" w:after="100" w:afterAutospacing="1"/>
    </w:pPr>
    <w:rPr>
      <w:rFonts w:ascii="Calibri" w:hAnsi="Calibri" w:cs="Calibri"/>
      <w:sz w:val="22"/>
      <w:szCs w:val="22"/>
    </w:rPr>
  </w:style>
  <w:style w:type="paragraph" w:styleId="HTMLPreformatted">
    <w:name w:val="HTML Preformatted"/>
    <w:basedOn w:val="Normal"/>
    <w:link w:val="HTMLPreformattedChar"/>
    <w:uiPriority w:val="99"/>
    <w:unhideWhenUsed/>
    <w:rsid w:val="00564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5648AD"/>
    <w:rPr>
      <w:rFonts w:ascii="Courier New" w:eastAsia="Times New Roman" w:hAnsi="Courier New" w:cs="Courier New"/>
      <w:sz w:val="20"/>
      <w:szCs w:val="20"/>
    </w:rPr>
  </w:style>
  <w:style w:type="character" w:customStyle="1" w:styleId="y2iqfc">
    <w:name w:val="y2iqfc"/>
    <w:basedOn w:val="DefaultParagraphFont"/>
    <w:rsid w:val="005648AD"/>
  </w:style>
  <w:style w:type="paragraph" w:customStyle="1" w:styleId="Default">
    <w:name w:val="Default"/>
    <w:rsid w:val="00C04396"/>
    <w:pPr>
      <w:autoSpaceDE w:val="0"/>
      <w:autoSpaceDN w:val="0"/>
      <w:adjustRightInd w:val="0"/>
    </w:pPr>
    <w:rPr>
      <w:rFonts w:ascii="Arial" w:hAnsi="Arial" w:cs="Arial"/>
      <w:color w:val="000000"/>
    </w:rPr>
  </w:style>
  <w:style w:type="character" w:customStyle="1" w:styleId="UnresolvedMention2">
    <w:name w:val="Unresolved Mention2"/>
    <w:basedOn w:val="DefaultParagraphFont"/>
    <w:uiPriority w:val="99"/>
    <w:semiHidden/>
    <w:unhideWhenUsed/>
    <w:rsid w:val="00200A52"/>
    <w:rPr>
      <w:color w:val="605E5C"/>
      <w:shd w:val="clear" w:color="auto" w:fill="E1DFDD"/>
    </w:rPr>
  </w:style>
  <w:style w:type="paragraph" w:styleId="BalloonText">
    <w:name w:val="Balloon Text"/>
    <w:basedOn w:val="Normal"/>
    <w:link w:val="BalloonTextChar"/>
    <w:uiPriority w:val="99"/>
    <w:semiHidden/>
    <w:unhideWhenUsed/>
    <w:rsid w:val="00827B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7B79"/>
    <w:rPr>
      <w:rFonts w:ascii="Segoe UI" w:hAnsi="Segoe UI" w:cs="Segoe UI"/>
      <w:sz w:val="18"/>
      <w:szCs w:val="18"/>
    </w:rPr>
  </w:style>
  <w:style w:type="character" w:customStyle="1" w:styleId="cf01">
    <w:name w:val="cf01"/>
    <w:basedOn w:val="DefaultParagraphFont"/>
    <w:rsid w:val="005F6DDD"/>
    <w:rPr>
      <w:rFonts w:ascii="Segoe UI" w:hAnsi="Segoe UI" w:cs="Segoe UI" w:hint="default"/>
      <w:sz w:val="18"/>
      <w:szCs w:val="18"/>
    </w:rPr>
  </w:style>
  <w:style w:type="paragraph" w:customStyle="1" w:styleId="m104040545523772264msolistparagraph">
    <w:name w:val="m_104040545523772264msolistparagraph"/>
    <w:basedOn w:val="Normal"/>
    <w:rsid w:val="001E5835"/>
    <w:pPr>
      <w:spacing w:before="100" w:beforeAutospacing="1" w:after="100" w:afterAutospacing="1"/>
    </w:pPr>
  </w:style>
  <w:style w:type="character" w:customStyle="1" w:styleId="gmail-il">
    <w:name w:val="gmail-il"/>
    <w:basedOn w:val="DefaultParagraphFont"/>
    <w:rsid w:val="00E53D1C"/>
  </w:style>
  <w:style w:type="character" w:customStyle="1" w:styleId="Heading4Char">
    <w:name w:val="Heading 4 Char"/>
    <w:basedOn w:val="DefaultParagraphFont"/>
    <w:link w:val="Heading4"/>
    <w:uiPriority w:val="9"/>
    <w:rsid w:val="00AB6CA6"/>
    <w:rPr>
      <w:rFonts w:ascii="Times New Roman" w:eastAsia="Times New Roman" w:hAnsi="Times New Roman" w:cs="Times New Roman"/>
      <w:b/>
      <w:bCs/>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LYYhWaEYmBicWeqJL4/8ohmjUg==">CgMxLjA4AHIhMUVwdVhsYlhsTlVRMXJzazlWM0ZnMzE3aFgxNTlnVkJs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Tsetsenbaatar B</dc:creator>
  <cp:lastModifiedBy>TSETSENBAATAR BATSUURI</cp:lastModifiedBy>
  <cp:revision>4</cp:revision>
  <dcterms:created xsi:type="dcterms:W3CDTF">2024-04-23T08:54:00Z</dcterms:created>
  <dcterms:modified xsi:type="dcterms:W3CDTF">2025-01-28T09:02:00Z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9e9749d32619689eb99cff9dcf6fdb0dad461a4e4cba369f2cae4c9d60309484</vt:lpwstr>
  </property>
</Properties>
</file>