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color w:val="666666"/>
          <w:sz w:val="16"/>
          <w:szCs w:val="16"/>
          <w:shd w:fill="d9d9d9" w:val="clear"/>
          <w:rtl w:val="0"/>
        </w:rPr>
        <w:t xml:space="preserve">LIB/UNOPS/PLASTIC WASTE MANAGEMENT/2025/002</w:t>
      </w:r>
      <w:r w:rsidDel="00000000" w:rsidR="00000000" w:rsidRPr="00000000">
        <w:rPr>
          <w:sz w:val="17"/>
          <w:szCs w:val="17"/>
          <w:rtl w:val="0"/>
        </w:rPr>
        <w:t xml:space="preserve">, dated </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 no.:</w:t>
    </w:r>
    <w:r w:rsidDel="00000000" w:rsidR="00000000" w:rsidRPr="00000000">
      <w:rPr>
        <w:color w:val="666666"/>
        <w:sz w:val="16"/>
        <w:szCs w:val="16"/>
        <w:shd w:fill="d9d9d9" w:val="clear"/>
        <w:rtl w:val="0"/>
      </w:rPr>
      <w:t xml:space="preserve">LIB/UNOPS/PLASTIC WASTE MANAGEMENT/2025/002</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interagencystandingcommittee.org/sites/default/files/migrated/2021-12/Principles%20of%20Partnership%20%28by%20Global%20Humanitarian%20Platform%29.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mI73Y6xRJnQ8XMeRAcQNbS3WuA==">CgMxLjAyCGguZ2pkZ3hzMgloLjMwajB6bGwyCWguMWZvYjl0ZTgAciExNVFyLU5mU09XcUNWT2p5bk1sMHJjMV8ybks1aGJCN00=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