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II: Schedule of Requirements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highlight w:val="green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Technical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specifications for Goods and Comparative Data 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0"/>
        <w:gridCol w:w="7575"/>
        <w:gridCol w:w="1485"/>
        <w:tblGridChange w:id="0">
          <w:tblGrid>
            <w:gridCol w:w="810"/>
            <w:gridCol w:w="7575"/>
            <w:gridCol w:w="1485"/>
          </w:tblGrid>
        </w:tblGridChange>
      </w:tblGrid>
      <w:tr>
        <w:trPr>
          <w:cantSplit w:val="0"/>
          <w:trHeight w:val="58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technical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FLAK Jackets - XXX-Large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Protection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NIJ 0101.06 III+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Adjustable from 38" To 48" Chest Size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Outer cover manufactured from tough, lightweight, nylon fabric,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Durable Emergency Drag Handle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Anti-slip Shoulder Padding With Velcro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Side Release Buckles On The Internal Waist Strap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Padded Mesh Separators For The Interior Of The Carrier For Breathability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Fits front and back Cut Plates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Horizontal VELCRO strip on the upper chest and back 10cmx 25cm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1000 Denier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/500D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Bottom Loading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Colour: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Blue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Hard Armour Upgrade Plates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 protection level 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NIJ 0101.06 III+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combined with above. soft armour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back plates material should be Polyethylene (PE)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Set consisting of: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1X multi-curved front chest plate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x back plate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Supplied with: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Carrying Case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Rear Evacuation Handle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Maintenance, fitting and adjustment guide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FLAK Jackets - XX-Large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Protection Level NIJ 0101.04 IIIA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 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NIJ 0101.06 III+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Adjustable from 38" To 48" Chest Size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Outer cover manufactured from tough, lightweight, nylon fabric,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Durable Emergency Drag Handle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Anti-slip Shoulder Padding With Velcro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Side Release Buckles On The Internal Waist Strap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Padded Mesh Separators For The Interior Of The Carrier For Breathability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Fits front and back Cut Plates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Horizontal VELCRO strip on the upper chest and back 10cmx 25cm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1000 Denier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/500D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Bottom Loading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Colour: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Blue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72</w:t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Hard Armour Upgrade Plates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 protection level 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NIJ 0101.06 III+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combined with above. soft armour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Set consisting of: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1X multi-curved front chest plate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x back plate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Supplied with: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Carrying Case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Rear Evacuation Handle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Maintenance, fitting and adjustment guide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FLAK Jackets - X-Large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Protection Level 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or NIJ 0101.06 III+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Adjustable from 38" To 48" Chest Size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Outer cover manufactured from tough, lightweight, nylon fabric,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Durable Emergency Drag Handle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Anti-slip Shoulder Padding With Velcro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Side Release Buckles On The Internal Waist Strap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Padded Mesh Separators For The Interior Of The Carrier For Breathability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Fits front and back Cut Plates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Horizontal VELCRO strip on the upper chest and back 10cmx 25cm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1000 Denier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/500D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Bottom Loading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Colour: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Blue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61</w:t>
            </w:r>
          </w:p>
          <w:p w:rsidR="00000000" w:rsidDel="00000000" w:rsidP="00000000" w:rsidRDefault="00000000" w:rsidRPr="00000000" w14:paraId="0000005F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Hard Armour Upgrade Plates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 protection level NIJ 0101.04 IIIA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r NIJ 0101.06 III+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combined with above. soft armour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Set consisting of: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1X multi-curved front chest plate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x back plate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Supplied with: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Carrying Case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Rear Evacuation Handle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Maintenance, fitting and adjustment guide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FLAK Jackets - Large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Protection Level 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or NIJ 0101.06 III+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Adjustable from 38" To 48" Chest Size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Outer cover manufactured from tough, lightweight, nylon fabric, 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Durable Emergency Drag Handle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Anti-slip Shoulder Padding With Velcro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Side Release Buckles On The Internal Waist Strap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Padded Mesh Separators For The Interior Of The Carrier For Breathability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Fits front and back Cut Plates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Horizontal VELCRO strip on the upper chest and back 10cmx 25cm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1000 Denier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/500D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Bottom Loading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Colour: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Blue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44</w:t>
            </w:r>
          </w:p>
        </w:tc>
      </w:tr>
      <w:tr>
        <w:trPr>
          <w:cantSplit w:val="0"/>
          <w:trHeight w:val="1304.882812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Hard Armour Upgrade Plates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 protection level 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NIJ 0101.06 III+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combined with above. soft armour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Set consisting of: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1X multi-curved front chest plate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x back plate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Supplied with: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Carrying Case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Rear Evacuation Handle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Maintenance, fitting and adjustment guide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FLAK Jackets - Medium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Protection Level 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or NIJ 0101.06 III+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Adjustable from 38" To 48" Chest Size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Outer cover manufactured from tough, lightweight, nylon fabric,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Durable Emergency Drag Handle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Anti-slip Shoulder Padding With Velcro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Side Release Buckles On The Internal Waist Strap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Padded Mesh Separators For The Interior Of The Carrier For Breathability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Fits front and back Cut Plates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Horizontal VELCRO strip on the upper chest and back 10cmx 25cm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1000 Denier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/500D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Bottom Loading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Colour: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Blue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98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Hard Armour Upgrade Plates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 protection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NIJ 0101.04 IIIA 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 NIJ 0101.06 III+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combined with above. soft armour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Set consisting of: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1X multi-curved front chest plate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x back plate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Supplied with: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Carrying Case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Rear Evacuation Handle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Maintenance, fitting and adjustment guide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6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FLAK Jackets - Small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Protection Level 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or NIJ 0101.06 III+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Adjustable from 38" To 48" Chest Size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Outer cover manufactured from tough, lightweight, nylon fabric, 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Durable Emergency Drag Handle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Anti-slip Shoulder Padding With Velcro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Side Release Buckles On The Internal Waist Strap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Padded Mesh Separators For The Interior Of The Carrier For Breathability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Fits front and back Cut Plates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Horizontal VELCRO strip on the upper chest and back 10cmx 25cm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1000 Denier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/500D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pBdr>
                <w:top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Bottom Loading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Colour: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Blue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B4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Hard Armour Upgrade Plates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 protection level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NIJ 0101.04 IIIA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highlight w:val="white"/>
                <w:rtl w:val="0"/>
              </w:rPr>
              <w:t xml:space="preserve">NIJ 0101.06 III+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combined with above. soft armour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3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Set consisting of: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1X multi-curved front chest plate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3"/>
              </w:numPr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 x back plate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Supplied with: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Carrying Case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Rear Evacuation Handle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Maintenance, fitting and adjustment guide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Ballistic helmets/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HIGH CUT BALLISTIC HELMET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- X-Large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NIJ Standard-0106.01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Resistant level IIIA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Protection level NIJ IIIA 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The helmet material shall be PE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Water, oil and vibration resistant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Temperature, altitude and pressure stable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Improved internal pad system for easy adjustment and improved wearer comfort 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Air gap between pads and shell provides excellent ventilation and improved sweat management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Non magnetic, non corrosive parts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Multiple point adjustable harness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Quick release buckles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Colour: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Blue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</w:t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Ballistic helmets/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HIGH CUT BALLISTIC HELMET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- Large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NIJ Standard-0106.01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Resistant level IIIA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Protection level NIJ IIIA </w:t>
            </w:r>
          </w:p>
          <w:p w:rsidR="00000000" w:rsidDel="00000000" w:rsidP="00000000" w:rsidRDefault="00000000" w:rsidRPr="00000000" w14:paraId="000000D6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The helmet material shall be PE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Water, oil and vibration resistant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Temperature, altitude and pressure stable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Improved internal pad system for easy adjustment and improved wearer comfort 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Air gap between pads and shell provides excellent ventilation and improved sweat management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Non magnetic, non corrosive parts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Multiple point adjustable harness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Quick release buckles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Colour: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Blue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Ballistic helmets/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HIGH CUT BALLISTIC HELMET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- Medium - UK//EU/US standard size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NIJ Standard-0106.01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Resistant level IIIA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Protection level NIJ IIIA </w:t>
            </w:r>
          </w:p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The helmet material shall be PE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Water, oil and vibration resistant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Temperature, altitude and pressure stable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Improved internal pad system for easy adjustment and improved wearer comfort 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Air gap between pads and shell provides excellent ventilation and improved sweat management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Non magnetic, non corrosive parts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Multiple point adjustable harness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Quick release buckles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Colour: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Blue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</w:tr>
    </w:tbl>
    <w:p w:rsidR="00000000" w:rsidDel="00000000" w:rsidP="00000000" w:rsidRDefault="00000000" w:rsidRPr="00000000" w14:paraId="000000EF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requirements and Comparative Data Table:</w:t>
      </w:r>
      <w:r w:rsidDel="00000000" w:rsidR="00000000" w:rsidRPr="00000000">
        <w:rPr>
          <w:rtl w:val="0"/>
        </w:rPr>
      </w:r>
    </w:p>
    <w:tbl>
      <w:tblPr>
        <w:tblStyle w:val="Table2"/>
        <w:tblW w:w="9765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3765"/>
        <w:gridCol w:w="2190"/>
        <w:gridCol w:w="2115"/>
        <w:tblGridChange w:id="0">
          <w:tblGrid>
            <w:gridCol w:w="1695"/>
            <w:gridCol w:w="3765"/>
            <w:gridCol w:w="2190"/>
            <w:gridCol w:w="2115"/>
          </w:tblGrid>
        </w:tblGridChange>
      </w:tblGrid>
      <w:tr>
        <w:trPr>
          <w:cantSplit w:val="0"/>
          <w:trHeight w:val="30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UNOPS Requirements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  <w:t xml:space="preserve">Bidder shall deliver the goods within </w:t>
            </w:r>
            <w:r w:rsidDel="00000000" w:rsidR="00000000" w:rsidRPr="00000000">
              <w:rPr>
                <w:color w:val="222222"/>
                <w:rtl w:val="0"/>
              </w:rPr>
              <w:t xml:space="preserve">12</w:t>
            </w:r>
            <w:r w:rsidDel="00000000" w:rsidR="00000000" w:rsidRPr="00000000">
              <w:rPr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weeks after Contract signature (including export license permit approval).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  <w:t xml:space="preserve">CPT (Incoterm 2020) to Kabul International airport.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rPr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rPr>
                <w:highlight w:val="yellow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UNOPS office, UNOCA Compound, Kabul Afghanistan.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rPr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rPr>
                <w:highlight w:val="yellow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Manufacturer's Authorization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  <w:t xml:space="preserve">If a Bidder does not manufacture the goods it offers to supply, he/she shall submit the Manufacturer’s Authorization using the form included in Section III: Returnable Bidding Forms (Form G) to demonstrate that it has been duly authorized by the manufacturer or producer of the goods to supply these goods in the country of destination.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rPr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rPr>
                <w:highlight w:val="yellow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Environmental sustainability - Product life cycle extension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  <w:t xml:space="preserve">The bidder shall demonstrate that packaging material includes recycled content (e.g. recycled cardboard) and that use of single-use plastic is avoided or minimised. Bidder shall provide a written statement that includes the applicable parts that are replaceable. A guarantee of the continued availability of spare parts.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rPr>
                <w:highlight w:val="yellow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  <w:t xml:space="preserve">At the time the Contract is awarded, UNOPS reserves the right to vary the quantity of the goods and associated services specified above, provided this does not exceed +/- 20%,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720"/>
          <w:tab w:val="left" w:leader="none" w:pos="0"/>
          <w:tab w:val="left" w:leader="none" w:pos="720"/>
          <w:tab w:val="right" w:leader="none" w:pos="8640"/>
        </w:tabs>
        <w:spacing w:after="0" w:before="0" w:line="240" w:lineRule="auto"/>
        <w:ind w:right="0"/>
        <w:jc w:val="left"/>
        <w:rPr>
          <w:color w:val="222222"/>
          <w:sz w:val="22"/>
          <w:szCs w:val="22"/>
          <w:highlight w:val="cyan"/>
        </w:rPr>
      </w:pPr>
      <w:r w:rsidDel="00000000" w:rsidR="00000000" w:rsidRPr="00000000">
        <w:rPr>
          <w:color w:val="222222"/>
          <w:sz w:val="22"/>
          <w:szCs w:val="22"/>
          <w:highlight w:val="cyan"/>
          <w:rtl w:val="0"/>
        </w:rPr>
        <w:t xml:space="preserve">                                                                           </w:t>
      </w:r>
    </w:p>
    <w:sectPr>
      <w:headerReference r:id="rId7" w:type="defaul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MS Gothic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1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475" cy="144000"/>
                <wp:effectExtent b="0" l="0" r="0" t="0"/>
                <wp:docPr id="2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0">
    <w:pPr>
      <w:tabs>
        <w:tab w:val="center" w:leader="none" w:pos="4320"/>
        <w:tab w:val="right" w:leader="none" w:pos="8640"/>
      </w:tabs>
      <w:rPr/>
    </w:pPr>
    <w:r w:rsidDel="00000000" w:rsidR="00000000" w:rsidRPr="00000000">
      <w:rPr>
        <w:rFonts w:ascii="Open Sans" w:cs="Open Sans" w:eastAsia="Open Sans" w:hAnsi="Open Sans"/>
        <w:b w:val="1"/>
        <w:sz w:val="28"/>
        <w:szCs w:val="28"/>
      </w:rPr>
      <w:drawing>
        <wp:inline distB="114300" distT="114300" distL="114300" distR="114300">
          <wp:extent cx="1459256" cy="211388"/>
          <wp:effectExtent b="0" l="0" r="0" t="0"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9256" cy="2113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111">
          <w:pP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sz w:val="18"/>
              <w:szCs w:val="18"/>
            </w:rPr>
          </w:pP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UNOPS eSourcing No. RFQ/2024/55347</w:t>
          </w:r>
        </w:p>
      </w:tc>
    </w:tr>
  </w:tbl>
  <w:p w:rsidR="00000000" w:rsidDel="00000000" w:rsidP="00000000" w:rsidRDefault="00000000" w:rsidRPr="00000000" w14:paraId="00000112">
    <w:pPr>
      <w:tabs>
        <w:tab w:val="center" w:leader="none" w:pos="4320"/>
        <w:tab w:val="right" w:leader="none" w:pos="8640"/>
      </w:tabs>
      <w:rPr>
        <w:b w:val="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k2KD1YgXesrhvxXol1QcTjyE7A==">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2021-11-08T08:48:00Z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>TaxKeyword</vt:lpwstr>
  </property>
  <property fmtid="{D5CDD505-2E9C-101B-9397-08002B2CF9AE}" pid="4" name="OrganisationalUnits">
    <vt:lpwstr>OrganisationalUnits</vt:lpwstr>
  </property>
  <property fmtid="{D5CDD505-2E9C-101B-9397-08002B2CF9AE}" pid="5" name="Language/s">
    <vt:lpwstr>;#English;#</vt:lpwstr>
  </property>
  <property fmtid="{D5CDD505-2E9C-101B-9397-08002B2CF9AE}" pid="6" name="Order">
    <vt:lpwstr>2900</vt:lpwstr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>Countries</vt:lpwstr>
  </property>
  <property fmtid="{D5CDD505-2E9C-101B-9397-08002B2CF9AE}" pid="11" name="Projects">
    <vt:lpwstr>Projects</vt:lpwstr>
  </property>
  <property fmtid="{D5CDD505-2E9C-101B-9397-08002B2CF9AE}" pid="12" name="pedea19abc6845ea96270dfcb5610e80">
    <vt:lpwstr>pedea19abc6845ea96270dfcb5610e80</vt:lpwstr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>Use_x0020_this_x0020_site_x0020_column_x0020_to_x0020_draw_x0020_from_x0020_managed_x0020_metadata_x0020_for_x0020_defining_x0020_communications_x0020_documents_x002e_Type_x0020_of_x0020_report</vt:lpwstr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>TaxKeywordTaxHTField</vt:lpwstr>
  </property>
  <property fmtid="{D5CDD505-2E9C-101B-9397-08002B2CF9AE}" pid="17" name="d965deffccfe49e69c9da10df9c2d4f9">
    <vt:lpwstr>d965deffccfe49e69c9da10df9c2d4f9</vt:lpwstr>
  </property>
  <property fmtid="{D5CDD505-2E9C-101B-9397-08002B2CF9AE}" pid="18" name="ha90e443468f4145aba582d53873a577">
    <vt:lpwstr>ha90e443468f4145aba582d53873a577</vt:lpwstr>
  </property>
  <property fmtid="{D5CDD505-2E9C-101B-9397-08002B2CF9AE}" pid="19" name="i4a0c0ffdeba458aaa2390bd69b63c92">
    <vt:lpwstr>i4a0c0ffdeba458aaa2390bd69b63c92</vt:lpwstr>
  </property>
  <property fmtid="{D5CDD505-2E9C-101B-9397-08002B2CF9AE}" pid="20" name="h8e7aaa3f16f4245b92bce68bb3d1e55">
    <vt:lpwstr>h8e7aaa3f16f4245b92bce68bb3d1e55</vt:lpwstr>
  </property>
  <property fmtid="{D5CDD505-2E9C-101B-9397-08002B2CF9AE}" pid="21" name="g1cd34e936aa41bc9443e4d148a862c1">
    <vt:lpwstr>g1cd34e936aa41bc9443e4d148a862c1</vt:lpwstr>
  </property>
  <property fmtid="{D5CDD505-2E9C-101B-9397-08002B2CF9AE}" pid="22" name="Type_x0020_of_x0020_plan_x0020_or_x0020_strategy">
    <vt:lpwstr>Type_x0020_of_x0020_plan_x0020_or_x0020_strategy</vt:lpwstr>
  </property>
  <property fmtid="{D5CDD505-2E9C-101B-9397-08002B2CF9AE}" pid="23" name="f2c2bed3e89641f1938cb68b56208236">
    <vt:lpwstr>f2c2bed3e89641f1938cb68b56208236</vt:lpwstr>
  </property>
  <property fmtid="{D5CDD505-2E9C-101B-9397-08002B2CF9AE}" pid="24" name="h136076126ec44229919509fd88b3de6">
    <vt:lpwstr>h136076126ec44229919509fd88b3de6</vt:lpwstr>
  </property>
  <property fmtid="{D5CDD505-2E9C-101B-9397-08002B2CF9AE}" pid="25" name="Type_x0020_of_x0020_admin_x0020_document">
    <vt:lpwstr>Type_x0020_of_x0020_admin_x0020_document</vt:lpwstr>
  </property>
  <property fmtid="{D5CDD505-2E9C-101B-9397-08002B2CF9AE}" pid="26" name="dd48bc4baf194ba785dbddff202dd144">
    <vt:lpwstr>dd48bc4baf194ba785dbddff202dd144</vt:lpwstr>
  </property>
  <property fmtid="{D5CDD505-2E9C-101B-9397-08002B2CF9AE}" pid="27" name="Type_x0020_of_x0020_meeting_x0020_document">
    <vt:lpwstr>Type_x0020_of_x0020_meeting_x0020_document</vt:lpwstr>
  </property>
  <property fmtid="{D5CDD505-2E9C-101B-9397-08002B2CF9AE}" pid="28" name="Tags">
    <vt:lpwstr>Tags</vt:lpwstr>
  </property>
  <property fmtid="{D5CDD505-2E9C-101B-9397-08002B2CF9AE}" pid="29" name="bb7c361188a940138612c57da090ccbf">
    <vt:lpwstr>bb7c361188a940138612c57da090ccbf</vt:lpwstr>
  </property>
  <property fmtid="{D5CDD505-2E9C-101B-9397-08002B2CF9AE}" pid="30" name="Type_x0020_of_x0020_agreement">
    <vt:lpwstr>Type_x0020_of_x0020_agreement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Clients">
    <vt:lpwstr>Clients</vt:lpwstr>
  </property>
  <property fmtid="{D5CDD505-2E9C-101B-9397-08002B2CF9AE}" pid="33" name="Type of mission document">
    <vt:lpwstr>Type of mission document</vt:lpwstr>
  </property>
  <property fmtid="{D5CDD505-2E9C-101B-9397-08002B2CF9AE}" pid="34" name="Type of agreement">
    <vt:lpwstr>Type of agreement</vt:lpwstr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>Type of plan or strategy</vt:lpwstr>
  </property>
  <property fmtid="{D5CDD505-2E9C-101B-9397-08002B2CF9AE}" pid="37" name="Type of admin document">
    <vt:lpwstr>Type of admin document</vt:lpwstr>
  </property>
  <property fmtid="{D5CDD505-2E9C-101B-9397-08002B2CF9AE}" pid="38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9" name="Type of meeting document">
    <vt:lpwstr>Type of meeting document</vt:lpwstr>
  </property>
</Properties>
</file>