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keepNext w:val="1"/>
        <w:keepLines w:val="1"/>
        <w:tabs>
          <w:tab w:val="left" w:leader="none" w:pos="-1440"/>
          <w:tab w:val="left" w:leader="none" w:pos="7200"/>
          <w:tab w:val="left" w:leader="none" w:pos="-1440"/>
          <w:tab w:val="left" w:leader="none" w:pos="7200"/>
          <w:tab w:val="left" w:leader="none" w:pos="-1440"/>
          <w:tab w:val="left" w:leader="none" w:pos="7200"/>
        </w:tabs>
        <w:spacing w:after="1800" w:line="276" w:lineRule="auto"/>
        <w:ind w:left="0" w:right="0"/>
        <w:jc w:val="center"/>
        <w:rPr>
          <w:i w:val="1"/>
        </w:rPr>
      </w:pPr>
      <w:bookmarkStart w:colFirst="0" w:colLast="0" w:name="_heading=h.po2vaezgviq0" w:id="0"/>
      <w:bookmarkEnd w:id="0"/>
      <w:r w:rsidDel="00000000" w:rsidR="00000000" w:rsidRPr="00000000">
        <w:rPr>
          <w:rFonts w:ascii="Arial" w:cs="Arial" w:eastAsia="Arial" w:hAnsi="Arial"/>
          <w:color w:val="0d0d0d"/>
          <w:sz w:val="36"/>
          <w:szCs w:val="36"/>
          <w:rtl w:val="0"/>
        </w:rPr>
        <w:t xml:space="preserve">Termo de Confidencialidade para acesso ao Material Técnico da Licitação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after="280" w:before="28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widowControl w:val="0"/>
        <w:rPr/>
      </w:pPr>
      <w:bookmarkStart w:colFirst="0" w:colLast="0" w:name="_heading=h.89355wxdrgv0" w:id="1"/>
      <w:bookmarkEnd w:id="1"/>
      <w:r w:rsidDel="00000000" w:rsidR="00000000" w:rsidRPr="00000000">
        <w:rPr>
          <w:rtl w:val="0"/>
        </w:rPr>
        <w:t xml:space="preserve">INSTRUÇÕES:</w:t>
        <w:tab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Concordar com e assinar o documento de Termo de Confidencialidade detalhado abaixo;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Enviar o documento assinado para o email: </w:t>
      </w:r>
      <w:hyperlink r:id="rId7">
        <w:r w:rsidDel="00000000" w:rsidR="00000000" w:rsidRPr="00000000">
          <w:rPr>
            <w:b w:val="1"/>
            <w:u w:val="single"/>
            <w:shd w:fill="fff2cc" w:val="clear"/>
            <w:rtl w:val="0"/>
          </w:rPr>
          <w:t xml:space="preserve">comprasbr@unops.org</w:t>
        </w:r>
      </w:hyperlink>
      <w:r w:rsidDel="00000000" w:rsidR="00000000" w:rsidRPr="00000000">
        <w:rPr>
          <w:b w:val="1"/>
          <w:shd w:fill="fff2cc" w:val="clear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Após encaminhar o termo assinado, o licitante receberá, por e-mail, um link para acessar os arquivos do Material Técnico;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É obrigatória a consulta aos projetos, planilhas, memoriais descritivos e demais materiais técnicos relativos à obra antes da submissão de propostas;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 visita ao local onde será executada a obra é facultativa.</w:t>
      </w:r>
    </w:p>
    <w:p w:rsidR="00000000" w:rsidDel="00000000" w:rsidP="00000000" w:rsidRDefault="00000000" w:rsidRPr="00000000" w14:paraId="0000000A">
      <w:pPr>
        <w:pStyle w:val="Heading1"/>
        <w:widowControl w:val="0"/>
        <w:spacing w:before="91" w:line="244" w:lineRule="auto"/>
        <w:ind w:right="35"/>
        <w:jc w:val="both"/>
        <w:rPr/>
      </w:pPr>
      <w:bookmarkStart w:colFirst="0" w:colLast="0" w:name="_heading=h.bsbqxgc3frv9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widowControl w:val="0"/>
        <w:spacing w:before="91" w:line="244" w:lineRule="auto"/>
        <w:ind w:right="35"/>
        <w:jc w:val="both"/>
        <w:rPr>
          <w:highlight w:val="white"/>
        </w:rPr>
      </w:pPr>
      <w:bookmarkStart w:colFirst="0" w:colLast="0" w:name="_heading=h.8vfelc69yh0i" w:id="3"/>
      <w:bookmarkEnd w:id="3"/>
      <w:r w:rsidDel="00000000" w:rsidR="00000000" w:rsidRPr="00000000">
        <w:rPr>
          <w:color w:val="5291c8"/>
          <w:rtl w:val="0"/>
        </w:rPr>
        <w:t xml:space="preserve">Termo de Confidencialidade/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5291c8"/>
          <w:rtl w:val="0"/>
        </w:rPr>
        <w:t xml:space="preserve">Declaração de não-conflito de interesse para licitantes interessadas em participar da </w:t>
      </w:r>
      <w:r w:rsidDel="00000000" w:rsidR="00000000" w:rsidRPr="00000000">
        <w:rPr>
          <w:rtl w:val="0"/>
        </w:rPr>
        <w:t xml:space="preserve">ITB</w:t>
      </w:r>
      <w:r w:rsidDel="00000000" w:rsidR="00000000" w:rsidRPr="00000000">
        <w:rPr>
          <w:color w:val="5291c8"/>
          <w:rtl w:val="0"/>
        </w:rPr>
        <w:t xml:space="preserve">/2024</w:t>
      </w:r>
      <w:r w:rsidDel="00000000" w:rsidR="00000000" w:rsidRPr="00000000">
        <w:rPr>
          <w:color w:val="5291c8"/>
          <w:highlight w:val="white"/>
          <w:rtl w:val="0"/>
        </w:rPr>
        <w:t xml:space="preserve">/</w:t>
      </w:r>
      <w:r w:rsidDel="00000000" w:rsidR="00000000" w:rsidRPr="00000000">
        <w:rPr>
          <w:highlight w:val="white"/>
          <w:rtl w:val="0"/>
        </w:rPr>
        <w:t xml:space="preserve">54669</w:t>
      </w:r>
      <w:r w:rsidDel="00000000" w:rsidR="00000000" w:rsidRPr="00000000">
        <w:rPr>
          <w:color w:val="5291c8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before="243" w:line="249" w:lineRule="auto"/>
        <w:ind w:right="101"/>
        <w:jc w:val="both"/>
        <w:rPr/>
      </w:pPr>
      <w:r w:rsidDel="00000000" w:rsidR="00000000" w:rsidRPr="00000000">
        <w:rPr>
          <w:b w:val="1"/>
          <w:rtl w:val="0"/>
        </w:rPr>
        <w:t xml:space="preserve">Projeto: </w:t>
      </w:r>
      <w:r w:rsidDel="00000000" w:rsidR="00000000" w:rsidRPr="00000000">
        <w:rPr>
          <w:i w:val="1"/>
          <w:rtl w:val="0"/>
        </w:rPr>
        <w:t xml:space="preserve">24330 “Fortalecimento da gestão em infraestrutura da educação para povos tradicionais no Brasil”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D">
      <w:pPr>
        <w:widowControl w:val="0"/>
        <w:jc w:val="both"/>
        <w:rPr>
          <w:i w:val="1"/>
        </w:rPr>
      </w:pPr>
      <w:r w:rsidDel="00000000" w:rsidR="00000000" w:rsidRPr="00000000">
        <w:rPr>
          <w:b w:val="1"/>
          <w:rtl w:val="0"/>
        </w:rPr>
        <w:t xml:space="preserve">Referência de caso: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ITB/2024/54669 | </w:t>
      </w:r>
      <w:r w:rsidDel="00000000" w:rsidR="00000000" w:rsidRPr="00000000">
        <w:rPr>
          <w:i w:val="1"/>
          <w:rtl w:val="0"/>
        </w:rPr>
        <w:t xml:space="preserve">“Serviço de estudos e diagnósticos in loco de obras paralisadas, serviço de análise, revisão, adaptação e complementação dos projetos executivos existentes e execução de obras para finalização e entrega de 9 (nove) escolas indígenas no estado do Pará”.</w:t>
      </w:r>
    </w:p>
    <w:p w:rsidR="00000000" w:rsidDel="00000000" w:rsidP="00000000" w:rsidRDefault="00000000" w:rsidRPr="00000000" w14:paraId="0000000E">
      <w:pPr>
        <w:widowControl w:val="0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Nota: Qualquer alteração das informações contidas e declaradas neste documento o invalidará para aceite pelo UNOPS.</w:t>
      </w:r>
    </w:p>
    <w:p w:rsidR="00000000" w:rsidDel="00000000" w:rsidP="00000000" w:rsidRDefault="00000000" w:rsidRPr="00000000" w14:paraId="00000010">
      <w:pPr>
        <w:widowControl w:val="0"/>
        <w:spacing w:before="11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jc w:val="both"/>
        <w:rPr/>
      </w:pPr>
      <w:r w:rsidDel="00000000" w:rsidR="00000000" w:rsidRPr="00000000">
        <w:rPr>
          <w:rtl w:val="0"/>
        </w:rPr>
        <w:t xml:space="preserve">Eu, abaixo assinado, e representante da empresa designada abaixo, venho, por meio desta e em nome da empresa, declarar que assumo o compromisso de manter </w:t>
      </w:r>
      <w:r w:rsidDel="00000000" w:rsidR="00000000" w:rsidRPr="00000000">
        <w:rPr>
          <w:b w:val="1"/>
          <w:rtl w:val="0"/>
        </w:rPr>
        <w:t xml:space="preserve">confidencialidade</w:t>
      </w:r>
      <w:r w:rsidDel="00000000" w:rsidR="00000000" w:rsidRPr="00000000">
        <w:rPr>
          <w:rtl w:val="0"/>
        </w:rPr>
        <w:t xml:space="preserve"> e </w:t>
      </w:r>
      <w:r w:rsidDel="00000000" w:rsidR="00000000" w:rsidRPr="00000000">
        <w:rPr>
          <w:b w:val="1"/>
          <w:rtl w:val="0"/>
        </w:rPr>
        <w:t xml:space="preserve">sigilo</w:t>
      </w:r>
      <w:r w:rsidDel="00000000" w:rsidR="00000000" w:rsidRPr="00000000">
        <w:rPr>
          <w:rtl w:val="0"/>
        </w:rPr>
        <w:t xml:space="preserve">, sobre </w:t>
      </w:r>
      <w:r w:rsidDel="00000000" w:rsidR="00000000" w:rsidRPr="00000000">
        <w:rPr>
          <w:b w:val="1"/>
          <w:rtl w:val="0"/>
        </w:rPr>
        <w:t xml:space="preserve">TODAS</w:t>
      </w:r>
      <w:r w:rsidDel="00000000" w:rsidR="00000000" w:rsidRPr="00000000">
        <w:rPr>
          <w:rtl w:val="0"/>
        </w:rPr>
        <w:t xml:space="preserve"> as informações técnicas e outras relacionadas aos Projetos Básicos de Arquitetura e Complementares, estudos e documentos técnicos que me foram fornecidos para subsidiar o fornecimento de informações e preços de mercado para a licitação acima supracitada. Por este termo de  Confidencialidade. Dessa forma, comprometo-me:</w:t>
      </w:r>
    </w:p>
    <w:p w:rsidR="00000000" w:rsidDel="00000000" w:rsidP="00000000" w:rsidRDefault="00000000" w:rsidRPr="00000000" w14:paraId="00000012">
      <w:pPr>
        <w:widowControl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 não utilizar QUAISQUER informações (Técnicas, Gerenciais e Financeiras), confidenciais ou não, a que tiver acesso, para gerar benefício próprio exclusivo e/ou unilateral, presente ou futuro, ou para o uso de terceiros;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 não efetuar nenhuma gravação ou cópia da documentação a que tiver acesso;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 não apropriar para mim ou para outrem de QUALQUER material técnico, gerencial ou administrativo que venha a ser disponível;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 não repassar o conhecimento das informações, responsabilizando-me por todas as pessoas que vierem a ter acesso às informações, por seu intermédio, e obrigando-me, assim, a ressarcir a ocorrência de qualquer dano e/ou prejuízo oriundo de uma eventual quebra de sigilo ou confidencialidade de todas as informações fornecidas;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Em cuidar para que as informações confidenciais fiquem restritas ao conhecimento tão somente das pessoas que estejam diretamente envolvidas nas discussões, análises, reuniões e negócios, devendo cientificá-los da existência deste Termo e da natureza confidencial destas informações;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não entrar em contato com a projetista e profissionais autores do material técnico do presente ITB.</w:t>
      </w:r>
    </w:p>
    <w:p w:rsidR="00000000" w:rsidDel="00000000" w:rsidP="00000000" w:rsidRDefault="00000000" w:rsidRPr="00000000" w14:paraId="00000019">
      <w:pPr>
        <w:widowControl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jc w:val="both"/>
        <w:rPr/>
      </w:pPr>
      <w:r w:rsidDel="00000000" w:rsidR="00000000" w:rsidRPr="00000000">
        <w:rPr>
          <w:rtl w:val="0"/>
        </w:rPr>
        <w:t xml:space="preserve">Declaro ainda ter ciência de que todos os documentos, relatórios e dados fornecidos, compilados ou preparados são de propriedade do UNOPS.</w:t>
      </w:r>
    </w:p>
    <w:p w:rsidR="00000000" w:rsidDel="00000000" w:rsidP="00000000" w:rsidRDefault="00000000" w:rsidRPr="00000000" w14:paraId="0000001B">
      <w:pPr>
        <w:widowControl w:val="0"/>
        <w:spacing w:before="1" w:lineRule="auto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1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before="1" w:line="276" w:lineRule="auto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__________________________________________</w:t>
        <w:tab/>
      </w:r>
    </w:p>
    <w:p w:rsidR="00000000" w:rsidDel="00000000" w:rsidP="00000000" w:rsidRDefault="00000000" w:rsidRPr="00000000" w14:paraId="00000022">
      <w:pPr>
        <w:widowControl w:val="0"/>
        <w:spacing w:line="276" w:lineRule="auto"/>
        <w:ind w:left="620"/>
        <w:rPr/>
      </w:pPr>
      <w:r w:rsidDel="00000000" w:rsidR="00000000" w:rsidRPr="00000000">
        <w:rPr>
          <w:rtl w:val="0"/>
        </w:rPr>
        <w:t xml:space="preserve">Assinatura</w:t>
      </w:r>
    </w:p>
    <w:p w:rsidR="00000000" w:rsidDel="00000000" w:rsidP="00000000" w:rsidRDefault="00000000" w:rsidRPr="00000000" w14:paraId="00000023">
      <w:pPr>
        <w:widowControl w:val="0"/>
        <w:spacing w:line="249" w:lineRule="auto"/>
        <w:ind w:left="620" w:right="35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49" w:lineRule="auto"/>
        <w:ind w:left="620" w:right="35"/>
        <w:rPr/>
      </w:pPr>
      <w:r w:rsidDel="00000000" w:rsidR="00000000" w:rsidRPr="00000000">
        <w:rPr>
          <w:rtl w:val="0"/>
        </w:rPr>
        <w:t xml:space="preserve">Nome: </w:t>
      </w:r>
    </w:p>
    <w:p w:rsidR="00000000" w:rsidDel="00000000" w:rsidP="00000000" w:rsidRDefault="00000000" w:rsidRPr="00000000" w14:paraId="00000025">
      <w:pPr>
        <w:widowControl w:val="0"/>
        <w:spacing w:line="213" w:lineRule="auto"/>
        <w:ind w:left="620"/>
        <w:rPr>
          <w:sz w:val="21"/>
          <w:szCs w:val="21"/>
        </w:rPr>
      </w:pPr>
      <w:r w:rsidDel="00000000" w:rsidR="00000000" w:rsidRPr="00000000">
        <w:rPr>
          <w:rtl w:val="0"/>
        </w:rPr>
        <w:t xml:space="preserve">CPF: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ind w:left="620"/>
        <w:rPr/>
      </w:pPr>
      <w:r w:rsidDel="00000000" w:rsidR="00000000" w:rsidRPr="00000000">
        <w:rPr>
          <w:rtl w:val="0"/>
        </w:rPr>
        <w:t xml:space="preserve">Licitante:</w:t>
      </w:r>
    </w:p>
    <w:p w:rsidR="00000000" w:rsidDel="00000000" w:rsidP="00000000" w:rsidRDefault="00000000" w:rsidRPr="00000000" w14:paraId="00000027">
      <w:pPr>
        <w:widowControl w:val="0"/>
        <w:ind w:left="620"/>
        <w:rPr/>
      </w:pPr>
      <w:r w:rsidDel="00000000" w:rsidR="00000000" w:rsidRPr="00000000">
        <w:rPr>
          <w:rtl w:val="0"/>
        </w:rPr>
        <w:t xml:space="preserve">CNPJ: </w:t>
      </w:r>
    </w:p>
    <w:p w:rsidR="00000000" w:rsidDel="00000000" w:rsidP="00000000" w:rsidRDefault="00000000" w:rsidRPr="00000000" w14:paraId="00000028">
      <w:pPr>
        <w:widowControl w:val="0"/>
        <w:ind w:left="620"/>
        <w:rPr/>
      </w:pPr>
      <w:r w:rsidDel="00000000" w:rsidR="00000000" w:rsidRPr="00000000">
        <w:rPr>
          <w:rtl w:val="0"/>
        </w:rPr>
        <w:t xml:space="preserve">Data:</w:t>
      </w:r>
    </w:p>
    <w:p w:rsidR="00000000" w:rsidDel="00000000" w:rsidP="00000000" w:rsidRDefault="00000000" w:rsidRPr="00000000" w14:paraId="00000029">
      <w:pPr>
        <w:widowControl w:val="0"/>
        <w:spacing w:before="94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9" w:w="11907" w:orient="portrait"/>
      <w:pgMar w:bottom="1440" w:top="1440" w:left="1077" w:right="107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E">
          <w:pPr>
            <w:ind w:left="7088" w:firstLine="0"/>
            <w:jc w:val="right"/>
            <w:rPr/>
          </w:pPr>
          <w:r w:rsidDel="00000000" w:rsidR="00000000" w:rsidRPr="00000000">
            <w:rPr>
              <w:rtl w:val="0"/>
            </w:rPr>
            <w:t xml:space="preserve">ITB/2024/54669 </w:t>
          </w:r>
        </w:p>
      </w:tc>
    </w:tr>
  </w:tbl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  <w:tab/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2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1">
          <w:pPr>
            <w:ind w:left="7088" w:firstLine="0"/>
            <w:jc w:val="right"/>
            <w:rPr/>
          </w:pPr>
          <w:r w:rsidDel="00000000" w:rsidR="00000000" w:rsidRPr="00000000">
            <w:rPr>
              <w:rtl w:val="0"/>
            </w:rPr>
            <w:t xml:space="preserve">ITB/2024/54669 </w:t>
          </w:r>
        </w:p>
      </w:tc>
    </w:tr>
  </w:tbl>
  <w:p w:rsidR="00000000" w:rsidDel="00000000" w:rsidP="00000000" w:rsidRDefault="00000000" w:rsidRPr="00000000" w14:paraId="00000032">
    <w:pPr>
      <w:tabs>
        <w:tab w:val="center" w:leader="none" w:pos="4320"/>
        <w:tab w:val="right" w:leader="none" w:pos="864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91" w:line="244" w:lineRule="auto"/>
      <w:ind w:right="35"/>
      <w:jc w:val="both"/>
    </w:pPr>
    <w:rPr>
      <w:b w:val="1"/>
      <w:color w:val="5291c8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tabs>
        <w:tab w:val="left" w:leader="none" w:pos="-1440"/>
        <w:tab w:val="left" w:leader="none" w:pos="7200"/>
      </w:tabs>
      <w:spacing w:line="276" w:lineRule="auto"/>
      <w:ind w:right="634"/>
    </w:pPr>
    <w:rPr>
      <w:b w:val="1"/>
      <w:color w:val="0092d1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omprasbr@unops.or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e6Vvxy1EBeb81qBkTHGthS1C1w==">CgMxLjAyDmgucG8ydmFlemd2aXEwMg5oLjg5MzU1d3hkcmd2MDIOaC5ic2JxeGdjM2ZydjkyDmguOHZmZWxjNjl5aDBpOAByITFvTWdwRWU5ZW92R3hobFhjNGk4VHFaeTNMTkh6aHRDbQ==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