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Anexo B: Formulario de oferta de precios</w:t>
      </w:r>
    </w:p>
    <w:p w:rsidR="00000000" w:rsidDel="00000000" w:rsidP="00000000" w:rsidRDefault="00000000" w:rsidRPr="00000000" w14:paraId="00000002">
      <w:pPr>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completar este formulario de conformidad con las instrucciones indicadas. </w:t>
      </w:r>
    </w:p>
    <w:p w:rsidR="00000000" w:rsidDel="00000000" w:rsidP="00000000" w:rsidRDefault="00000000" w:rsidRPr="00000000" w14:paraId="00000003">
      <w:pPr>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rtl w:val="0"/>
        </w:rPr>
        <w:t xml:space="preserve">RFQ/2024/54879</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tl w:val="0"/>
        </w:rPr>
      </w:r>
    </w:p>
    <w:tbl>
      <w:tblPr>
        <w:tblStyle w:val="Table1"/>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06">
            <w:pPr>
              <w:rPr>
                <w:rFonts w:ascii="Open Sans" w:cs="Open Sans" w:eastAsia="Open Sans" w:hAnsi="Open Sans"/>
                <w:b w:val="1"/>
              </w:rPr>
            </w:pPr>
            <w:r w:rsidDel="00000000" w:rsidR="00000000" w:rsidRPr="00000000">
              <w:rPr>
                <w:rFonts w:ascii="Open Sans" w:cs="Open Sans" w:eastAsia="Open Sans" w:hAnsi="Open Sans"/>
                <w:b w:val="1"/>
                <w:rtl w:val="0"/>
              </w:rPr>
              <w:t xml:space="preserve">Divisa</w:t>
            </w:r>
          </w:p>
        </w:tc>
        <w:tc>
          <w:tcPr>
            <w:vAlign w:val="center"/>
          </w:tcPr>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rtl w:val="0"/>
              </w:rPr>
              <w:t xml:space="preserve">Dólares Americanos USD</w:t>
            </w:r>
          </w:p>
        </w:tc>
      </w:tr>
    </w:tbl>
    <w:p w:rsidR="00000000" w:rsidDel="00000000" w:rsidP="00000000" w:rsidRDefault="00000000" w:rsidRPr="00000000" w14:paraId="00000008">
      <w:pPr>
        <w:rPr>
          <w:rFonts w:ascii="Open Sans" w:cs="Open Sans" w:eastAsia="Open Sans" w:hAnsi="Open Sans"/>
          <w:b w:val="1"/>
        </w:rPr>
      </w:pPr>
      <w:r w:rsidDel="00000000" w:rsidR="00000000" w:rsidRPr="00000000">
        <w:rPr>
          <w:rtl w:val="0"/>
        </w:rPr>
      </w:r>
    </w:p>
    <w:tbl>
      <w:tblPr>
        <w:tblStyle w:val="Table2"/>
        <w:tblW w:w="8602.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559"/>
        <w:gridCol w:w="1514"/>
        <w:tblGridChange w:id="0">
          <w:tblGrid>
            <w:gridCol w:w="993"/>
            <w:gridCol w:w="4536"/>
            <w:gridCol w:w="1559"/>
            <w:gridCol w:w="1514"/>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0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w:t>
            </w:r>
          </w:p>
        </w:tc>
        <w:tc>
          <w:tcPr>
            <w:shd w:fill="d9d9d9" w:val="clear"/>
            <w:vAlign w:val="center"/>
          </w:tcPr>
          <w:p w:rsidR="00000000" w:rsidDel="00000000" w:rsidP="00000000" w:rsidRDefault="00000000" w:rsidRPr="00000000" w14:paraId="0000000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Cargo Profesional</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B">
            <w:pPr>
              <w:widowControl w:val="0"/>
              <w:spacing w:after="120" w:before="120" w:lineRule="auto"/>
              <w:jc w:val="center"/>
              <w:rPr>
                <w:b w:val="1"/>
                <w:sz w:val="18"/>
                <w:szCs w:val="18"/>
              </w:rPr>
            </w:pPr>
            <w:r w:rsidDel="00000000" w:rsidR="00000000" w:rsidRPr="00000000">
              <w:rPr>
                <w:b w:val="1"/>
                <w:sz w:val="18"/>
                <w:szCs w:val="18"/>
                <w:rtl w:val="0"/>
              </w:rPr>
              <w:t xml:space="preserve">Indique el valor hora</w:t>
            </w:r>
          </w:p>
          <w:p w:rsidR="00000000" w:rsidDel="00000000" w:rsidP="00000000" w:rsidRDefault="00000000" w:rsidRPr="00000000" w14:paraId="0000000C">
            <w:pPr>
              <w:widowControl w:val="0"/>
              <w:spacing w:after="120" w:before="120" w:lineRule="auto"/>
              <w:jc w:val="center"/>
              <w:rPr>
                <w:b w:val="1"/>
                <w:highlight w:val="yellow"/>
              </w:rPr>
            </w:pPr>
            <w:r w:rsidDel="00000000" w:rsidR="00000000" w:rsidRPr="00000000">
              <w:rPr>
                <w:b w:val="1"/>
                <w:sz w:val="18"/>
                <w:szCs w:val="18"/>
                <w:rtl w:val="0"/>
              </w:rPr>
              <w:t xml:space="preserve">hombre para</w:t>
            </w:r>
            <w:r w:rsidDel="00000000" w:rsidR="00000000" w:rsidRPr="00000000">
              <w:rPr>
                <w:b w:val="1"/>
                <w:rtl w:val="0"/>
              </w:rPr>
              <w:t xml:space="preserve"> </w:t>
            </w:r>
            <w:r w:rsidDel="00000000" w:rsidR="00000000" w:rsidRPr="00000000">
              <w:rPr>
                <w:b w:val="1"/>
                <w:highlight w:val="yellow"/>
                <w:rtl w:val="0"/>
              </w:rPr>
              <w:t xml:space="preserve">horario laboral</w:t>
            </w:r>
          </w:p>
          <w:p w:rsidR="00000000" w:rsidDel="00000000" w:rsidP="00000000" w:rsidRDefault="00000000" w:rsidRPr="00000000" w14:paraId="0000000D">
            <w:pPr>
              <w:widowControl w:val="0"/>
              <w:spacing w:after="120" w:before="120" w:lineRule="auto"/>
              <w:jc w:val="center"/>
              <w:rPr>
                <w:b w:val="1"/>
                <w:sz w:val="18"/>
                <w:szCs w:val="18"/>
              </w:rPr>
            </w:pPr>
            <w:r w:rsidDel="00000000" w:rsidR="00000000" w:rsidRPr="00000000">
              <w:rPr>
                <w:b w:val="1"/>
                <w:sz w:val="18"/>
                <w:szCs w:val="18"/>
                <w:rtl w:val="0"/>
              </w:rPr>
              <w:t xml:space="preserve">Precio Unitario</w:t>
            </w:r>
          </w:p>
          <w:p w:rsidR="00000000" w:rsidDel="00000000" w:rsidP="00000000" w:rsidRDefault="00000000" w:rsidRPr="00000000" w14:paraId="0000000E">
            <w:pPr>
              <w:widowControl w:val="0"/>
              <w:spacing w:after="120" w:before="120" w:lineRule="auto"/>
              <w:jc w:val="center"/>
              <w:rPr>
                <w:b w:val="1"/>
                <w:sz w:val="18"/>
                <w:szCs w:val="18"/>
              </w:rPr>
            </w:pPr>
            <w:r w:rsidDel="00000000" w:rsidR="00000000" w:rsidRPr="00000000">
              <w:rPr>
                <w:b w:val="1"/>
                <w:sz w:val="18"/>
                <w:szCs w:val="18"/>
                <w:rtl w:val="0"/>
              </w:rPr>
              <w:t xml:space="preserve">(Expresado en Dólares Americanos USD) </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after="120" w:before="120" w:lineRule="auto"/>
              <w:jc w:val="center"/>
              <w:rPr>
                <w:b w:val="1"/>
                <w:sz w:val="18"/>
                <w:szCs w:val="18"/>
              </w:rPr>
            </w:pPr>
            <w:r w:rsidDel="00000000" w:rsidR="00000000" w:rsidRPr="00000000">
              <w:rPr>
                <w:b w:val="1"/>
                <w:sz w:val="18"/>
                <w:szCs w:val="18"/>
                <w:rtl w:val="0"/>
              </w:rPr>
              <w:t xml:space="preserve">Indique el valor hora</w:t>
            </w:r>
          </w:p>
          <w:p w:rsidR="00000000" w:rsidDel="00000000" w:rsidP="00000000" w:rsidRDefault="00000000" w:rsidRPr="00000000" w14:paraId="00000010">
            <w:pPr>
              <w:widowControl w:val="0"/>
              <w:spacing w:after="120" w:before="120" w:lineRule="auto"/>
              <w:jc w:val="center"/>
              <w:rPr>
                <w:b w:val="1"/>
              </w:rPr>
            </w:pPr>
            <w:r w:rsidDel="00000000" w:rsidR="00000000" w:rsidRPr="00000000">
              <w:rPr>
                <w:b w:val="1"/>
                <w:sz w:val="18"/>
                <w:szCs w:val="18"/>
                <w:rtl w:val="0"/>
              </w:rPr>
              <w:t xml:space="preserve">hombre </w:t>
            </w:r>
            <w:r w:rsidDel="00000000" w:rsidR="00000000" w:rsidRPr="00000000">
              <w:rPr>
                <w:b w:val="1"/>
                <w:highlight w:val="yellow"/>
                <w:rtl w:val="0"/>
              </w:rPr>
              <w:t xml:space="preserve">fuera de horario laboral</w:t>
            </w:r>
            <w:r w:rsidDel="00000000" w:rsidR="00000000" w:rsidRPr="00000000">
              <w:rPr>
                <w:b w:val="1"/>
                <w:rtl w:val="0"/>
              </w:rPr>
              <w:t xml:space="preserve"> </w:t>
            </w:r>
          </w:p>
          <w:p w:rsidR="00000000" w:rsidDel="00000000" w:rsidP="00000000" w:rsidRDefault="00000000" w:rsidRPr="00000000" w14:paraId="00000011">
            <w:pPr>
              <w:widowControl w:val="0"/>
              <w:spacing w:after="120" w:before="120" w:lineRule="auto"/>
              <w:jc w:val="center"/>
              <w:rPr>
                <w:b w:val="1"/>
                <w:sz w:val="18"/>
                <w:szCs w:val="18"/>
              </w:rPr>
            </w:pPr>
            <w:r w:rsidDel="00000000" w:rsidR="00000000" w:rsidRPr="00000000">
              <w:rPr>
                <w:b w:val="1"/>
                <w:sz w:val="18"/>
                <w:szCs w:val="18"/>
                <w:rtl w:val="0"/>
              </w:rPr>
              <w:t xml:space="preserve">Precio Unitario</w:t>
            </w:r>
          </w:p>
          <w:p w:rsidR="00000000" w:rsidDel="00000000" w:rsidP="00000000" w:rsidRDefault="00000000" w:rsidRPr="00000000" w14:paraId="00000012">
            <w:pPr>
              <w:widowControl w:val="0"/>
              <w:spacing w:after="120" w:before="120" w:lineRule="auto"/>
              <w:jc w:val="center"/>
              <w:rPr>
                <w:b w:val="1"/>
                <w:sz w:val="18"/>
                <w:szCs w:val="18"/>
              </w:rPr>
            </w:pPr>
            <w:r w:rsidDel="00000000" w:rsidR="00000000" w:rsidRPr="00000000">
              <w:rPr>
                <w:b w:val="1"/>
                <w:sz w:val="18"/>
                <w:szCs w:val="18"/>
                <w:rtl w:val="0"/>
              </w:rPr>
              <w:t xml:space="preserve">(Expresado en Dólares Americanos USD)</w:t>
            </w:r>
          </w:p>
        </w:tc>
      </w:tr>
      <w:tr>
        <w:trPr>
          <w:cantSplit w:val="0"/>
          <w:trHeight w:val="486" w:hRule="atLeast"/>
          <w:tblHeader w:val="0"/>
        </w:trPr>
        <w:tc>
          <w:tcPr>
            <w:vAlign w:val="center"/>
          </w:tcPr>
          <w:p w:rsidR="00000000" w:rsidDel="00000000" w:rsidP="00000000" w:rsidRDefault="00000000" w:rsidRPr="00000000" w14:paraId="00000013">
            <w:pP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14">
            <w:pPr>
              <w:rPr>
                <w:rFonts w:ascii="Open Sans" w:cs="Open Sans" w:eastAsia="Open Sans" w:hAnsi="Open Sans"/>
              </w:rPr>
            </w:pPr>
            <w:r w:rsidDel="00000000" w:rsidR="00000000" w:rsidRPr="00000000">
              <w:rPr>
                <w:rFonts w:ascii="Open Sans" w:cs="Open Sans" w:eastAsia="Open Sans" w:hAnsi="Open Sans"/>
                <w:rtl w:val="0"/>
              </w:rPr>
              <w:t xml:space="preserve">Analista Funcional</w:t>
            </w:r>
          </w:p>
        </w:tc>
        <w:tc>
          <w:tcPr>
            <w:vAlign w:val="center"/>
          </w:tcPr>
          <w:p w:rsidR="00000000" w:rsidDel="00000000" w:rsidP="00000000" w:rsidRDefault="00000000" w:rsidRPr="00000000" w14:paraId="0000001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01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17">
            <w:pP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18">
            <w:pPr>
              <w:rPr>
                <w:rFonts w:ascii="Open Sans" w:cs="Open Sans" w:eastAsia="Open Sans" w:hAnsi="Open Sans"/>
              </w:rPr>
            </w:pPr>
            <w:r w:rsidDel="00000000" w:rsidR="00000000" w:rsidRPr="00000000">
              <w:rPr>
                <w:rFonts w:ascii="Open Sans" w:cs="Open Sans" w:eastAsia="Open Sans" w:hAnsi="Open Sans"/>
                <w:rtl w:val="0"/>
              </w:rPr>
              <w:t xml:space="preserve">Desarrollador</w:t>
            </w:r>
          </w:p>
        </w:tc>
        <w:tc>
          <w:tcPr>
            <w:vAlign w:val="center"/>
          </w:tcPr>
          <w:p w:rsidR="00000000" w:rsidDel="00000000" w:rsidP="00000000" w:rsidRDefault="00000000" w:rsidRPr="00000000" w14:paraId="0000001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01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inserte</w:t>
            </w: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Sumatoria de Precios unitarios ofertados</w:t>
            </w:r>
          </w:p>
        </w:tc>
        <w:tc>
          <w:tcPr>
            <w:gridSpan w:val="2"/>
            <w:vAlign w:val="center"/>
          </w:tcPr>
          <w:p w:rsidR="00000000" w:rsidDel="00000000" w:rsidP="00000000" w:rsidRDefault="00000000" w:rsidRPr="00000000" w14:paraId="0000001D">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Inserte la suma de los cuatro precios unitarios</w:t>
            </w:r>
          </w:p>
        </w:tc>
      </w:tr>
    </w:tb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sz w:val="18"/>
          <w:szCs w:val="18"/>
        </w:rPr>
      </w:pPr>
      <w:r w:rsidDel="00000000" w:rsidR="00000000" w:rsidRPr="00000000">
        <w:rPr>
          <w:rFonts w:ascii="Open Sans" w:cs="Open Sans" w:eastAsia="Open Sans" w:hAnsi="Open Sans"/>
          <w:b w:val="1"/>
          <w:rtl w:val="0"/>
        </w:rPr>
        <w:t xml:space="preserve">Para determinar la oferta adjudicada de los licitantes que cumplieron todos los criterios de evaluación, se elegirá como la oferta de menor precio, aquella cuya sumatoria de los cuatro precios unitarios sea la menor entre los demás licitantes habilitados técnicamente.  Por lo tanto, esta sumatoria de precios unitarios, deberá ser consignada como oferta financiera en eSourcing.  </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b w:val="1"/>
        </w:rPr>
      </w:pPr>
      <w:r w:rsidDel="00000000" w:rsidR="00000000" w:rsidRPr="00000000">
        <w:rPr>
          <w:rFonts w:ascii="Open Sans" w:cs="Open Sans" w:eastAsia="Open Sans" w:hAnsi="Open Sans"/>
          <w:b w:val="1"/>
          <w:rtl w:val="0"/>
        </w:rPr>
        <w:t xml:space="preserve">Estos precios únicamente determinan el valor unitario hora de cada profesional. En cada solicitud durante la vigencia del BPA, se determinará la cantidad de profesionales y número de horas laborales y fuera de horario laboral que se requieran.</w:t>
      </w:r>
    </w:p>
    <w:p w:rsidR="00000000" w:rsidDel="00000000" w:rsidP="00000000" w:rsidRDefault="00000000" w:rsidRPr="00000000" w14:paraId="0000002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 UNOPS, si la cotización resulta aceptada:</w:t>
      </w:r>
    </w:p>
    <w:p w:rsidR="00000000" w:rsidDel="00000000" w:rsidP="00000000" w:rsidRDefault="00000000" w:rsidRPr="00000000" w14:paraId="00000026">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7">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28">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tab/>
        <w:t xml:space="preserve">: _____________________________________________________________</w:t>
      </w:r>
    </w:p>
    <w:p w:rsidR="00000000" w:rsidDel="00000000" w:rsidP="00000000" w:rsidRDefault="00000000" w:rsidRPr="00000000" w14:paraId="0000002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2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2E">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tabs>
          <w:tab w:val="left" w:leader="none" w:pos="990"/>
        </w:tabs>
        <w:spacing w:line="276" w:lineRule="auto"/>
        <w:ind w:right="1440"/>
        <w:rPr>
          <w:rFonts w:ascii="Open Sans" w:cs="Open Sans" w:eastAsia="Open Sans" w:hAnsi="Open Sans"/>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230.126953125" w:hRule="atLeast"/>
        <w:tblHeader w:val="0"/>
      </w:trP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2024</w:t>
          </w:r>
          <w:r w:rsidDel="00000000" w:rsidR="00000000" w:rsidRPr="00000000">
            <w:rPr>
              <w:rtl w:val="0"/>
            </w:rPr>
          </w:r>
        </w:p>
      </w:tc>
    </w:tr>
  </w:tb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NzpslQr8t8Mg59TiwggyJtFFgQ==">CgMxLjA4AHIhMVNIbmZvUDk0eE05SElYZkhHN3RvRUlkNE5qT3BHLU5n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