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4B17B" w14:textId="0A025193" w:rsidR="002C5D0B" w:rsidRPr="00442934" w:rsidRDefault="00442934" w:rsidP="00247368">
      <w:pPr>
        <w:pStyle w:val="Titre1"/>
        <w:pBdr>
          <w:bottom w:val="single" w:sz="4" w:space="1" w:color="auto"/>
        </w:pBdr>
        <w:jc w:val="center"/>
        <w:rPr>
          <w:rFonts w:ascii="Segoe UI" w:hAnsi="Segoe UI" w:cs="Segoe UI"/>
          <w:b/>
          <w:color w:val="auto"/>
          <w:sz w:val="36"/>
          <w:szCs w:val="36"/>
          <w:lang w:val="fr-FR"/>
        </w:rPr>
      </w:pPr>
      <w:r>
        <w:rPr>
          <w:rFonts w:ascii="Segoe UI" w:hAnsi="Segoe UI" w:cs="Segoe UI"/>
          <w:color w:val="auto"/>
          <w:sz w:val="36"/>
          <w:szCs w:val="36"/>
          <w:lang w:val="fr-FR"/>
        </w:rPr>
        <w:t>Termes des Références</w:t>
      </w:r>
    </w:p>
    <w:p w14:paraId="3E09967F" w14:textId="14AD4962" w:rsidR="002C5D0B" w:rsidRPr="00442934" w:rsidRDefault="002C5D0B" w:rsidP="00247368">
      <w:pPr>
        <w:pStyle w:val="TM1"/>
        <w:rPr>
          <w:color w:val="auto"/>
          <w:sz w:val="22"/>
          <w:szCs w:val="22"/>
          <w:lang w:val="fr-FR"/>
        </w:rPr>
      </w:pPr>
      <w:r w:rsidRPr="00442934">
        <w:rPr>
          <w:color w:val="auto"/>
          <w:sz w:val="22"/>
          <w:szCs w:val="22"/>
          <w:lang w:val="fr-FR"/>
        </w:rPr>
        <w:t>ETABLISSEMENT D'ACCORDS À LONG TERME NON EXCLUSIFS (</w:t>
      </w:r>
      <w:r w:rsidR="00442934">
        <w:rPr>
          <w:color w:val="auto"/>
          <w:sz w:val="22"/>
          <w:szCs w:val="22"/>
          <w:lang w:val="fr-FR"/>
        </w:rPr>
        <w:t>lta</w:t>
      </w:r>
      <w:r w:rsidRPr="00442934">
        <w:rPr>
          <w:color w:val="auto"/>
          <w:sz w:val="22"/>
          <w:szCs w:val="22"/>
          <w:lang w:val="fr-FR"/>
        </w:rPr>
        <w:t>)</w:t>
      </w:r>
    </w:p>
    <w:p w14:paraId="10DF65AC" w14:textId="738C74AE" w:rsidR="002C5D0B" w:rsidRPr="00442934" w:rsidRDefault="002C5D0B" w:rsidP="00247368">
      <w:pPr>
        <w:jc w:val="center"/>
        <w:rPr>
          <w:rFonts w:ascii="Segoe UI" w:hAnsi="Segoe UI" w:cs="Segoe UI"/>
          <w:lang w:val="fr-FR"/>
        </w:rPr>
      </w:pPr>
      <w:r w:rsidRPr="00442934">
        <w:rPr>
          <w:rFonts w:ascii="Segoe UI" w:hAnsi="Segoe UI" w:cs="Segoe UI"/>
          <w:lang w:val="fr-FR"/>
        </w:rPr>
        <w:t>POUR</w:t>
      </w:r>
    </w:p>
    <w:p w14:paraId="654C41A9" w14:textId="5872E377" w:rsidR="002C5D0B" w:rsidRPr="00442934" w:rsidRDefault="002C5D0B" w:rsidP="00247368">
      <w:pPr>
        <w:spacing w:after="0"/>
        <w:ind w:left="720" w:hanging="810"/>
        <w:jc w:val="center"/>
        <w:rPr>
          <w:rFonts w:ascii="Segoe UI" w:hAnsi="Segoe UI" w:cs="Segoe UI"/>
          <w:lang w:val="fr-FR"/>
        </w:rPr>
      </w:pPr>
      <w:r w:rsidRPr="00442934">
        <w:rPr>
          <w:rFonts w:ascii="Segoe UI" w:hAnsi="Segoe UI" w:cs="Segoe UI"/>
          <w:b/>
          <w:bCs/>
          <w:lang w:val="fr-FR"/>
        </w:rPr>
        <w:t>FOURNITURE DE SERVICES D'HÉBERGEMENT HÔTELIER ET DE CONFÉRENCE</w:t>
      </w:r>
      <w:r w:rsidR="00442934">
        <w:rPr>
          <w:rFonts w:ascii="Segoe UI" w:hAnsi="Segoe UI" w:cs="Segoe UI"/>
          <w:b/>
          <w:bCs/>
          <w:lang w:val="fr-FR"/>
        </w:rPr>
        <w:t xml:space="preserve"> EN TUNISIE</w:t>
      </w:r>
    </w:p>
    <w:p w14:paraId="5E6D1CB5" w14:textId="77777777" w:rsidR="00F37225" w:rsidRPr="00442934" w:rsidRDefault="00F37225" w:rsidP="00247368">
      <w:pPr>
        <w:jc w:val="both"/>
        <w:rPr>
          <w:lang w:val="fr-FR"/>
        </w:rPr>
      </w:pPr>
    </w:p>
    <w:p w14:paraId="166E7B5A" w14:textId="77777777" w:rsidR="00C9228E" w:rsidRPr="00442934" w:rsidRDefault="00C9228E" w:rsidP="00247368">
      <w:pPr>
        <w:jc w:val="both"/>
        <w:rPr>
          <w:lang w:val="fr-FR"/>
        </w:rPr>
      </w:pPr>
    </w:p>
    <w:p w14:paraId="7ACA980F" w14:textId="5C3A7795" w:rsidR="00A0731F" w:rsidRPr="003458B0" w:rsidRDefault="00A0731F" w:rsidP="003458B0">
      <w:pPr>
        <w:pStyle w:val="Paragraphedeliste"/>
        <w:numPr>
          <w:ilvl w:val="0"/>
          <w:numId w:val="1"/>
        </w:numPr>
        <w:jc w:val="both"/>
        <w:rPr>
          <w:rFonts w:ascii="Segoe UI" w:hAnsi="Segoe UI" w:cs="Segoe UI"/>
          <w:b/>
          <w:bCs/>
          <w:sz w:val="20"/>
          <w:szCs w:val="20"/>
          <w:u w:val="single"/>
        </w:rPr>
      </w:pPr>
      <w:r w:rsidRPr="003458B0">
        <w:rPr>
          <w:rFonts w:ascii="Segoe UI" w:hAnsi="Segoe UI" w:cs="Segoe UI"/>
          <w:b/>
          <w:bCs/>
          <w:sz w:val="20"/>
          <w:szCs w:val="20"/>
          <w:u w:val="single"/>
        </w:rPr>
        <w:t>ARRIÈRE-PLAN:</w:t>
      </w:r>
    </w:p>
    <w:p w14:paraId="58E7CC9F" w14:textId="77777777" w:rsidR="00431546" w:rsidRPr="00431546" w:rsidRDefault="00431546" w:rsidP="00247368">
      <w:pPr>
        <w:pStyle w:val="Paragraphedeliste"/>
        <w:spacing w:after="0" w:line="240" w:lineRule="auto"/>
        <w:jc w:val="both"/>
        <w:rPr>
          <w:rFonts w:ascii="Segoe UI" w:hAnsi="Segoe UI" w:cs="Segoe UI"/>
          <w:b/>
          <w:sz w:val="20"/>
          <w:szCs w:val="20"/>
          <w:u w:val="single"/>
          <w:lang w:val="en-CA"/>
        </w:rPr>
      </w:pPr>
    </w:p>
    <w:p w14:paraId="0BA51227" w14:textId="77777777" w:rsidR="00B7794D" w:rsidRPr="00442934" w:rsidRDefault="002C5D0B" w:rsidP="00247368">
      <w:p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L'Organisation internationale pour les migrations (OIM) s'attaque activement aux défis socio-économiques qui ont émergé en Tunisie après les événements du 14 janvier 2011. À l'heure actuelle, la Tunisie est soumise à une pression considérable en raison des pressions migratoires, et est rapidement devenue à la fois une plaque tournante de l'immigration et un point de transit. Ce changement est particulièrement important pour les migrants du Maghreb et d'Afrique subsaharienne qui tentent de rejoindre l'Europe par des itinéraires irréguliers le long des côtes tunisiennes. L'OIM a joué un rôle déterminant dans la gestion de ces afflux sans précédent de migrants dans les régions frontalières en travaillant en étroite collaboration avec les autorités tunisiennes, le HCR et d'autres entités des Nations Unies. </w:t>
      </w:r>
    </w:p>
    <w:p w14:paraId="25D0256E" w14:textId="77777777" w:rsidR="00B7794D" w:rsidRPr="00442934" w:rsidRDefault="00B7794D" w:rsidP="00247368">
      <w:pPr>
        <w:spacing w:after="0" w:line="240" w:lineRule="auto"/>
        <w:jc w:val="both"/>
        <w:rPr>
          <w:rFonts w:ascii="Segoe UI" w:hAnsi="Segoe UI" w:cs="Segoe UI"/>
          <w:sz w:val="20"/>
          <w:szCs w:val="20"/>
          <w:lang w:val="fr-FR"/>
        </w:rPr>
      </w:pPr>
    </w:p>
    <w:p w14:paraId="3F777087" w14:textId="5A68F2C5" w:rsidR="00B7794D" w:rsidRPr="00442934" w:rsidRDefault="002C5D0B" w:rsidP="00A72E2F">
      <w:pPr>
        <w:spacing w:after="0" w:line="240" w:lineRule="auto"/>
        <w:jc w:val="both"/>
        <w:rPr>
          <w:rFonts w:ascii="Segoe UI" w:hAnsi="Segoe UI" w:cs="Segoe UI"/>
          <w:b/>
          <w:bCs/>
          <w:sz w:val="20"/>
          <w:szCs w:val="20"/>
          <w:lang w:val="fr-FR"/>
        </w:rPr>
      </w:pPr>
      <w:r w:rsidRPr="00442934">
        <w:rPr>
          <w:rFonts w:ascii="Segoe UI" w:hAnsi="Segoe UI" w:cs="Segoe UI"/>
          <w:sz w:val="20"/>
          <w:szCs w:val="20"/>
          <w:lang w:val="fr-FR"/>
        </w:rPr>
        <w:t xml:space="preserve">Dans ce cadre, en tant que l'une des agences des Nations Unies opérant en Tunisie, l'OIM peut s'engager dans diverses activités qui nécessitent la fourniture de services d'hébergement hôtelier et de conférences (ci-après dénommés « services ») en Tunisie. En conséquence, l'OIM a l'intention de conclure plusieurs accords à long terme (LTA) </w:t>
      </w:r>
      <w:r w:rsidR="00442934" w:rsidRPr="00442934">
        <w:rPr>
          <w:rFonts w:ascii="Segoe UI" w:hAnsi="Segoe UI" w:cs="Segoe UI"/>
          <w:sz w:val="20"/>
          <w:szCs w:val="20"/>
          <w:lang w:val="fr-FR"/>
        </w:rPr>
        <w:t xml:space="preserve">avec </w:t>
      </w:r>
      <w:r w:rsidR="00442934" w:rsidRPr="00442934">
        <w:rPr>
          <w:rFonts w:ascii="Segoe UI" w:hAnsi="Segoe UI" w:cs="Segoe UI"/>
          <w:b/>
          <w:bCs/>
          <w:i/>
          <w:iCs/>
          <w:color w:val="0070C0"/>
          <w:sz w:val="20"/>
          <w:szCs w:val="20"/>
          <w:u w:val="single"/>
          <w:lang w:val="fr-FR"/>
        </w:rPr>
        <w:t>des</w:t>
      </w:r>
      <w:r w:rsidR="00C87350" w:rsidRPr="00442934">
        <w:rPr>
          <w:rFonts w:ascii="Segoe UI" w:hAnsi="Segoe UI" w:cs="Segoe UI"/>
          <w:b/>
          <w:bCs/>
          <w:i/>
          <w:iCs/>
          <w:color w:val="0070C0"/>
          <w:sz w:val="20"/>
          <w:szCs w:val="20"/>
          <w:u w:val="single"/>
          <w:lang w:val="fr-FR"/>
        </w:rPr>
        <w:t xml:space="preserve"> hôtels 4-5 étoiles</w:t>
      </w:r>
      <w:r w:rsidR="00B7794D" w:rsidRPr="00442934">
        <w:rPr>
          <w:rFonts w:ascii="Segoe UI" w:hAnsi="Segoe UI" w:cs="Segoe UI"/>
          <w:color w:val="0070C0"/>
          <w:sz w:val="20"/>
          <w:szCs w:val="20"/>
          <w:lang w:val="fr-FR"/>
        </w:rPr>
        <w:t xml:space="preserve"> </w:t>
      </w:r>
      <w:r w:rsidR="00B7794D" w:rsidRPr="00442934">
        <w:rPr>
          <w:rFonts w:ascii="Segoe UI" w:hAnsi="Segoe UI" w:cs="Segoe UI"/>
          <w:sz w:val="20"/>
          <w:szCs w:val="20"/>
          <w:lang w:val="fr-FR"/>
        </w:rPr>
        <w:t xml:space="preserve">dans les villes tunisiennes répertoriées dans ce mandat. </w:t>
      </w:r>
    </w:p>
    <w:p w14:paraId="3B0762F1" w14:textId="77777777" w:rsidR="00A72E2F" w:rsidRPr="00442934" w:rsidRDefault="00A72E2F" w:rsidP="00B7794D">
      <w:pPr>
        <w:spacing w:after="0" w:line="240" w:lineRule="auto"/>
        <w:jc w:val="both"/>
        <w:rPr>
          <w:rFonts w:ascii="Segoe UI" w:hAnsi="Segoe UI" w:cs="Segoe UI"/>
          <w:b/>
          <w:bCs/>
          <w:sz w:val="20"/>
          <w:szCs w:val="20"/>
          <w:lang w:val="fr-FR"/>
        </w:rPr>
      </w:pPr>
    </w:p>
    <w:p w14:paraId="07425CAC" w14:textId="77777777" w:rsidR="007A25BF" w:rsidRDefault="007A25BF" w:rsidP="007A25BF">
      <w:pPr>
        <w:pStyle w:val="Paragraphedeliste"/>
        <w:numPr>
          <w:ilvl w:val="0"/>
          <w:numId w:val="1"/>
        </w:numPr>
        <w:jc w:val="both"/>
        <w:rPr>
          <w:rFonts w:ascii="Segoe UI" w:hAnsi="Segoe UI" w:cs="Segoe UI"/>
          <w:sz w:val="20"/>
          <w:szCs w:val="20"/>
        </w:rPr>
      </w:pPr>
      <w:r w:rsidRPr="00D57680">
        <w:rPr>
          <w:rFonts w:ascii="Segoe UI" w:hAnsi="Segoe UI" w:cs="Segoe UI"/>
          <w:b/>
          <w:bCs/>
          <w:sz w:val="20"/>
          <w:szCs w:val="20"/>
          <w:u w:val="single"/>
        </w:rPr>
        <w:t xml:space="preserve">OBJECTIF: </w:t>
      </w:r>
    </w:p>
    <w:p w14:paraId="17E9E969" w14:textId="77777777" w:rsidR="007A25BF" w:rsidRDefault="007A25BF" w:rsidP="007A25BF">
      <w:pPr>
        <w:pStyle w:val="Paragraphedeliste"/>
        <w:ind w:left="360"/>
        <w:jc w:val="both"/>
        <w:rPr>
          <w:rFonts w:ascii="Segoe UI" w:hAnsi="Segoe UI" w:cs="Segoe UI"/>
          <w:sz w:val="20"/>
          <w:szCs w:val="20"/>
        </w:rPr>
      </w:pPr>
    </w:p>
    <w:p w14:paraId="03AC1A18" w14:textId="58BB3B58" w:rsidR="007A25BF" w:rsidRPr="00442934" w:rsidRDefault="007A25BF" w:rsidP="00BA09EE">
      <w:pPr>
        <w:pStyle w:val="Paragraphedeliste"/>
        <w:ind w:left="0"/>
        <w:jc w:val="both"/>
        <w:rPr>
          <w:rFonts w:ascii="Segoe UI" w:hAnsi="Segoe UI" w:cs="Segoe UI"/>
          <w:sz w:val="20"/>
          <w:szCs w:val="20"/>
          <w:lang w:val="fr-FR"/>
        </w:rPr>
      </w:pPr>
      <w:r w:rsidRPr="00442934">
        <w:rPr>
          <w:rFonts w:ascii="Segoe UI" w:hAnsi="Segoe UI" w:cs="Segoe UI"/>
          <w:sz w:val="20"/>
          <w:szCs w:val="20"/>
          <w:lang w:val="fr-FR"/>
        </w:rPr>
        <w:t>L'objectif principal est d'établir des accords de transfert de services non exclusifs avec des prestataires de services qualifiés pour l'hébergement hôtelier et les services de conférence afin de répondre aux besoins opérationnels de l'OIM en Tunisie. Au cours de l'exercice 2024, l'OIM a dépensé jusqu'à présent un budget estimé à environ</w:t>
      </w:r>
      <w:commentRangeStart w:id="0"/>
      <w:commentRangeEnd w:id="0"/>
      <w:r w:rsidR="00BA09EE" w:rsidRPr="006816A1">
        <w:rPr>
          <w:rStyle w:val="Marquedecommentaire"/>
        </w:rPr>
        <w:commentReference w:id="0"/>
      </w:r>
      <w:r w:rsidR="00BA09EE" w:rsidRPr="00442934">
        <w:rPr>
          <w:rFonts w:ascii="Segoe UI" w:hAnsi="Segoe UI" w:cs="Segoe UI"/>
          <w:sz w:val="20"/>
          <w:szCs w:val="20"/>
          <w:lang w:val="fr-FR"/>
        </w:rPr>
        <w:t xml:space="preserve"> </w:t>
      </w:r>
      <w:r w:rsidR="00442934">
        <w:rPr>
          <w:rFonts w:ascii="Segoe UI" w:hAnsi="Segoe UI" w:cs="Segoe UI"/>
          <w:sz w:val="20"/>
          <w:szCs w:val="20"/>
          <w:lang w:val="fr-FR"/>
        </w:rPr>
        <w:t>7</w:t>
      </w:r>
      <w:r w:rsidR="00BA09EE" w:rsidRPr="00442934">
        <w:rPr>
          <w:rFonts w:ascii="Segoe UI" w:hAnsi="Segoe UI" w:cs="Segoe UI"/>
          <w:sz w:val="20"/>
          <w:szCs w:val="20"/>
          <w:lang w:val="fr-FR"/>
        </w:rPr>
        <w:t>00 000 USD pour les services d'hébergement et de salles d'hôtel dans tout le pays. Il est important de souligner que ce budget indicatif ne garantit ni n'implique aucun engagement minimum quant à la quantité ou à la valeur monétaire des services de lieu et d'hébergement à obtenir auprès d'un prestataire de services spécifique.</w:t>
      </w:r>
    </w:p>
    <w:p w14:paraId="43E01996" w14:textId="77777777" w:rsidR="007A25BF" w:rsidRPr="00442934" w:rsidRDefault="007A25BF" w:rsidP="00B7794D">
      <w:pPr>
        <w:spacing w:after="0" w:line="240" w:lineRule="auto"/>
        <w:jc w:val="both"/>
        <w:rPr>
          <w:rFonts w:ascii="Segoe UI" w:hAnsi="Segoe UI" w:cs="Segoe UI"/>
          <w:b/>
          <w:bCs/>
          <w:sz w:val="20"/>
          <w:szCs w:val="20"/>
          <w:lang w:val="fr-FR"/>
        </w:rPr>
      </w:pPr>
    </w:p>
    <w:p w14:paraId="2917FB11" w14:textId="3E2AF07B" w:rsidR="00A72E2F" w:rsidRDefault="00A72E2F" w:rsidP="00A72E2F">
      <w:pPr>
        <w:pStyle w:val="Paragraphedeliste"/>
        <w:numPr>
          <w:ilvl w:val="0"/>
          <w:numId w:val="1"/>
        </w:numPr>
        <w:jc w:val="both"/>
        <w:rPr>
          <w:rFonts w:ascii="Segoe UI" w:hAnsi="Segoe UI" w:cs="Segoe UI"/>
          <w:sz w:val="20"/>
          <w:szCs w:val="20"/>
        </w:rPr>
      </w:pPr>
      <w:r w:rsidRPr="00A72E2F">
        <w:rPr>
          <w:rFonts w:ascii="Segoe UI" w:hAnsi="Segoe UI" w:cs="Segoe UI"/>
          <w:b/>
          <w:bCs/>
          <w:sz w:val="20"/>
          <w:szCs w:val="20"/>
          <w:u w:val="single"/>
        </w:rPr>
        <w:t xml:space="preserve">DURÉE DU </w:t>
      </w:r>
      <w:r w:rsidR="00442934" w:rsidRPr="00A72E2F">
        <w:rPr>
          <w:rFonts w:ascii="Segoe UI" w:hAnsi="Segoe UI" w:cs="Segoe UI"/>
          <w:b/>
          <w:bCs/>
          <w:sz w:val="20"/>
          <w:szCs w:val="20"/>
          <w:u w:val="single"/>
        </w:rPr>
        <w:t>CONTRAT:</w:t>
      </w:r>
      <w:r w:rsidRPr="00A72E2F">
        <w:rPr>
          <w:rFonts w:ascii="Segoe UI" w:hAnsi="Segoe UI" w:cs="Segoe UI"/>
          <w:b/>
          <w:bCs/>
          <w:sz w:val="20"/>
          <w:szCs w:val="20"/>
          <w:u w:val="single"/>
        </w:rPr>
        <w:t xml:space="preserve"> </w:t>
      </w:r>
    </w:p>
    <w:p w14:paraId="1DC3EFB2" w14:textId="34753BA8" w:rsidR="00A72E2F" w:rsidRPr="00442934" w:rsidRDefault="00A72E2F" w:rsidP="00A72E2F">
      <w:pPr>
        <w:jc w:val="both"/>
        <w:rPr>
          <w:rFonts w:ascii="Segoe UI" w:hAnsi="Segoe UI" w:cs="Segoe UI"/>
          <w:sz w:val="20"/>
          <w:szCs w:val="20"/>
          <w:lang w:val="fr-FR"/>
        </w:rPr>
      </w:pPr>
      <w:r w:rsidRPr="00442934">
        <w:rPr>
          <w:rFonts w:ascii="Segoe UI" w:hAnsi="Segoe UI" w:cs="Segoe UI"/>
          <w:sz w:val="20"/>
          <w:szCs w:val="20"/>
          <w:lang w:val="fr-FR"/>
        </w:rPr>
        <w:t>L</w:t>
      </w:r>
      <w:r w:rsidR="00442934">
        <w:rPr>
          <w:rFonts w:ascii="Segoe UI" w:hAnsi="Segoe UI" w:cs="Segoe UI"/>
          <w:sz w:val="20"/>
          <w:szCs w:val="20"/>
          <w:lang w:val="fr-FR"/>
        </w:rPr>
        <w:t>e</w:t>
      </w:r>
      <w:r w:rsidRPr="00442934">
        <w:rPr>
          <w:rFonts w:ascii="Segoe UI" w:hAnsi="Segoe UI" w:cs="Segoe UI"/>
          <w:sz w:val="20"/>
          <w:szCs w:val="20"/>
          <w:lang w:val="fr-FR"/>
        </w:rPr>
        <w:t xml:space="preserve"> LTA sera valable pour une période initiale de deux ans, avec possibilité de prolongation sur la base des performances et d'un accord mutuel.</w:t>
      </w:r>
    </w:p>
    <w:p w14:paraId="6960403B" w14:textId="77777777" w:rsidR="00A72E2F" w:rsidRPr="00442934" w:rsidRDefault="00A72E2F" w:rsidP="00A72E2F">
      <w:pPr>
        <w:jc w:val="both"/>
        <w:rPr>
          <w:rFonts w:ascii="Segoe UI" w:hAnsi="Segoe UI" w:cs="Segoe UI"/>
          <w:sz w:val="20"/>
          <w:szCs w:val="20"/>
          <w:lang w:val="fr-FR"/>
        </w:rPr>
      </w:pPr>
    </w:p>
    <w:p w14:paraId="5AB7DE41" w14:textId="5C85B450" w:rsidR="00A72E2F" w:rsidRDefault="00A72E2F" w:rsidP="00A72E2F">
      <w:pPr>
        <w:pStyle w:val="Paragraphedeliste"/>
        <w:numPr>
          <w:ilvl w:val="0"/>
          <w:numId w:val="1"/>
        </w:numPr>
        <w:jc w:val="both"/>
        <w:rPr>
          <w:rFonts w:ascii="Segoe UI" w:hAnsi="Segoe UI" w:cs="Segoe UI"/>
          <w:sz w:val="20"/>
          <w:szCs w:val="20"/>
        </w:rPr>
      </w:pPr>
      <w:r w:rsidRPr="00A72E2F">
        <w:rPr>
          <w:rFonts w:ascii="Segoe UI" w:hAnsi="Segoe UI" w:cs="Segoe UI"/>
          <w:b/>
          <w:bCs/>
          <w:sz w:val="20"/>
          <w:szCs w:val="20"/>
          <w:u w:val="single"/>
        </w:rPr>
        <w:t>NON-</w:t>
      </w:r>
      <w:r w:rsidR="00442934" w:rsidRPr="00A72E2F">
        <w:rPr>
          <w:rFonts w:ascii="Segoe UI" w:hAnsi="Segoe UI" w:cs="Segoe UI"/>
          <w:b/>
          <w:bCs/>
          <w:sz w:val="20"/>
          <w:szCs w:val="20"/>
          <w:u w:val="single"/>
        </w:rPr>
        <w:t>EXCLUSIVITÉ:</w:t>
      </w:r>
      <w:r w:rsidRPr="00A72E2F">
        <w:rPr>
          <w:rFonts w:ascii="Segoe UI" w:hAnsi="Segoe UI" w:cs="Segoe UI"/>
          <w:b/>
          <w:bCs/>
          <w:sz w:val="20"/>
          <w:szCs w:val="20"/>
          <w:u w:val="single"/>
        </w:rPr>
        <w:t xml:space="preserve"> </w:t>
      </w:r>
    </w:p>
    <w:p w14:paraId="02B8FD75" w14:textId="4D6ECC62" w:rsidR="00E92139" w:rsidRPr="00442934" w:rsidRDefault="00A72E2F" w:rsidP="00A72E2F">
      <w:pPr>
        <w:jc w:val="both"/>
        <w:rPr>
          <w:rFonts w:ascii="Segoe UI" w:hAnsi="Segoe UI" w:cs="Segoe UI"/>
          <w:sz w:val="20"/>
          <w:szCs w:val="20"/>
          <w:lang w:val="fr-FR"/>
        </w:rPr>
      </w:pPr>
      <w:r w:rsidRPr="00442934">
        <w:rPr>
          <w:rFonts w:ascii="Segoe UI" w:hAnsi="Segoe UI" w:cs="Segoe UI"/>
          <w:sz w:val="20"/>
          <w:szCs w:val="20"/>
          <w:lang w:val="fr-FR"/>
        </w:rPr>
        <w:t>L'accord sera non exclusif, ce qui permettra à l'OIM d'engager plusieurs prestataires de services/hôtels selon les besoins</w:t>
      </w:r>
    </w:p>
    <w:p w14:paraId="1025B9F5" w14:textId="77777777" w:rsidR="00A72E2F" w:rsidRPr="00442934" w:rsidRDefault="00A72E2F" w:rsidP="00247368">
      <w:pPr>
        <w:spacing w:after="0" w:line="240" w:lineRule="auto"/>
        <w:jc w:val="both"/>
        <w:rPr>
          <w:rFonts w:ascii="Segoe UI" w:hAnsi="Segoe UI" w:cs="Segoe UI"/>
          <w:sz w:val="20"/>
          <w:szCs w:val="20"/>
          <w:lang w:val="fr-FR"/>
        </w:rPr>
      </w:pPr>
    </w:p>
    <w:p w14:paraId="7CE50912" w14:textId="4E5DED79" w:rsidR="007739DE" w:rsidRDefault="007739DE" w:rsidP="007739DE">
      <w:pPr>
        <w:pStyle w:val="Paragraphedeliste"/>
        <w:numPr>
          <w:ilvl w:val="0"/>
          <w:numId w:val="1"/>
        </w:numPr>
        <w:jc w:val="both"/>
        <w:rPr>
          <w:rFonts w:ascii="Segoe UI" w:hAnsi="Segoe UI" w:cs="Segoe UI"/>
          <w:sz w:val="20"/>
          <w:szCs w:val="20"/>
        </w:rPr>
      </w:pPr>
      <w:r>
        <w:rPr>
          <w:rFonts w:ascii="Segoe UI" w:hAnsi="Segoe UI" w:cs="Segoe UI"/>
          <w:b/>
          <w:bCs/>
          <w:sz w:val="20"/>
          <w:szCs w:val="20"/>
          <w:u w:val="single"/>
        </w:rPr>
        <w:lastRenderedPageBreak/>
        <w:t xml:space="preserve">CLASSEMENT DE </w:t>
      </w:r>
      <w:r w:rsidR="00442934">
        <w:rPr>
          <w:rFonts w:ascii="Segoe UI" w:hAnsi="Segoe UI" w:cs="Segoe UI"/>
          <w:b/>
          <w:bCs/>
          <w:sz w:val="20"/>
          <w:szCs w:val="20"/>
          <w:u w:val="single"/>
        </w:rPr>
        <w:t>L’HÔTEL:</w:t>
      </w:r>
      <w:r>
        <w:rPr>
          <w:rFonts w:ascii="Segoe UI" w:hAnsi="Segoe UI" w:cs="Segoe UI"/>
          <w:b/>
          <w:bCs/>
          <w:sz w:val="20"/>
          <w:szCs w:val="20"/>
          <w:u w:val="single"/>
        </w:rPr>
        <w:t xml:space="preserve"> </w:t>
      </w:r>
    </w:p>
    <w:p w14:paraId="225A8A6E" w14:textId="77777777" w:rsidR="007739DE" w:rsidRDefault="007739DE" w:rsidP="007739DE">
      <w:pPr>
        <w:pStyle w:val="Paragraphedeliste"/>
        <w:ind w:left="360"/>
        <w:jc w:val="both"/>
        <w:rPr>
          <w:rFonts w:ascii="Segoe UI" w:hAnsi="Segoe UI" w:cs="Segoe UI"/>
          <w:sz w:val="20"/>
          <w:szCs w:val="20"/>
        </w:rPr>
      </w:pPr>
      <w:commentRangeStart w:id="1"/>
      <w:commentRangeStart w:id="2"/>
    </w:p>
    <w:p w14:paraId="1E188F44" w14:textId="67421F5C" w:rsidR="007739DE" w:rsidRPr="00442934" w:rsidRDefault="007739DE" w:rsidP="007739DE">
      <w:pPr>
        <w:pStyle w:val="Paragraphedeliste"/>
        <w:ind w:left="360"/>
        <w:jc w:val="both"/>
        <w:rPr>
          <w:rFonts w:ascii="Segoe UI" w:hAnsi="Segoe UI" w:cs="Segoe UI"/>
          <w:sz w:val="20"/>
          <w:szCs w:val="20"/>
          <w:lang w:val="fr-FR"/>
        </w:rPr>
      </w:pPr>
      <w:r w:rsidRPr="00442934">
        <w:rPr>
          <w:rFonts w:ascii="Segoe UI" w:hAnsi="Segoe UI" w:cs="Segoe UI"/>
          <w:sz w:val="20"/>
          <w:szCs w:val="20"/>
          <w:lang w:val="fr-FR"/>
        </w:rPr>
        <w:t xml:space="preserve">Seuls les hôtels classés </w:t>
      </w:r>
      <w:r w:rsidRPr="00442934">
        <w:rPr>
          <w:rFonts w:ascii="Segoe UI" w:hAnsi="Segoe UI" w:cs="Segoe UI"/>
          <w:b/>
          <w:bCs/>
          <w:sz w:val="20"/>
          <w:szCs w:val="20"/>
          <w:lang w:val="fr-FR"/>
        </w:rPr>
        <w:t>4 étoiles</w:t>
      </w:r>
      <w:r w:rsidRPr="00442934">
        <w:rPr>
          <w:rFonts w:ascii="Segoe UI" w:hAnsi="Segoe UI" w:cs="Segoe UI"/>
          <w:sz w:val="20"/>
          <w:szCs w:val="20"/>
          <w:lang w:val="fr-FR"/>
        </w:rPr>
        <w:t xml:space="preserve"> ou </w:t>
      </w:r>
      <w:r w:rsidRPr="00442934">
        <w:rPr>
          <w:rFonts w:ascii="Segoe UI" w:hAnsi="Segoe UI" w:cs="Segoe UI"/>
          <w:b/>
          <w:bCs/>
          <w:sz w:val="20"/>
          <w:szCs w:val="20"/>
          <w:lang w:val="fr-FR"/>
        </w:rPr>
        <w:t>5 étoiles</w:t>
      </w:r>
      <w:r w:rsidRPr="00442934">
        <w:rPr>
          <w:rFonts w:ascii="Segoe UI" w:hAnsi="Segoe UI" w:cs="Segoe UI"/>
          <w:sz w:val="20"/>
          <w:szCs w:val="20"/>
          <w:lang w:val="fr-FR"/>
        </w:rPr>
        <w:t xml:space="preserve"> sont éligibles. </w:t>
      </w:r>
      <w:commentRangeEnd w:id="1"/>
      <w:r>
        <w:rPr>
          <w:rStyle w:val="Marquedecommentaire"/>
        </w:rPr>
        <w:commentReference w:id="1"/>
      </w:r>
      <w:commentRangeEnd w:id="2"/>
      <w:r w:rsidR="002E1A11">
        <w:rPr>
          <w:rStyle w:val="Marquedecommentaire"/>
        </w:rPr>
        <w:commentReference w:id="2"/>
      </w:r>
    </w:p>
    <w:p w14:paraId="3D404FCC" w14:textId="77777777" w:rsidR="007739DE" w:rsidRPr="00442934" w:rsidRDefault="007739DE" w:rsidP="007739DE">
      <w:pPr>
        <w:pStyle w:val="Paragraphedeliste"/>
        <w:ind w:left="360"/>
        <w:jc w:val="both"/>
        <w:rPr>
          <w:rFonts w:ascii="Segoe UI" w:hAnsi="Segoe UI" w:cs="Segoe UI"/>
          <w:sz w:val="20"/>
          <w:szCs w:val="20"/>
          <w:lang w:val="fr-FR"/>
        </w:rPr>
      </w:pPr>
    </w:p>
    <w:p w14:paraId="634FA357" w14:textId="77777777" w:rsidR="007739DE" w:rsidRPr="00442934" w:rsidRDefault="007739DE" w:rsidP="007739DE">
      <w:pPr>
        <w:pStyle w:val="Paragraphedeliste"/>
        <w:numPr>
          <w:ilvl w:val="0"/>
          <w:numId w:val="1"/>
        </w:numPr>
        <w:jc w:val="both"/>
        <w:rPr>
          <w:rFonts w:ascii="Segoe UI" w:hAnsi="Segoe UI" w:cs="Segoe UI"/>
          <w:b/>
          <w:bCs/>
          <w:sz w:val="20"/>
          <w:szCs w:val="20"/>
          <w:u w:val="single"/>
          <w:lang w:val="fr-FR"/>
        </w:rPr>
      </w:pPr>
      <w:r w:rsidRPr="00442934">
        <w:rPr>
          <w:rFonts w:ascii="Segoe UI" w:hAnsi="Segoe UI" w:cs="Segoe UI"/>
          <w:b/>
          <w:bCs/>
          <w:sz w:val="20"/>
          <w:szCs w:val="20"/>
          <w:u w:val="single"/>
          <w:lang w:val="fr-FR"/>
        </w:rPr>
        <w:t>QUALIFICATIONS DU PRESTATAIRE DE SERVICES/HÔTELS</w:t>
      </w:r>
    </w:p>
    <w:p w14:paraId="013A22D7" w14:textId="77777777" w:rsidR="007739DE" w:rsidRPr="00442934" w:rsidRDefault="007739DE"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 xml:space="preserve">Licences et assurances : </w:t>
      </w:r>
      <w:r w:rsidRPr="00442934">
        <w:rPr>
          <w:rFonts w:ascii="Segoe UI" w:hAnsi="Segoe UI" w:cs="Segoe UI"/>
          <w:sz w:val="20"/>
          <w:szCs w:val="20"/>
          <w:lang w:val="fr-FR"/>
        </w:rPr>
        <w:t>Les prestataires de services doivent posséder toutes les licences et assurances nécessaires pour opérer légalement en Tunisie.</w:t>
      </w:r>
    </w:p>
    <w:p w14:paraId="2E574A9A" w14:textId="77777777" w:rsidR="007739DE" w:rsidRPr="00442934" w:rsidRDefault="007739DE"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Protection des données :</w:t>
      </w:r>
      <w:r w:rsidRPr="00442934">
        <w:rPr>
          <w:rFonts w:ascii="Segoe UI" w:hAnsi="Segoe UI" w:cs="Segoe UI"/>
          <w:sz w:val="20"/>
          <w:szCs w:val="20"/>
          <w:lang w:val="fr-FR"/>
        </w:rPr>
        <w:t xml:space="preserve"> Respect des réglementations en matière de protection des données, garantie de la confidentialité des données de l'OIM et des informations sur les clients.</w:t>
      </w:r>
    </w:p>
    <w:p w14:paraId="65D5CE23" w14:textId="77777777" w:rsidR="007739DE" w:rsidRPr="00442934" w:rsidRDefault="007739DE"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Expérience avérée dans la fourniture de forfaits de réunion et d'hébergement pour de grandes organisations ou des agences internationales. </w:t>
      </w:r>
    </w:p>
    <w:p w14:paraId="5651F209" w14:textId="77777777" w:rsidR="007739DE" w:rsidRPr="00442934" w:rsidRDefault="007739DE"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Solide expérience dans la fourniture de services de haute qualité. </w:t>
      </w:r>
    </w:p>
    <w:p w14:paraId="20BF3935" w14:textId="77777777" w:rsidR="007739DE" w:rsidRPr="00442934" w:rsidRDefault="007739DE"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Du personnel et des ressources adéquats pour gérer plusieurs événements simultanément. </w:t>
      </w:r>
    </w:p>
    <w:p w14:paraId="63027C58" w14:textId="77777777" w:rsidR="007739DE" w:rsidRPr="00442934" w:rsidRDefault="007739DE"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Stabilité financière et capacité de gérer les obligations contractuelles. </w:t>
      </w:r>
    </w:p>
    <w:p w14:paraId="0ECA9730" w14:textId="6C50E987" w:rsidR="00C87350" w:rsidRPr="00442934" w:rsidRDefault="00C87350" w:rsidP="007739DE">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Respecter les normes de sécurité et les exigences minimales selon l'UNSMS/UNDSS.</w:t>
      </w:r>
    </w:p>
    <w:p w14:paraId="360F871D" w14:textId="77777777" w:rsidR="007739DE" w:rsidRPr="00442934" w:rsidRDefault="007739DE" w:rsidP="00247368">
      <w:pPr>
        <w:spacing w:after="0" w:line="240" w:lineRule="auto"/>
        <w:jc w:val="both"/>
        <w:rPr>
          <w:rFonts w:ascii="Segoe UI" w:hAnsi="Segoe UI" w:cs="Segoe UI"/>
          <w:sz w:val="20"/>
          <w:szCs w:val="20"/>
          <w:lang w:val="fr-FR"/>
        </w:rPr>
      </w:pPr>
    </w:p>
    <w:p w14:paraId="1510091F" w14:textId="77777777" w:rsidR="007A25BF" w:rsidRPr="00442934" w:rsidRDefault="007A25BF" w:rsidP="007A25BF">
      <w:pPr>
        <w:pStyle w:val="Paragraphedeliste"/>
        <w:ind w:left="360"/>
        <w:jc w:val="both"/>
        <w:rPr>
          <w:rFonts w:ascii="Segoe UI" w:hAnsi="Segoe UI" w:cs="Segoe UI"/>
          <w:sz w:val="20"/>
          <w:szCs w:val="20"/>
          <w:lang w:val="fr-FR"/>
        </w:rPr>
      </w:pPr>
    </w:p>
    <w:p w14:paraId="52AD3C2C" w14:textId="77777777" w:rsidR="007A25BF" w:rsidRPr="00442934" w:rsidRDefault="007A25BF" w:rsidP="007A25BF">
      <w:pPr>
        <w:pStyle w:val="Paragraphedeliste"/>
        <w:numPr>
          <w:ilvl w:val="0"/>
          <w:numId w:val="1"/>
        </w:numPr>
        <w:jc w:val="both"/>
        <w:rPr>
          <w:rFonts w:ascii="Segoe UI" w:hAnsi="Segoe UI" w:cs="Segoe UI"/>
          <w:b/>
          <w:bCs/>
          <w:sz w:val="20"/>
          <w:szCs w:val="20"/>
          <w:u w:val="single"/>
          <w:lang w:val="fr-FR"/>
        </w:rPr>
      </w:pPr>
      <w:r w:rsidRPr="00442934">
        <w:rPr>
          <w:rFonts w:ascii="Segoe UI" w:hAnsi="Segoe UI" w:cs="Segoe UI"/>
          <w:b/>
          <w:bCs/>
          <w:sz w:val="20"/>
          <w:szCs w:val="20"/>
          <w:u w:val="single"/>
          <w:lang w:val="fr-FR"/>
        </w:rPr>
        <w:t>CRITÈRES DE SÉLECTION DES HÔTELS ET HIÉRARCHISATION :</w:t>
      </w:r>
    </w:p>
    <w:p w14:paraId="233A98DF" w14:textId="1D5B4D32" w:rsidR="007A25BF" w:rsidRPr="00442934" w:rsidRDefault="007A25BF" w:rsidP="007A25BF">
      <w:pPr>
        <w:pStyle w:val="Paragraphedeliste"/>
        <w:ind w:left="360"/>
        <w:jc w:val="both"/>
        <w:rPr>
          <w:rFonts w:ascii="Segoe UI" w:hAnsi="Segoe UI" w:cs="Segoe UI"/>
          <w:b/>
          <w:bCs/>
          <w:sz w:val="20"/>
          <w:szCs w:val="20"/>
          <w:u w:val="single"/>
          <w:lang w:val="fr-FR"/>
        </w:rPr>
      </w:pPr>
      <w:r w:rsidRPr="00442934">
        <w:rPr>
          <w:rFonts w:ascii="Segoe UI" w:hAnsi="Segoe UI" w:cs="Segoe UI"/>
          <w:b/>
          <w:bCs/>
          <w:sz w:val="20"/>
          <w:szCs w:val="20"/>
          <w:u w:val="single"/>
          <w:lang w:val="fr-FR"/>
        </w:rPr>
        <w:t xml:space="preserve"> </w:t>
      </w:r>
    </w:p>
    <w:p w14:paraId="1A0755BE" w14:textId="751718FA" w:rsidR="007A25BF" w:rsidRPr="00442934" w:rsidRDefault="007A25BF" w:rsidP="007A25BF">
      <w:pPr>
        <w:pStyle w:val="Paragraphedeliste"/>
        <w:ind w:left="0"/>
        <w:jc w:val="both"/>
        <w:rPr>
          <w:rFonts w:ascii="Segoe UI" w:hAnsi="Segoe UI" w:cs="Segoe UI"/>
          <w:sz w:val="20"/>
          <w:szCs w:val="20"/>
          <w:lang w:val="fr-FR"/>
        </w:rPr>
      </w:pPr>
      <w:r w:rsidRPr="00442934">
        <w:rPr>
          <w:rFonts w:ascii="Segoe UI" w:hAnsi="Segoe UI" w:cs="Segoe UI"/>
          <w:sz w:val="20"/>
          <w:szCs w:val="20"/>
          <w:lang w:val="fr-FR"/>
        </w:rPr>
        <w:t>Dans le processus de passation de contrats d'hébergement hôtelier, l'OIM vise à engager et à contracter au moins trois hôtels dans chaque ville, avec une préférence pour ceux qui offrent les tarifs les plus compétitifs, sauf indication contraire des besoins spécifiques du projet. Les critères de sélection des partenaires hôteliers potentiels pour chaque projet parmi ces hôtels primés seront (mais sans s'y limiter) basés sur les éléments suivants :</w:t>
      </w:r>
    </w:p>
    <w:p w14:paraId="59F49B1C" w14:textId="5C5ABDB6" w:rsidR="007A25BF" w:rsidRPr="00442934" w:rsidRDefault="007A25BF" w:rsidP="007A25BF">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 xml:space="preserve">Rentabilité </w:t>
      </w:r>
      <w:r w:rsidRPr="00442934">
        <w:rPr>
          <w:rFonts w:ascii="Segoe UI" w:hAnsi="Segoe UI" w:cs="Segoe UI"/>
          <w:sz w:val="20"/>
          <w:szCs w:val="20"/>
          <w:lang w:val="fr-FR"/>
        </w:rPr>
        <w:t>: Les hôtels offrant les tarifs les plus avantageux seront prioritaires. Néanmoins, l'OIM conserve le pouvoir discrétionnaire de prendre en compte d'autres facteurs tels que l'emplacement et la sécurité dans son processus de prise de décision. Celle-ci est déterminée à l'aide d'une « matrice d'évaluation simplifiée » interne</w:t>
      </w:r>
    </w:p>
    <w:p w14:paraId="57F5CC0F" w14:textId="30F4E5B0" w:rsidR="007A25BF" w:rsidRPr="00442934" w:rsidRDefault="007A25BF" w:rsidP="007A25BF">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 xml:space="preserve">Emplacement </w:t>
      </w:r>
      <w:r w:rsidRPr="00442934">
        <w:rPr>
          <w:rFonts w:ascii="Segoe UI" w:hAnsi="Segoe UI" w:cs="Segoe UI"/>
          <w:sz w:val="20"/>
          <w:szCs w:val="20"/>
          <w:lang w:val="fr-FR"/>
        </w:rPr>
        <w:t>: La proximité des hôtels avec les bureaux de l'OIM ou les sites de projet est un facteur crucial, garantissant la commodité et l'efficacité des opérations.</w:t>
      </w:r>
    </w:p>
    <w:p w14:paraId="68F188E8" w14:textId="0511256B" w:rsidR="007A25BF" w:rsidRPr="00442934" w:rsidRDefault="007A25BF" w:rsidP="007A25BF">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 xml:space="preserve">Sécurité </w:t>
      </w:r>
      <w:r w:rsidRPr="00442934">
        <w:rPr>
          <w:rFonts w:ascii="Segoe UI" w:hAnsi="Segoe UI" w:cs="Segoe UI"/>
          <w:sz w:val="20"/>
          <w:szCs w:val="20"/>
          <w:lang w:val="fr-FR"/>
        </w:rPr>
        <w:t>: Le respect des normes de sécurité de l'OIM est obligatoire pour tous les partenaires hôteliers afin de garantir la sécurité du personnel et des affiliés de l'OIM.</w:t>
      </w:r>
    </w:p>
    <w:p w14:paraId="3E75A70F" w14:textId="4C62BC56" w:rsidR="007A25BF" w:rsidRPr="00442934" w:rsidRDefault="007A25BF" w:rsidP="007A25BF">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 xml:space="preserve">Qualité des services </w:t>
      </w:r>
      <w:r w:rsidRPr="00442934">
        <w:rPr>
          <w:rFonts w:ascii="Segoe UI" w:hAnsi="Segoe UI" w:cs="Segoe UI"/>
          <w:sz w:val="20"/>
          <w:szCs w:val="20"/>
          <w:lang w:val="fr-FR"/>
        </w:rPr>
        <w:t>: Les hôtels doivent maintenir un niveau de service élevé, qui englobe la propreté, le service à la clientèle et l'entretien des installations.</w:t>
      </w:r>
    </w:p>
    <w:p w14:paraId="3BF88346" w14:textId="0E379110" w:rsidR="00D57680" w:rsidRPr="00442934" w:rsidRDefault="007A25BF" w:rsidP="007A25BF">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b/>
          <w:bCs/>
          <w:sz w:val="20"/>
          <w:szCs w:val="20"/>
          <w:lang w:val="fr-FR"/>
        </w:rPr>
        <w:t xml:space="preserve">Capacité </w:t>
      </w:r>
      <w:r w:rsidRPr="00442934">
        <w:rPr>
          <w:rFonts w:ascii="Segoe UI" w:hAnsi="Segoe UI" w:cs="Segoe UI"/>
          <w:sz w:val="20"/>
          <w:szCs w:val="20"/>
          <w:lang w:val="fr-FR"/>
        </w:rPr>
        <w:t>: La capacité des hôtels à accueillir le nombre nécessaire d'invités et d'événements est essentielle.</w:t>
      </w:r>
    </w:p>
    <w:p w14:paraId="6E74A74C" w14:textId="77777777" w:rsidR="00E92139" w:rsidRPr="00442934" w:rsidRDefault="00E92139" w:rsidP="00D57680">
      <w:pPr>
        <w:pStyle w:val="Paragraphedeliste"/>
        <w:ind w:left="360"/>
        <w:jc w:val="both"/>
        <w:rPr>
          <w:rFonts w:ascii="Segoe UI" w:hAnsi="Segoe UI" w:cs="Segoe UI"/>
          <w:sz w:val="20"/>
          <w:szCs w:val="20"/>
          <w:lang w:val="fr-FR"/>
        </w:rPr>
      </w:pPr>
    </w:p>
    <w:p w14:paraId="48ED5373" w14:textId="77777777" w:rsidR="007A25BF" w:rsidRPr="00442934" w:rsidRDefault="007A25BF" w:rsidP="00D57680">
      <w:pPr>
        <w:pStyle w:val="Paragraphedeliste"/>
        <w:ind w:left="360"/>
        <w:jc w:val="both"/>
        <w:rPr>
          <w:rFonts w:ascii="Segoe UI" w:hAnsi="Segoe UI" w:cs="Segoe UI"/>
          <w:sz w:val="20"/>
          <w:szCs w:val="20"/>
          <w:lang w:val="fr-FR"/>
        </w:rPr>
      </w:pPr>
    </w:p>
    <w:p w14:paraId="502560D1" w14:textId="3B14ABFD" w:rsidR="00D57680" w:rsidRDefault="00D57680" w:rsidP="00D57680">
      <w:pPr>
        <w:pStyle w:val="Paragraphedeliste"/>
        <w:numPr>
          <w:ilvl w:val="0"/>
          <w:numId w:val="1"/>
        </w:numPr>
        <w:jc w:val="both"/>
        <w:rPr>
          <w:rFonts w:ascii="Segoe UI" w:hAnsi="Segoe UI" w:cs="Segoe UI"/>
          <w:sz w:val="20"/>
          <w:szCs w:val="20"/>
        </w:rPr>
      </w:pPr>
      <w:r w:rsidRPr="00D57680">
        <w:rPr>
          <w:rFonts w:ascii="Segoe UI" w:hAnsi="Segoe UI" w:cs="Segoe UI"/>
          <w:b/>
          <w:bCs/>
          <w:sz w:val="20"/>
          <w:szCs w:val="20"/>
          <w:u w:val="single"/>
        </w:rPr>
        <w:t xml:space="preserve">CONTEXTE: </w:t>
      </w:r>
    </w:p>
    <w:p w14:paraId="3736306C" w14:textId="77777777" w:rsidR="00D57680" w:rsidRDefault="00D57680" w:rsidP="00D57680">
      <w:pPr>
        <w:pStyle w:val="Paragraphedeliste"/>
        <w:ind w:left="360"/>
        <w:jc w:val="both"/>
        <w:rPr>
          <w:rFonts w:ascii="Segoe UI" w:hAnsi="Segoe UI" w:cs="Segoe UI"/>
          <w:sz w:val="20"/>
          <w:szCs w:val="20"/>
        </w:rPr>
      </w:pPr>
    </w:p>
    <w:p w14:paraId="45FEFC31" w14:textId="4737E9AB" w:rsidR="00D57680" w:rsidRPr="00442934" w:rsidRDefault="00D57680" w:rsidP="00D57680">
      <w:pPr>
        <w:pStyle w:val="Paragraphedeliste"/>
        <w:ind w:left="0"/>
        <w:jc w:val="both"/>
        <w:rPr>
          <w:rFonts w:ascii="Segoe UI" w:hAnsi="Segoe UI" w:cs="Segoe UI"/>
          <w:sz w:val="20"/>
          <w:szCs w:val="20"/>
          <w:lang w:val="fr-FR"/>
        </w:rPr>
      </w:pPr>
      <w:r w:rsidRPr="00442934">
        <w:rPr>
          <w:rFonts w:ascii="Segoe UI" w:hAnsi="Segoe UI" w:cs="Segoe UI"/>
          <w:sz w:val="20"/>
          <w:szCs w:val="20"/>
          <w:lang w:val="fr-FR"/>
        </w:rPr>
        <w:t>L'OIM en Tunisie a besoin de services d'hébergement et de conférence fiables et de haute qualité pour faciliter ses opérations, ses réunions, ses ateliers et ses événements dans diverses villes de Tunisie.</w:t>
      </w:r>
    </w:p>
    <w:p w14:paraId="5E43D298" w14:textId="77777777" w:rsidR="00D57680" w:rsidRPr="00442934" w:rsidRDefault="00D57680" w:rsidP="00247368">
      <w:pPr>
        <w:spacing w:after="0" w:line="240" w:lineRule="auto"/>
        <w:jc w:val="both"/>
        <w:rPr>
          <w:rFonts w:ascii="Segoe UI" w:hAnsi="Segoe UI" w:cs="Segoe UI"/>
          <w:sz w:val="20"/>
          <w:szCs w:val="20"/>
          <w:lang w:val="fr-FR"/>
        </w:rPr>
      </w:pPr>
    </w:p>
    <w:p w14:paraId="0FF3C2DF" w14:textId="77777777" w:rsidR="002C5D0B" w:rsidRPr="00442934" w:rsidRDefault="002C5D0B" w:rsidP="00247368">
      <w:pPr>
        <w:spacing w:after="0" w:line="240" w:lineRule="auto"/>
        <w:jc w:val="both"/>
        <w:rPr>
          <w:lang w:val="fr-FR"/>
        </w:rPr>
      </w:pPr>
    </w:p>
    <w:p w14:paraId="179FBBF1" w14:textId="2BDE5402" w:rsidR="00247368" w:rsidRDefault="00247368" w:rsidP="003458B0">
      <w:pPr>
        <w:pStyle w:val="Paragraphedeliste"/>
        <w:numPr>
          <w:ilvl w:val="0"/>
          <w:numId w:val="1"/>
        </w:numPr>
        <w:jc w:val="both"/>
        <w:rPr>
          <w:rFonts w:ascii="Segoe UI" w:hAnsi="Segoe UI" w:cs="Segoe UI"/>
          <w:b/>
          <w:bCs/>
          <w:sz w:val="20"/>
          <w:szCs w:val="20"/>
          <w:u w:val="single"/>
        </w:rPr>
      </w:pPr>
      <w:r w:rsidRPr="003458B0">
        <w:rPr>
          <w:rFonts w:ascii="Segoe UI" w:hAnsi="Segoe UI" w:cs="Segoe UI"/>
          <w:b/>
          <w:bCs/>
          <w:sz w:val="20"/>
          <w:szCs w:val="20"/>
          <w:u w:val="single"/>
        </w:rPr>
        <w:t>PORTÉE DES TRAVAUX</w:t>
      </w:r>
    </w:p>
    <w:p w14:paraId="180FC126" w14:textId="77777777" w:rsidR="00A72E2F" w:rsidRPr="00A72E2F" w:rsidRDefault="00A72E2F" w:rsidP="00A72E2F">
      <w:pPr>
        <w:pStyle w:val="Paragraphedeliste"/>
        <w:ind w:left="360"/>
        <w:jc w:val="both"/>
        <w:rPr>
          <w:rFonts w:ascii="Segoe UI" w:hAnsi="Segoe UI" w:cs="Segoe UI"/>
          <w:b/>
          <w:bCs/>
          <w:sz w:val="10"/>
          <w:szCs w:val="10"/>
          <w:u w:val="single"/>
        </w:rPr>
      </w:pPr>
    </w:p>
    <w:p w14:paraId="77071E4C" w14:textId="3AEE6807" w:rsidR="00D57680" w:rsidRPr="00442934" w:rsidRDefault="00D57680" w:rsidP="00E92139">
      <w:pPr>
        <w:numPr>
          <w:ilvl w:val="0"/>
          <w:numId w:val="11"/>
        </w:numPr>
        <w:tabs>
          <w:tab w:val="clear" w:pos="720"/>
          <w:tab w:val="num" w:pos="360"/>
        </w:tabs>
        <w:spacing w:after="0" w:line="240" w:lineRule="auto"/>
        <w:ind w:left="360"/>
        <w:jc w:val="both"/>
        <w:rPr>
          <w:rFonts w:ascii="Segoe UI" w:hAnsi="Segoe UI" w:cs="Segoe UI"/>
          <w:sz w:val="20"/>
          <w:szCs w:val="20"/>
          <w:lang w:val="fr-FR"/>
        </w:rPr>
      </w:pPr>
      <w:r w:rsidRPr="00442934">
        <w:rPr>
          <w:b/>
          <w:bCs/>
          <w:lang w:val="fr-FR"/>
        </w:rPr>
        <w:t>Services d'hébergement</w:t>
      </w:r>
      <w:r w:rsidRPr="00442934">
        <w:rPr>
          <w:lang w:val="fr-FR"/>
        </w:rPr>
        <w:t xml:space="preserve"> : </w:t>
      </w:r>
      <w:r w:rsidRPr="00442934">
        <w:rPr>
          <w:rFonts w:ascii="Segoe UI" w:hAnsi="Segoe UI" w:cs="Segoe UI"/>
          <w:sz w:val="20"/>
          <w:szCs w:val="20"/>
          <w:lang w:val="fr-FR"/>
        </w:rPr>
        <w:t xml:space="preserve">Type d'hébergement tel que décrit dans le présent formulaire </w:t>
      </w:r>
      <w:r w:rsidR="00442934">
        <w:rPr>
          <w:rFonts w:ascii="Segoe UI" w:hAnsi="Segoe UI" w:cs="Segoe UI"/>
          <w:sz w:val="20"/>
          <w:szCs w:val="20"/>
          <w:lang w:val="fr-FR"/>
        </w:rPr>
        <w:t>H-Bordereau de prix,</w:t>
      </w:r>
      <w:r w:rsidR="00121FD8" w:rsidRPr="00442934">
        <w:rPr>
          <w:rFonts w:ascii="Segoe UI" w:hAnsi="Segoe UI" w:cs="Segoe UI"/>
          <w:sz w:val="20"/>
          <w:szCs w:val="20"/>
          <w:lang w:val="fr-FR"/>
        </w:rPr>
        <w:t xml:space="preserve"> tels que des chambres standard, des suites ou des logements exécutifs avec nécessairement </w:t>
      </w:r>
      <w:r w:rsidR="00121FD8" w:rsidRPr="00442934">
        <w:rPr>
          <w:rFonts w:ascii="Segoe UI" w:hAnsi="Segoe UI" w:cs="Segoe UI"/>
          <w:sz w:val="20"/>
          <w:szCs w:val="20"/>
          <w:lang w:val="fr-FR"/>
        </w:rPr>
        <w:lastRenderedPageBreak/>
        <w:t>des commodités et des services qui comprennent le Wi-Fi, le service de chambre, le petit-déjeuner, la réception et la blanchisserie 24 heures sur 24 et répondant aux exigences ci-dessous :</w:t>
      </w:r>
    </w:p>
    <w:p w14:paraId="54466793" w14:textId="77777777" w:rsidR="00E92139" w:rsidRPr="00442934" w:rsidRDefault="00E92139" w:rsidP="00E92139">
      <w:pPr>
        <w:spacing w:after="0" w:line="240" w:lineRule="auto"/>
        <w:jc w:val="both"/>
        <w:rPr>
          <w:rFonts w:ascii="Segoe UI" w:hAnsi="Segoe UI" w:cs="Segoe UI"/>
          <w:sz w:val="20"/>
          <w:szCs w:val="20"/>
          <w:lang w:val="fr-FR"/>
        </w:rPr>
      </w:pPr>
    </w:p>
    <w:p w14:paraId="32504AC1"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Fourniture de logements qui répondent aux normes de l'OIM en matière de confort, de sécurité et d'accessibilité. </w:t>
      </w:r>
    </w:p>
    <w:p w14:paraId="4D5092AC"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Possibilité de répondre à différents types de chambres (simple, double, suite) selon les besoins. </w:t>
      </w:r>
    </w:p>
    <w:p w14:paraId="2717B20B"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Mise à disposition de services de petit-déjeuner et d'autres services de repas pour les clients hébergés. </w:t>
      </w:r>
    </w:p>
    <w:p w14:paraId="53161681"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Disponibilité de services supplémentaires tels que la blanchisserie, le service de chambre et la conciergerie. </w:t>
      </w:r>
    </w:p>
    <w:p w14:paraId="2F37E2C5" w14:textId="77777777" w:rsidR="00E92139" w:rsidRPr="00442934" w:rsidRDefault="00E92139" w:rsidP="00E92139">
      <w:pPr>
        <w:spacing w:after="0" w:line="240" w:lineRule="auto"/>
        <w:jc w:val="both"/>
        <w:rPr>
          <w:lang w:val="fr-FR"/>
        </w:rPr>
      </w:pPr>
    </w:p>
    <w:p w14:paraId="67224BC2" w14:textId="56DC064E" w:rsidR="00D57680" w:rsidRPr="00442934" w:rsidRDefault="00D57680" w:rsidP="00E92139">
      <w:pPr>
        <w:numPr>
          <w:ilvl w:val="0"/>
          <w:numId w:val="12"/>
        </w:numPr>
        <w:tabs>
          <w:tab w:val="clear" w:pos="720"/>
          <w:tab w:val="num" w:pos="360"/>
        </w:tabs>
        <w:spacing w:after="0" w:line="240" w:lineRule="auto"/>
        <w:ind w:left="360"/>
        <w:jc w:val="both"/>
        <w:rPr>
          <w:rFonts w:ascii="Segoe UI" w:hAnsi="Segoe UI" w:cs="Segoe UI"/>
          <w:sz w:val="20"/>
          <w:szCs w:val="20"/>
          <w:lang w:val="fr-FR"/>
        </w:rPr>
      </w:pPr>
      <w:r w:rsidRPr="00442934">
        <w:rPr>
          <w:b/>
          <w:bCs/>
          <w:lang w:val="fr-FR"/>
        </w:rPr>
        <w:t>Services de conférence et de restauration</w:t>
      </w:r>
      <w:r w:rsidRPr="00442934">
        <w:rPr>
          <w:lang w:val="fr-FR"/>
        </w:rPr>
        <w:t xml:space="preserve"> : </w:t>
      </w:r>
      <w:r w:rsidRPr="00442934">
        <w:rPr>
          <w:rFonts w:ascii="Segoe UI" w:hAnsi="Segoe UI" w:cs="Segoe UI"/>
          <w:sz w:val="20"/>
          <w:szCs w:val="20"/>
          <w:lang w:val="fr-FR"/>
        </w:rPr>
        <w:t xml:space="preserve">Types d'installations de conférence tels que décrits dans le formulaire de </w:t>
      </w:r>
      <w:r w:rsidR="00442934" w:rsidRPr="00442934">
        <w:rPr>
          <w:rFonts w:ascii="Segoe UI" w:hAnsi="Segoe UI" w:cs="Segoe UI"/>
          <w:sz w:val="20"/>
          <w:szCs w:val="20"/>
          <w:lang w:val="fr-FR"/>
        </w:rPr>
        <w:t>présent formulaire H-Bordereau de prix</w:t>
      </w:r>
      <w:r w:rsidR="00442934">
        <w:rPr>
          <w:rFonts w:ascii="Segoe UI" w:hAnsi="Segoe UI" w:cs="Segoe UI"/>
          <w:sz w:val="20"/>
          <w:szCs w:val="20"/>
          <w:lang w:val="fr-FR"/>
        </w:rPr>
        <w:t>,</w:t>
      </w:r>
      <w:r w:rsidRPr="00442934">
        <w:rPr>
          <w:rFonts w:ascii="Segoe UI" w:hAnsi="Segoe UI" w:cs="Segoe UI"/>
          <w:sz w:val="20"/>
          <w:szCs w:val="20"/>
          <w:lang w:val="fr-FR"/>
        </w:rPr>
        <w:t xml:space="preserve"> y compris la capacité des salles, l'équipement audiovisuel et tout service supplémentaire comme la restauration et l'assistance technique :</w:t>
      </w:r>
    </w:p>
    <w:p w14:paraId="443AD946" w14:textId="77777777" w:rsidR="00E92139" w:rsidRPr="00442934" w:rsidRDefault="00E92139" w:rsidP="00E92139">
      <w:pPr>
        <w:spacing w:after="0" w:line="240" w:lineRule="auto"/>
        <w:jc w:val="both"/>
        <w:rPr>
          <w:lang w:val="fr-FR"/>
        </w:rPr>
      </w:pPr>
    </w:p>
    <w:p w14:paraId="7B20B235"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Mise à disposition de salles de réunion de différentes tailles équipées de l'équipement audiovisuel nécessaire, d'un accès Internet et d'autres exigences techniques. </w:t>
      </w:r>
    </w:p>
    <w:p w14:paraId="3061849B"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Prestation de services de restauration et de boissons, y compris les </w:t>
      </w:r>
      <w:proofErr w:type="spellStart"/>
      <w:r w:rsidRPr="00442934">
        <w:rPr>
          <w:rFonts w:ascii="Segoe UI" w:hAnsi="Segoe UI" w:cs="Segoe UI"/>
          <w:sz w:val="20"/>
          <w:szCs w:val="20"/>
          <w:lang w:val="fr-FR"/>
        </w:rPr>
        <w:t>pauses-café</w:t>
      </w:r>
      <w:proofErr w:type="spellEnd"/>
      <w:r w:rsidRPr="00442934">
        <w:rPr>
          <w:rFonts w:ascii="Segoe UI" w:hAnsi="Segoe UI" w:cs="Segoe UI"/>
          <w:sz w:val="20"/>
          <w:szCs w:val="20"/>
          <w:lang w:val="fr-FR"/>
        </w:rPr>
        <w:t xml:space="preserve">, le déjeuner et le dîner au besoin. </w:t>
      </w:r>
    </w:p>
    <w:p w14:paraId="2828F0C6" w14:textId="69B9A9DB"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Fourniture de papeterie, y compris des blocs-notes, des stylos, des tableaux à feuilles mobiles et des marqueurs. </w:t>
      </w:r>
    </w:p>
    <w:p w14:paraId="45A993D4"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Disponibilité du personnel de soutien technique lors des événements. </w:t>
      </w:r>
    </w:p>
    <w:p w14:paraId="49A3B767"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Aide à la planification et à la coordination d'événements, sur demande. </w:t>
      </w:r>
    </w:p>
    <w:p w14:paraId="28BFBE6A" w14:textId="03983DD9"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Assistance sur site lors d'événements pour assurer le bon déroulement des opérations. </w:t>
      </w:r>
    </w:p>
    <w:p w14:paraId="53B47272" w14:textId="77777777" w:rsidR="00E92139" w:rsidRPr="00442934" w:rsidRDefault="00E92139" w:rsidP="00E92139">
      <w:pPr>
        <w:spacing w:after="0" w:line="240" w:lineRule="auto"/>
        <w:jc w:val="both"/>
        <w:rPr>
          <w:lang w:val="fr-FR"/>
        </w:rPr>
      </w:pPr>
      <w:commentRangeStart w:id="3"/>
      <w:commentRangeStart w:id="4"/>
    </w:p>
    <w:p w14:paraId="3C7EA91A" w14:textId="0B554E93" w:rsidR="000A7017" w:rsidRPr="00442934" w:rsidRDefault="00D57680" w:rsidP="00E92139">
      <w:pPr>
        <w:numPr>
          <w:ilvl w:val="0"/>
          <w:numId w:val="13"/>
        </w:numPr>
        <w:tabs>
          <w:tab w:val="clear" w:pos="720"/>
          <w:tab w:val="num" w:pos="360"/>
        </w:tabs>
        <w:spacing w:after="0" w:line="240" w:lineRule="auto"/>
        <w:ind w:left="360"/>
        <w:jc w:val="both"/>
        <w:rPr>
          <w:lang w:val="fr-FR"/>
        </w:rPr>
      </w:pPr>
      <w:r w:rsidRPr="00442934">
        <w:rPr>
          <w:b/>
          <w:bCs/>
          <w:lang w:val="fr-FR"/>
        </w:rPr>
        <w:t xml:space="preserve">Couverture géographique </w:t>
      </w:r>
      <w:r w:rsidRPr="00442934">
        <w:rPr>
          <w:lang w:val="fr-FR"/>
        </w:rPr>
        <w:t xml:space="preserve">: Liste des villes tunisiennes comme indiqué ci-dessous : </w:t>
      </w:r>
      <w:commentRangeEnd w:id="3"/>
      <w:r w:rsidR="000A7017">
        <w:rPr>
          <w:rStyle w:val="Marquedecommentaire"/>
        </w:rPr>
        <w:commentReference w:id="3"/>
      </w:r>
      <w:commentRangeEnd w:id="4"/>
      <w:r w:rsidR="002E1A11">
        <w:rPr>
          <w:rStyle w:val="Marquedecommentaire"/>
        </w:rPr>
        <w:commentReference w:id="4"/>
      </w:r>
    </w:p>
    <w:p w14:paraId="4ED0EEE2" w14:textId="77777777" w:rsidR="002E1A11" w:rsidRPr="00442934" w:rsidRDefault="002E1A11" w:rsidP="002E1A11">
      <w:pPr>
        <w:spacing w:after="0" w:line="240" w:lineRule="auto"/>
        <w:ind w:left="360"/>
        <w:jc w:val="both"/>
        <w:rPr>
          <w:b/>
          <w:bCs/>
          <w:lang w:val="fr-FR"/>
        </w:rPr>
      </w:pPr>
    </w:p>
    <w:p w14:paraId="1E0E887C" w14:textId="6C7FC8D4" w:rsidR="002E1A11" w:rsidRPr="00B50144" w:rsidRDefault="002E1A11" w:rsidP="00B50144">
      <w:pPr>
        <w:pStyle w:val="Paragraphedeliste"/>
        <w:numPr>
          <w:ilvl w:val="0"/>
          <w:numId w:val="34"/>
        </w:numPr>
        <w:spacing w:after="0" w:line="240" w:lineRule="auto"/>
        <w:jc w:val="both"/>
        <w:rPr>
          <w:b/>
          <w:bCs/>
          <w:lang w:val="fr-FR"/>
        </w:rPr>
      </w:pPr>
      <w:r w:rsidRPr="00B50144">
        <w:rPr>
          <w:b/>
          <w:bCs/>
        </w:rPr>
        <w:t>Grand Tunis</w:t>
      </w:r>
    </w:p>
    <w:p w14:paraId="5AE119B6" w14:textId="5A4ED1E0" w:rsidR="002E1A11" w:rsidRPr="00B50144" w:rsidRDefault="002E1A11" w:rsidP="00B50144">
      <w:pPr>
        <w:pStyle w:val="Paragraphedeliste"/>
        <w:numPr>
          <w:ilvl w:val="0"/>
          <w:numId w:val="34"/>
        </w:numPr>
        <w:spacing w:after="0" w:line="240" w:lineRule="auto"/>
        <w:jc w:val="both"/>
        <w:rPr>
          <w:b/>
          <w:bCs/>
          <w:lang w:val="fr-FR"/>
        </w:rPr>
      </w:pPr>
      <w:r w:rsidRPr="00B50144">
        <w:rPr>
          <w:b/>
          <w:bCs/>
        </w:rPr>
        <w:t xml:space="preserve">Nabeul </w:t>
      </w:r>
    </w:p>
    <w:p w14:paraId="6564EEC3" w14:textId="0D5D6FB5" w:rsidR="002E1A11" w:rsidRPr="00B50144" w:rsidRDefault="002E1A11" w:rsidP="00B50144">
      <w:pPr>
        <w:pStyle w:val="Paragraphedeliste"/>
        <w:numPr>
          <w:ilvl w:val="0"/>
          <w:numId w:val="34"/>
        </w:numPr>
        <w:spacing w:after="0" w:line="240" w:lineRule="auto"/>
        <w:jc w:val="both"/>
        <w:rPr>
          <w:b/>
          <w:bCs/>
          <w:lang w:val="fr-FR"/>
        </w:rPr>
      </w:pPr>
      <w:r w:rsidRPr="00B50144">
        <w:rPr>
          <w:b/>
          <w:bCs/>
        </w:rPr>
        <w:t xml:space="preserve">Sousse </w:t>
      </w:r>
    </w:p>
    <w:p w14:paraId="2F64921F" w14:textId="65AD69CA" w:rsidR="002E1A11" w:rsidRPr="00B50144" w:rsidRDefault="002E1A11" w:rsidP="00B50144">
      <w:pPr>
        <w:pStyle w:val="Paragraphedeliste"/>
        <w:numPr>
          <w:ilvl w:val="0"/>
          <w:numId w:val="34"/>
        </w:numPr>
        <w:spacing w:after="0" w:line="240" w:lineRule="auto"/>
        <w:jc w:val="both"/>
        <w:rPr>
          <w:b/>
          <w:bCs/>
          <w:lang w:val="fr-FR"/>
        </w:rPr>
      </w:pPr>
      <w:r w:rsidRPr="00B50144">
        <w:rPr>
          <w:b/>
          <w:bCs/>
        </w:rPr>
        <w:t xml:space="preserve">Mahdia </w:t>
      </w:r>
    </w:p>
    <w:p w14:paraId="17BA7A32" w14:textId="1E240ECB" w:rsidR="002E1A11" w:rsidRPr="00B50144" w:rsidRDefault="002E1A11" w:rsidP="00B50144">
      <w:pPr>
        <w:pStyle w:val="Paragraphedeliste"/>
        <w:numPr>
          <w:ilvl w:val="0"/>
          <w:numId w:val="34"/>
        </w:numPr>
        <w:spacing w:after="0" w:line="240" w:lineRule="auto"/>
        <w:jc w:val="both"/>
        <w:rPr>
          <w:b/>
          <w:bCs/>
          <w:lang w:val="fr-FR"/>
        </w:rPr>
      </w:pPr>
      <w:r w:rsidRPr="00B50144">
        <w:rPr>
          <w:b/>
          <w:bCs/>
        </w:rPr>
        <w:t xml:space="preserve">Monastir </w:t>
      </w:r>
    </w:p>
    <w:p w14:paraId="1A97220A" w14:textId="4B608567" w:rsidR="002E1A11" w:rsidRPr="00B50144" w:rsidRDefault="002E1A11" w:rsidP="00B50144">
      <w:pPr>
        <w:pStyle w:val="Paragraphedeliste"/>
        <w:numPr>
          <w:ilvl w:val="0"/>
          <w:numId w:val="34"/>
        </w:numPr>
        <w:spacing w:after="0" w:line="240" w:lineRule="auto"/>
        <w:jc w:val="both"/>
        <w:rPr>
          <w:b/>
          <w:bCs/>
        </w:rPr>
      </w:pPr>
      <w:r w:rsidRPr="00B50144">
        <w:rPr>
          <w:b/>
          <w:bCs/>
        </w:rPr>
        <w:t xml:space="preserve">Sfax </w:t>
      </w:r>
    </w:p>
    <w:p w14:paraId="51B9D855" w14:textId="079F2BB5" w:rsidR="002E1A11" w:rsidRPr="00B50144" w:rsidRDefault="002E1A11" w:rsidP="00B50144">
      <w:pPr>
        <w:pStyle w:val="Paragraphedeliste"/>
        <w:numPr>
          <w:ilvl w:val="0"/>
          <w:numId w:val="34"/>
        </w:numPr>
        <w:spacing w:after="0" w:line="240" w:lineRule="auto"/>
        <w:jc w:val="both"/>
        <w:rPr>
          <w:b/>
          <w:bCs/>
        </w:rPr>
      </w:pPr>
      <w:proofErr w:type="spellStart"/>
      <w:r w:rsidRPr="00B50144">
        <w:rPr>
          <w:b/>
          <w:bCs/>
        </w:rPr>
        <w:t>Médenine</w:t>
      </w:r>
      <w:proofErr w:type="spellEnd"/>
      <w:r w:rsidRPr="00B50144">
        <w:rPr>
          <w:b/>
          <w:bCs/>
        </w:rPr>
        <w:t xml:space="preserve"> (</w:t>
      </w:r>
      <w:proofErr w:type="spellStart"/>
      <w:r w:rsidRPr="00B50144">
        <w:rPr>
          <w:b/>
          <w:bCs/>
        </w:rPr>
        <w:t>Zarzis</w:t>
      </w:r>
      <w:proofErr w:type="spellEnd"/>
      <w:r w:rsidRPr="00B50144">
        <w:rPr>
          <w:b/>
          <w:bCs/>
        </w:rPr>
        <w:t xml:space="preserve"> et Djerba) </w:t>
      </w:r>
    </w:p>
    <w:p w14:paraId="77601E8A" w14:textId="72784B6B" w:rsidR="002E1A11" w:rsidRPr="00B50144" w:rsidRDefault="002E1A11" w:rsidP="00B50144">
      <w:pPr>
        <w:pStyle w:val="Paragraphedeliste"/>
        <w:numPr>
          <w:ilvl w:val="0"/>
          <w:numId w:val="34"/>
        </w:numPr>
        <w:spacing w:after="0" w:line="240" w:lineRule="auto"/>
        <w:jc w:val="both"/>
        <w:rPr>
          <w:b/>
          <w:bCs/>
        </w:rPr>
      </w:pPr>
      <w:r w:rsidRPr="00B50144">
        <w:rPr>
          <w:b/>
          <w:bCs/>
        </w:rPr>
        <w:t>Gafsa</w:t>
      </w:r>
    </w:p>
    <w:p w14:paraId="591B09AD" w14:textId="468A2372" w:rsidR="00D57680" w:rsidRDefault="00D57680" w:rsidP="000A7017">
      <w:pPr>
        <w:spacing w:after="0" w:line="240" w:lineRule="auto"/>
        <w:ind w:left="360"/>
        <w:jc w:val="both"/>
      </w:pPr>
      <w:r>
        <w:t xml:space="preserve">. </w:t>
      </w:r>
    </w:p>
    <w:p w14:paraId="5CE7ABF4" w14:textId="77777777" w:rsidR="00D57680" w:rsidRDefault="00D57680" w:rsidP="00090176">
      <w:pPr>
        <w:spacing w:after="0" w:line="240" w:lineRule="auto"/>
        <w:jc w:val="both"/>
      </w:pPr>
    </w:p>
    <w:p w14:paraId="5C9C801D" w14:textId="77777777" w:rsidR="00E92139" w:rsidRDefault="00E92139" w:rsidP="00E92139">
      <w:pPr>
        <w:numPr>
          <w:ilvl w:val="0"/>
          <w:numId w:val="13"/>
        </w:numPr>
        <w:tabs>
          <w:tab w:val="clear" w:pos="720"/>
          <w:tab w:val="num" w:pos="360"/>
        </w:tabs>
        <w:spacing w:after="0" w:line="240" w:lineRule="auto"/>
        <w:ind w:left="360"/>
        <w:jc w:val="both"/>
        <w:rPr>
          <w:b/>
          <w:bCs/>
        </w:rPr>
      </w:pPr>
      <w:r w:rsidRPr="00E92139">
        <w:rPr>
          <w:b/>
          <w:bCs/>
        </w:rPr>
        <w:t xml:space="preserve">Livrables </w:t>
      </w:r>
    </w:p>
    <w:p w14:paraId="0E979525" w14:textId="77777777" w:rsidR="00442934" w:rsidRPr="00E92139" w:rsidRDefault="00442934" w:rsidP="00442934">
      <w:pPr>
        <w:spacing w:after="0" w:line="240" w:lineRule="auto"/>
        <w:ind w:left="360"/>
        <w:jc w:val="both"/>
        <w:rPr>
          <w:b/>
          <w:bCs/>
        </w:rPr>
      </w:pPr>
    </w:p>
    <w:p w14:paraId="7AEBCE8B" w14:textId="77777777" w:rsidR="00E92139" w:rsidRPr="00442934" w:rsidRDefault="00E92139" w:rsidP="00E92139">
      <w:pPr>
        <w:spacing w:after="0" w:line="240" w:lineRule="auto"/>
        <w:ind w:firstLine="360"/>
        <w:jc w:val="both"/>
        <w:rPr>
          <w:rFonts w:ascii="Segoe UI" w:hAnsi="Segoe UI" w:cs="Segoe UI"/>
          <w:sz w:val="20"/>
          <w:szCs w:val="20"/>
          <w:lang w:val="fr-FR"/>
        </w:rPr>
      </w:pPr>
      <w:r w:rsidRPr="00442934">
        <w:rPr>
          <w:rFonts w:ascii="Segoe UI" w:hAnsi="Segoe UI" w:cs="Segoe UI"/>
          <w:sz w:val="20"/>
          <w:szCs w:val="20"/>
          <w:lang w:val="fr-FR"/>
        </w:rPr>
        <w:t xml:space="preserve">Le prestataire de services doit fournir ce qui suit : </w:t>
      </w:r>
    </w:p>
    <w:p w14:paraId="435FADEC" w14:textId="6841775E"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Des propositions détaillées fondées sur les exigences de l'OIM mentionnées et le présent mandat ainsi que d'autres annexes. </w:t>
      </w:r>
    </w:p>
    <w:p w14:paraId="48A0014A"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Confirmation en temps opportun des réservations et des arrangements. </w:t>
      </w:r>
    </w:p>
    <w:p w14:paraId="3D5E4375" w14:textId="77777777" w:rsidR="00E92139" w:rsidRPr="00442934"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Une prestation de services de haute qualité lors de chaque événement, répondant aux normes et spécifications convenues. </w:t>
      </w:r>
    </w:p>
    <w:p w14:paraId="644EB598" w14:textId="77777777" w:rsidR="00E92139" w:rsidRDefault="00E92139" w:rsidP="00E92139">
      <w:pPr>
        <w:pStyle w:val="Paragraphedeliste"/>
        <w:numPr>
          <w:ilvl w:val="0"/>
          <w:numId w:val="23"/>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Rapports post-événement résumant les services fournis et les éventuels problèmes rencontrés (le cas échéant). </w:t>
      </w:r>
    </w:p>
    <w:p w14:paraId="671CE4AA" w14:textId="77777777" w:rsidR="00442934" w:rsidRDefault="00442934" w:rsidP="00442934">
      <w:pPr>
        <w:spacing w:after="0" w:line="240" w:lineRule="auto"/>
        <w:jc w:val="both"/>
        <w:rPr>
          <w:rFonts w:ascii="Segoe UI" w:hAnsi="Segoe UI" w:cs="Segoe UI"/>
          <w:sz w:val="20"/>
          <w:szCs w:val="20"/>
          <w:lang w:val="fr-FR"/>
        </w:rPr>
      </w:pPr>
    </w:p>
    <w:p w14:paraId="3A99F533" w14:textId="77777777" w:rsidR="00442934" w:rsidRDefault="00442934" w:rsidP="00442934">
      <w:pPr>
        <w:spacing w:after="0" w:line="240" w:lineRule="auto"/>
        <w:jc w:val="both"/>
        <w:rPr>
          <w:rFonts w:ascii="Segoe UI" w:hAnsi="Segoe UI" w:cs="Segoe UI"/>
          <w:sz w:val="20"/>
          <w:szCs w:val="20"/>
          <w:lang w:val="fr-FR"/>
        </w:rPr>
      </w:pPr>
    </w:p>
    <w:p w14:paraId="742594BB" w14:textId="77777777" w:rsidR="00442934" w:rsidRDefault="00442934" w:rsidP="00442934">
      <w:pPr>
        <w:spacing w:after="0" w:line="240" w:lineRule="auto"/>
        <w:jc w:val="both"/>
        <w:rPr>
          <w:rFonts w:ascii="Segoe UI" w:hAnsi="Segoe UI" w:cs="Segoe UI"/>
          <w:sz w:val="20"/>
          <w:szCs w:val="20"/>
          <w:lang w:val="fr-FR"/>
        </w:rPr>
      </w:pPr>
    </w:p>
    <w:p w14:paraId="68B4344A" w14:textId="77777777" w:rsidR="00442934" w:rsidRPr="00442934" w:rsidRDefault="00442934" w:rsidP="00442934">
      <w:pPr>
        <w:spacing w:after="0" w:line="240" w:lineRule="auto"/>
        <w:jc w:val="both"/>
        <w:rPr>
          <w:rFonts w:ascii="Segoe UI" w:hAnsi="Segoe UI" w:cs="Segoe UI"/>
          <w:sz w:val="20"/>
          <w:szCs w:val="20"/>
          <w:lang w:val="fr-FR"/>
        </w:rPr>
      </w:pPr>
    </w:p>
    <w:p w14:paraId="0C65DF67" w14:textId="77777777" w:rsidR="00E92139" w:rsidRPr="00442934" w:rsidRDefault="00E92139" w:rsidP="00090176">
      <w:pPr>
        <w:spacing w:after="0" w:line="240" w:lineRule="auto"/>
        <w:jc w:val="both"/>
        <w:rPr>
          <w:lang w:val="fr-FR"/>
        </w:rPr>
      </w:pPr>
    </w:p>
    <w:p w14:paraId="0851499D" w14:textId="77777777" w:rsidR="0048593E" w:rsidRPr="00442934" w:rsidRDefault="0048593E" w:rsidP="00090176">
      <w:pPr>
        <w:spacing w:after="0" w:line="240" w:lineRule="auto"/>
        <w:jc w:val="both"/>
        <w:rPr>
          <w:lang w:val="fr-FR"/>
        </w:rPr>
      </w:pPr>
    </w:p>
    <w:p w14:paraId="39A74E90" w14:textId="77777777" w:rsidR="00261221" w:rsidRPr="00261221" w:rsidRDefault="00261221" w:rsidP="00261221">
      <w:pPr>
        <w:pStyle w:val="Paragraphedeliste"/>
        <w:numPr>
          <w:ilvl w:val="0"/>
          <w:numId w:val="1"/>
        </w:numPr>
        <w:jc w:val="both"/>
        <w:rPr>
          <w:rFonts w:ascii="Segoe UI" w:hAnsi="Segoe UI" w:cs="Segoe UI"/>
          <w:b/>
          <w:bCs/>
          <w:sz w:val="20"/>
          <w:szCs w:val="20"/>
          <w:u w:val="single"/>
        </w:rPr>
      </w:pPr>
      <w:r w:rsidRPr="00261221">
        <w:rPr>
          <w:rFonts w:ascii="Segoe UI" w:hAnsi="Segoe UI" w:cs="Segoe UI"/>
          <w:b/>
          <w:bCs/>
          <w:sz w:val="20"/>
          <w:szCs w:val="20"/>
          <w:u w:val="single"/>
        </w:rPr>
        <w:t xml:space="preserve">L'EXIGENCE D'INCLUSION DU HANDICAP </w:t>
      </w:r>
    </w:p>
    <w:p w14:paraId="72A9457C" w14:textId="1C5DAAE4" w:rsidR="00261221" w:rsidRPr="00442934" w:rsidRDefault="00261221" w:rsidP="00261221">
      <w:p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L'OIM en Tunisie et d'autres agences des Nations Unies travaillent en collaboration pour intégrer l'inclusion du handicap dans les politiques et pratiques d'achat. Cette initiative vise à garantir que les personnes handicapées participent pleinement à tous les domaines de la société, tels que l'éducation, la formation et l'emploi, en leur fournissant le soutien nécessaire et des aménagements raisonnables. Le respect des points suivants est crucial. La stratégie et le plan d'action pour l'inclusion des personnes en situation de handicap présentés par les fournisseurs de services influenceront considérablement le processus de sélection pour l'achat de lieux, de biens et de services externes. La stratégie d'inclusion des personnes en situation de handicap de l'entreprise adhère à des principes clés, notamment la non-discrimination, l'égalité des chances, l'accessibilité, le respect du handicap en tant que facette de la diversité humaine, l'égalité des sexes et la participation active des personnes handicapées par le biais de leurs organisations représentatives.</w:t>
      </w:r>
    </w:p>
    <w:p w14:paraId="1E328642" w14:textId="77777777" w:rsidR="00261221" w:rsidRPr="00442934" w:rsidRDefault="00261221" w:rsidP="00090176">
      <w:pPr>
        <w:spacing w:after="0" w:line="240" w:lineRule="auto"/>
        <w:jc w:val="both"/>
        <w:rPr>
          <w:lang w:val="fr-FR"/>
        </w:rPr>
      </w:pPr>
    </w:p>
    <w:p w14:paraId="547E4F41" w14:textId="77777777" w:rsidR="00E92139" w:rsidRPr="00442934" w:rsidRDefault="00E92139" w:rsidP="00090176">
      <w:pPr>
        <w:spacing w:after="0" w:line="240" w:lineRule="auto"/>
        <w:jc w:val="both"/>
        <w:rPr>
          <w:lang w:val="fr-FR"/>
        </w:rPr>
      </w:pPr>
    </w:p>
    <w:p w14:paraId="3ACE4E3F" w14:textId="77777777" w:rsidR="000A7017" w:rsidRPr="00442934" w:rsidRDefault="000A7017" w:rsidP="000A7017">
      <w:pPr>
        <w:spacing w:after="0" w:line="240" w:lineRule="auto"/>
        <w:ind w:left="360"/>
        <w:jc w:val="both"/>
        <w:rPr>
          <w:rFonts w:ascii="Segoe UI" w:hAnsi="Segoe UI" w:cs="Segoe UI"/>
          <w:sz w:val="20"/>
          <w:szCs w:val="20"/>
          <w:lang w:val="fr-FR"/>
        </w:rPr>
      </w:pPr>
    </w:p>
    <w:p w14:paraId="39DD7BEC" w14:textId="55A6C5F6" w:rsidR="00E4265F" w:rsidRPr="00E4265F" w:rsidRDefault="00E4265F" w:rsidP="00E4265F">
      <w:pPr>
        <w:pStyle w:val="Paragraphedeliste"/>
        <w:numPr>
          <w:ilvl w:val="0"/>
          <w:numId w:val="1"/>
        </w:numPr>
        <w:jc w:val="both"/>
        <w:rPr>
          <w:rFonts w:ascii="Segoe UI" w:hAnsi="Segoe UI" w:cs="Segoe UI"/>
          <w:b/>
          <w:bCs/>
          <w:sz w:val="20"/>
          <w:szCs w:val="20"/>
          <w:u w:val="single"/>
        </w:rPr>
      </w:pPr>
      <w:r w:rsidRPr="00E4265F">
        <w:rPr>
          <w:rFonts w:ascii="Segoe UI" w:hAnsi="Segoe UI" w:cs="Segoe UI"/>
          <w:b/>
          <w:bCs/>
          <w:sz w:val="20"/>
          <w:szCs w:val="20"/>
          <w:u w:val="single"/>
        </w:rPr>
        <w:t xml:space="preserve">MODALITÉS DE PAIEMENT </w:t>
      </w:r>
    </w:p>
    <w:p w14:paraId="4963E657" w14:textId="2802E7FE" w:rsidR="00E4265F" w:rsidRPr="00442934" w:rsidRDefault="00E4265F" w:rsidP="00E4265F">
      <w:p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Les conditions de paiement seront convenues et stipulées dans le contrat. Les paiements seront effectués sur la base de la livraison satisfaisante des services et de la soumission des factures selon le calendrier convenu :</w:t>
      </w:r>
    </w:p>
    <w:p w14:paraId="64B5E130" w14:textId="77777777" w:rsidR="00E4265F" w:rsidRPr="00442934" w:rsidRDefault="00E4265F" w:rsidP="00E4265F">
      <w:pPr>
        <w:spacing w:after="0" w:line="240" w:lineRule="auto"/>
        <w:jc w:val="both"/>
        <w:rPr>
          <w:rFonts w:ascii="Segoe UI" w:hAnsi="Segoe UI" w:cs="Segoe UI"/>
          <w:sz w:val="20"/>
          <w:szCs w:val="20"/>
          <w:lang w:val="fr-FR"/>
        </w:rPr>
      </w:pPr>
    </w:p>
    <w:p w14:paraId="308CD205" w14:textId="43E6EFF1" w:rsidR="00E4265F" w:rsidRPr="00442934" w:rsidRDefault="00E4265F" w:rsidP="00E4265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Le devis doit inclure des frais de service forfaitaires fixes et doit exclure toutes les taxes car les OIM sont exonérées de toutes les taxes.</w:t>
      </w:r>
    </w:p>
    <w:p w14:paraId="2561CCA8" w14:textId="77777777" w:rsidR="00E4265F" w:rsidRPr="00442934" w:rsidRDefault="00E4265F" w:rsidP="00E4265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Les prix indiqués par l'enchérisseur sont fixés lors de l'exécution du contrat par l'enchérisseur. </w:t>
      </w:r>
    </w:p>
    <w:p w14:paraId="33F4FD68" w14:textId="51C7B661" w:rsidR="00E4265F" w:rsidRPr="00442934" w:rsidRDefault="00E4265F" w:rsidP="00E4265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Le délai de crédit standard de l'OIM est de 30 jours à compter de la réception des services et de la facture. </w:t>
      </w:r>
    </w:p>
    <w:p w14:paraId="58AA5758" w14:textId="77777777" w:rsidR="00E4265F" w:rsidRPr="00442934" w:rsidRDefault="00E4265F" w:rsidP="00E4265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Le fournisseur de services doit facturer mensuellement, à l'aide de la facture officielle, du relevé de compte et/ou du formulaire récapitulatif du fournisseur de services, avec les détails suivants : dates du service, description détaillée des services fournis, ventilation des coûts et coût total pour l'OIM, y compris les formulaires de demande d'OIM, sauf indication contraire de l'OIM. </w:t>
      </w:r>
    </w:p>
    <w:p w14:paraId="6BE07002" w14:textId="77777777" w:rsidR="0076598D" w:rsidRPr="00442934" w:rsidRDefault="0076598D" w:rsidP="0076598D">
      <w:pPr>
        <w:spacing w:after="0" w:line="240" w:lineRule="auto"/>
        <w:ind w:left="1080"/>
        <w:jc w:val="both"/>
        <w:rPr>
          <w:rFonts w:ascii="Segoe UI" w:hAnsi="Segoe UI" w:cs="Segoe UI"/>
          <w:sz w:val="20"/>
          <w:szCs w:val="20"/>
          <w:lang w:val="fr-FR"/>
        </w:rPr>
      </w:pPr>
    </w:p>
    <w:p w14:paraId="29BC4CC2" w14:textId="77777777" w:rsidR="00E4265F" w:rsidRPr="00442934" w:rsidRDefault="00E4265F" w:rsidP="00247368">
      <w:pPr>
        <w:spacing w:after="0" w:line="240" w:lineRule="auto"/>
        <w:jc w:val="both"/>
        <w:rPr>
          <w:b/>
          <w:bCs/>
          <w:lang w:val="fr-FR"/>
        </w:rPr>
      </w:pPr>
    </w:p>
    <w:p w14:paraId="0D4C7649" w14:textId="7065D329" w:rsidR="0076598D" w:rsidRPr="0076598D" w:rsidRDefault="0076598D" w:rsidP="0076598D">
      <w:pPr>
        <w:pStyle w:val="Paragraphedeliste"/>
        <w:numPr>
          <w:ilvl w:val="0"/>
          <w:numId w:val="1"/>
        </w:numPr>
        <w:jc w:val="both"/>
        <w:rPr>
          <w:rFonts w:ascii="Segoe UI" w:hAnsi="Segoe UI" w:cs="Segoe UI"/>
          <w:b/>
          <w:bCs/>
          <w:sz w:val="20"/>
          <w:szCs w:val="20"/>
          <w:u w:val="single"/>
        </w:rPr>
      </w:pPr>
      <w:r w:rsidRPr="0076598D">
        <w:rPr>
          <w:rFonts w:ascii="Segoe UI" w:hAnsi="Segoe UI" w:cs="Segoe UI"/>
          <w:b/>
          <w:bCs/>
          <w:sz w:val="20"/>
          <w:szCs w:val="20"/>
          <w:u w:val="single"/>
        </w:rPr>
        <w:t xml:space="preserve">CLAUSE D'ATTRITION ET </w:t>
      </w:r>
      <w:r w:rsidR="00442934" w:rsidRPr="0076598D">
        <w:rPr>
          <w:rFonts w:ascii="Segoe UI" w:hAnsi="Segoe UI" w:cs="Segoe UI"/>
          <w:b/>
          <w:bCs/>
          <w:sz w:val="20"/>
          <w:szCs w:val="20"/>
          <w:u w:val="single"/>
        </w:rPr>
        <w:t>POURCENTAGE:</w:t>
      </w:r>
      <w:r w:rsidRPr="0076598D">
        <w:rPr>
          <w:rFonts w:ascii="Segoe UI" w:hAnsi="Segoe UI" w:cs="Segoe UI"/>
          <w:b/>
          <w:bCs/>
          <w:sz w:val="20"/>
          <w:szCs w:val="20"/>
          <w:u w:val="single"/>
        </w:rPr>
        <w:t xml:space="preserve"> </w:t>
      </w:r>
    </w:p>
    <w:p w14:paraId="45C9F44B" w14:textId="77777777" w:rsidR="001B6605" w:rsidRPr="00442934" w:rsidRDefault="0076598D" w:rsidP="0076598D">
      <w:p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En ce qui concerne les conditions d'attrition, l'OIM privilégie une approche équilibrée, offrant à l'OIM une flexibilité tout en veillant à ce que l'hôtel comprenne clairement ses obligations. Par conséquent, l'OIM préfère généralement se réserver le droit de réduire son engagement de réservation de chambres jusqu'à [20] % sans encourir de pénalités. Si l'utilisation réelle des chambres tombe en dessous du nombre de chambres réservées ajusté, IOM s'engage à payer des frais d'attrition calculés comme suit : la différence entre le nombre de chambres réservées ajusté et le nombre réel de chambres utilisées, multipliée par le tarif de chambre convenu dans le contrat. L'hôtel s'engage à </w:t>
      </w:r>
      <w:proofErr w:type="gramStart"/>
      <w:r w:rsidRPr="00442934">
        <w:rPr>
          <w:rFonts w:ascii="Segoe UI" w:hAnsi="Segoe UI" w:cs="Segoe UI"/>
          <w:sz w:val="20"/>
          <w:szCs w:val="20"/>
          <w:lang w:val="fr-FR"/>
        </w:rPr>
        <w:t>faire</w:t>
      </w:r>
      <w:proofErr w:type="gramEnd"/>
      <w:r w:rsidRPr="00442934">
        <w:rPr>
          <w:rFonts w:ascii="Segoe UI" w:hAnsi="Segoe UI" w:cs="Segoe UI"/>
          <w:sz w:val="20"/>
          <w:szCs w:val="20"/>
          <w:lang w:val="fr-FR"/>
        </w:rPr>
        <w:t xml:space="preserve"> des efforts raisonnables pour revendre toutes les chambres inutilisées afin d'atténuer la responsabilité financière de l'OIM. </w:t>
      </w:r>
    </w:p>
    <w:p w14:paraId="76DDCD70" w14:textId="77777777" w:rsidR="001B6605" w:rsidRPr="00442934" w:rsidRDefault="001B6605" w:rsidP="0076598D">
      <w:pPr>
        <w:spacing w:after="0" w:line="240" w:lineRule="auto"/>
        <w:jc w:val="both"/>
        <w:rPr>
          <w:rFonts w:ascii="Segoe UI" w:hAnsi="Segoe UI" w:cs="Segoe UI"/>
          <w:sz w:val="20"/>
          <w:szCs w:val="20"/>
          <w:lang w:val="fr-FR"/>
        </w:rPr>
      </w:pPr>
    </w:p>
    <w:p w14:paraId="6E23C37E" w14:textId="6FADBAA2" w:rsidR="0076598D" w:rsidRPr="00442934" w:rsidRDefault="001B6605" w:rsidP="0076598D">
      <w:pPr>
        <w:spacing w:after="0" w:line="240" w:lineRule="auto"/>
        <w:jc w:val="both"/>
        <w:rPr>
          <w:rFonts w:ascii="Segoe UI" w:hAnsi="Segoe UI" w:cs="Segoe UI"/>
          <w:sz w:val="20"/>
          <w:szCs w:val="20"/>
          <w:u w:val="single"/>
          <w:lang w:val="fr-FR"/>
        </w:rPr>
      </w:pPr>
      <w:r w:rsidRPr="00442934">
        <w:rPr>
          <w:rFonts w:ascii="Segoe UI" w:hAnsi="Segoe UI" w:cs="Segoe UI"/>
          <w:sz w:val="20"/>
          <w:szCs w:val="20"/>
          <w:u w:val="single"/>
          <w:lang w:val="fr-FR"/>
        </w:rPr>
        <w:t>Par conséquent, l'OIM a recommandé la clause suivante :</w:t>
      </w:r>
    </w:p>
    <w:p w14:paraId="322B9B77" w14:textId="77777777" w:rsidR="001B6605" w:rsidRPr="00442934" w:rsidRDefault="001B6605" w:rsidP="0076598D">
      <w:pPr>
        <w:spacing w:after="0" w:line="240" w:lineRule="auto"/>
        <w:jc w:val="both"/>
        <w:rPr>
          <w:rFonts w:ascii="Segoe UI" w:hAnsi="Segoe UI" w:cs="Segoe UI"/>
          <w:sz w:val="20"/>
          <w:szCs w:val="20"/>
          <w:lang w:val="fr-FR"/>
        </w:rPr>
      </w:pPr>
    </w:p>
    <w:p w14:paraId="7B99DA3D" w14:textId="46170326" w:rsidR="001B6605" w:rsidRPr="000F334F" w:rsidRDefault="001B6605" w:rsidP="001B6605">
      <w:pPr>
        <w:pStyle w:val="Paragraphedeliste"/>
        <w:ind w:left="0"/>
        <w:jc w:val="both"/>
        <w:rPr>
          <w:rFonts w:ascii="Segoe UI" w:hAnsi="Segoe UI" w:cs="Segoe UI"/>
          <w:b/>
          <w:bCs/>
          <w:sz w:val="20"/>
          <w:szCs w:val="20"/>
        </w:rPr>
      </w:pPr>
      <w:r w:rsidRPr="000F334F">
        <w:rPr>
          <w:rFonts w:ascii="Segoe UI" w:hAnsi="Segoe UI" w:cs="Segoe UI"/>
          <w:b/>
          <w:bCs/>
          <w:sz w:val="20"/>
          <w:szCs w:val="20"/>
        </w:rPr>
        <w:t xml:space="preserve">Clause des conditions </w:t>
      </w:r>
      <w:r w:rsidR="00442934" w:rsidRPr="000F334F">
        <w:rPr>
          <w:rFonts w:ascii="Segoe UI" w:hAnsi="Segoe UI" w:cs="Segoe UI"/>
          <w:b/>
          <w:bCs/>
          <w:sz w:val="20"/>
          <w:szCs w:val="20"/>
        </w:rPr>
        <w:t>d ‘attrition</w:t>
      </w:r>
    </w:p>
    <w:p w14:paraId="04D9ECEA" w14:textId="45FF2D75" w:rsidR="001B6605" w:rsidRPr="00442934" w:rsidRDefault="001B6605" w:rsidP="001B6605">
      <w:pPr>
        <w:pStyle w:val="Paragraphedeliste"/>
        <w:numPr>
          <w:ilvl w:val="1"/>
          <w:numId w:val="31"/>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 xml:space="preserve">Ajustement </w:t>
      </w:r>
      <w:r w:rsidR="00442934" w:rsidRPr="00442934">
        <w:rPr>
          <w:rFonts w:ascii="Segoe UI" w:hAnsi="Segoe UI" w:cs="Segoe UI"/>
          <w:b/>
          <w:bCs/>
          <w:sz w:val="18"/>
          <w:szCs w:val="18"/>
          <w:lang w:val="fr-FR"/>
        </w:rPr>
        <w:t xml:space="preserve">de </w:t>
      </w:r>
      <w:r w:rsidR="00442934" w:rsidRPr="00442934">
        <w:rPr>
          <w:rFonts w:ascii="Segoe UI" w:hAnsi="Segoe UI" w:cs="Segoe UI"/>
          <w:sz w:val="18"/>
          <w:szCs w:val="18"/>
          <w:lang w:val="fr-FR"/>
        </w:rPr>
        <w:t>l’engagement</w:t>
      </w:r>
      <w:r w:rsidRPr="00442934">
        <w:rPr>
          <w:rFonts w:ascii="Segoe UI" w:hAnsi="Segoe UI" w:cs="Segoe UI"/>
          <w:sz w:val="18"/>
          <w:szCs w:val="18"/>
          <w:lang w:val="fr-FR"/>
        </w:rPr>
        <w:t xml:space="preserve"> de réservation de chambre : L'OIM se réserve le droit d'ajuster son engagement de réservation de chambre jusqu'à vingt pour cent (20 %) sans encourir de pénalités. Cet ajustement donne à l'OIM la possibilité de modifier ses besoins en matière de réservation tout en fournissant à l'hôtel une compréhension claire de ses obligations.</w:t>
      </w:r>
    </w:p>
    <w:p w14:paraId="57301A81" w14:textId="6C20F299" w:rsidR="001B6605" w:rsidRPr="00442934" w:rsidRDefault="001B6605" w:rsidP="001B6605">
      <w:pPr>
        <w:pStyle w:val="Paragraphedeliste"/>
        <w:numPr>
          <w:ilvl w:val="1"/>
          <w:numId w:val="31"/>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lastRenderedPageBreak/>
        <w:t xml:space="preserve">Calcul des frais d'attrition </w:t>
      </w:r>
      <w:r w:rsidRPr="00442934">
        <w:rPr>
          <w:rFonts w:ascii="Segoe UI" w:hAnsi="Segoe UI" w:cs="Segoe UI"/>
          <w:sz w:val="18"/>
          <w:szCs w:val="18"/>
          <w:lang w:val="fr-FR"/>
        </w:rPr>
        <w:t>: Dans le cas où l'utilisation réelle des chambres par l'OIM tombe en dessous du nombre ajusté de chambres réservées, l'OIM accepte de payer des frais d'attrition. Ces frais seront calculés comme suit : la différence entre le nombre ajusté de chambres réservées et le nombre réel de chambres utilisées, multipliée par le prix de chambre convenu tel que spécifié dans le présent accord.</w:t>
      </w:r>
    </w:p>
    <w:p w14:paraId="1D12AF00" w14:textId="20041723" w:rsidR="001B6605" w:rsidRPr="00442934" w:rsidRDefault="001B6605" w:rsidP="00442934">
      <w:pPr>
        <w:pStyle w:val="Paragraphedeliste"/>
        <w:numPr>
          <w:ilvl w:val="1"/>
          <w:numId w:val="31"/>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 xml:space="preserve">Obligation de l'hôtel de mitiger </w:t>
      </w:r>
      <w:r w:rsidRPr="00442934">
        <w:rPr>
          <w:rFonts w:ascii="Segoe UI" w:hAnsi="Segoe UI" w:cs="Segoe UI"/>
          <w:sz w:val="18"/>
          <w:szCs w:val="18"/>
          <w:lang w:val="fr-FR"/>
        </w:rPr>
        <w:t xml:space="preserve">: L'hôtel s'engage à </w:t>
      </w:r>
      <w:r w:rsidR="00442934" w:rsidRPr="00442934">
        <w:rPr>
          <w:rFonts w:ascii="Segoe UI" w:hAnsi="Segoe UI" w:cs="Segoe UI"/>
          <w:sz w:val="18"/>
          <w:szCs w:val="18"/>
          <w:lang w:val="fr-FR"/>
        </w:rPr>
        <w:t>fournir</w:t>
      </w:r>
      <w:r w:rsidRPr="00442934">
        <w:rPr>
          <w:rFonts w:ascii="Segoe UI" w:hAnsi="Segoe UI" w:cs="Segoe UI"/>
          <w:sz w:val="18"/>
          <w:szCs w:val="18"/>
          <w:lang w:val="fr-FR"/>
        </w:rPr>
        <w:t xml:space="preserve"> des efforts raisonnables pour revendre toutes les chambres inutilisées afin d'atténuer la responsabilité financière de l'OIM. Cela inclut, mais sans s'y limiter, la commercialisation de la disponibilité de ces chambres auprès des clients potentiels et l'utilisation des canaux de vente standard de l'hôtel pour maximiser l'occupation.</w:t>
      </w:r>
    </w:p>
    <w:p w14:paraId="0514DAFE" w14:textId="0C0283A8" w:rsidR="001B6605" w:rsidRPr="00442934" w:rsidRDefault="001B6605" w:rsidP="001B6605">
      <w:pPr>
        <w:pStyle w:val="Paragraphedeliste"/>
        <w:numPr>
          <w:ilvl w:val="1"/>
          <w:numId w:val="31"/>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 xml:space="preserve">Notification et documentation </w:t>
      </w:r>
      <w:r w:rsidRPr="00442934">
        <w:rPr>
          <w:rFonts w:ascii="Segoe UI" w:hAnsi="Segoe UI" w:cs="Segoe UI"/>
          <w:sz w:val="18"/>
          <w:szCs w:val="18"/>
          <w:lang w:val="fr-FR"/>
        </w:rPr>
        <w:t>: L'OIM s'efforcera de fournir à l'hôtel un avis écrit de tout ajustement à l'engagement de réservation de chambre dès qu'il est informé des changements et avant l'événement prévu. L'hôtel fournira à l'OIM des documents sur les efforts déployés pour revendre les chambres inutilisées, sur demande.</w:t>
      </w:r>
    </w:p>
    <w:p w14:paraId="5C29DFBE" w14:textId="2FF4D0A7" w:rsidR="0076598D" w:rsidRPr="00442934" w:rsidRDefault="001B6605" w:rsidP="001B6605">
      <w:pPr>
        <w:pStyle w:val="Paragraphedeliste"/>
        <w:numPr>
          <w:ilvl w:val="1"/>
          <w:numId w:val="31"/>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 xml:space="preserve">Efforts de bonne foi </w:t>
      </w:r>
      <w:r w:rsidRPr="00442934">
        <w:rPr>
          <w:rFonts w:ascii="Segoe UI" w:hAnsi="Segoe UI" w:cs="Segoe UI"/>
          <w:sz w:val="18"/>
          <w:szCs w:val="18"/>
          <w:lang w:val="fr-FR"/>
        </w:rPr>
        <w:t>: Les deux parties conviennent d'agir de bonne foi pour assurer la bonne exécution du présent accord, en reconnaissant l'importance de la flexibilité et de la coopération dans la gestion des réservations de chambres et la minimisation des impacts financiers.</w:t>
      </w:r>
    </w:p>
    <w:p w14:paraId="336F5D19" w14:textId="77777777" w:rsidR="001B6605" w:rsidRPr="00442934" w:rsidRDefault="001B6605" w:rsidP="0076598D">
      <w:pPr>
        <w:spacing w:after="0" w:line="240" w:lineRule="auto"/>
        <w:jc w:val="both"/>
        <w:rPr>
          <w:rFonts w:ascii="Segoe UI" w:hAnsi="Segoe UI" w:cs="Segoe UI"/>
          <w:sz w:val="20"/>
          <w:szCs w:val="20"/>
          <w:lang w:val="fr-FR"/>
        </w:rPr>
      </w:pPr>
    </w:p>
    <w:p w14:paraId="5F7F5ED7" w14:textId="77777777" w:rsidR="001B6605" w:rsidRPr="00442934" w:rsidRDefault="001B6605" w:rsidP="0076598D">
      <w:pPr>
        <w:spacing w:after="0" w:line="240" w:lineRule="auto"/>
        <w:jc w:val="both"/>
        <w:rPr>
          <w:rFonts w:ascii="Segoe UI" w:hAnsi="Segoe UI" w:cs="Segoe UI"/>
          <w:sz w:val="20"/>
          <w:szCs w:val="20"/>
          <w:lang w:val="fr-FR"/>
        </w:rPr>
      </w:pPr>
    </w:p>
    <w:p w14:paraId="65BB62B4" w14:textId="0B200843" w:rsidR="001C428C" w:rsidRPr="00442934" w:rsidRDefault="001C428C" w:rsidP="001C428C">
      <w:pPr>
        <w:pStyle w:val="Paragraphedeliste"/>
        <w:numPr>
          <w:ilvl w:val="0"/>
          <w:numId w:val="1"/>
        </w:numPr>
        <w:jc w:val="both"/>
        <w:rPr>
          <w:rFonts w:ascii="Segoe UI" w:hAnsi="Segoe UI" w:cs="Segoe UI"/>
          <w:sz w:val="20"/>
          <w:szCs w:val="20"/>
          <w:lang w:val="fr-FR"/>
        </w:rPr>
      </w:pPr>
      <w:r w:rsidRPr="00442934">
        <w:rPr>
          <w:rFonts w:ascii="Segoe UI" w:hAnsi="Segoe UI" w:cs="Segoe UI"/>
          <w:b/>
          <w:bCs/>
          <w:sz w:val="20"/>
          <w:szCs w:val="20"/>
          <w:u w:val="single"/>
          <w:lang w:val="fr-FR"/>
        </w:rPr>
        <w:t xml:space="preserve">Conditions et délais d'annulation flexibles : </w:t>
      </w:r>
    </w:p>
    <w:p w14:paraId="71D16351" w14:textId="5C855D6F" w:rsidR="001C428C" w:rsidRPr="00442934" w:rsidRDefault="001C428C" w:rsidP="001C428C">
      <w:p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 xml:space="preserve">Les conditions d'annulation doivent permettre des annulations jusqu'à un certain nombre de jours avant l'événement sans encourir de pénalités. Cette période doit être aussi proche que possible de la date de l'événement, idéalement 24 à 48 heures à l'avance. Si les annulations surviennent après la date limite, les pénalités doivent être réduites au minimum. Il peut s'agir d'une échelle mobile selon laquelle plus on se rapproche de l'événement, plus la pénalité est élevée, mais cela reste raisonnable. Les hôtels doivent essayer de prévoir la possibilité de réserver à une date ultérieure sans pénalité, ce qui peut être bénéfique si l'événement est reporté plutôt </w:t>
      </w:r>
      <w:r w:rsidR="00442934" w:rsidRPr="00442934">
        <w:rPr>
          <w:rFonts w:ascii="Segoe UI" w:hAnsi="Segoe UI" w:cs="Segoe UI"/>
          <w:sz w:val="20"/>
          <w:szCs w:val="20"/>
          <w:lang w:val="fr-FR"/>
        </w:rPr>
        <w:t>qu’annuler</w:t>
      </w:r>
      <w:r w:rsidRPr="00442934">
        <w:rPr>
          <w:rFonts w:ascii="Segoe UI" w:hAnsi="Segoe UI" w:cs="Segoe UI"/>
          <w:sz w:val="20"/>
          <w:szCs w:val="20"/>
          <w:lang w:val="fr-FR"/>
        </w:rPr>
        <w:t>. Cela signifie qu'en cas d'annulation, l'OIM peut reprogrammer l'événement dans les 12 mois sans encourir de frais supplémentaires, sous réserve de disponibilité.</w:t>
      </w:r>
    </w:p>
    <w:p w14:paraId="76DBE8A0" w14:textId="77777777" w:rsidR="001C428C" w:rsidRPr="00442934" w:rsidRDefault="001C428C" w:rsidP="001C428C">
      <w:pPr>
        <w:spacing w:after="0" w:line="240" w:lineRule="auto"/>
        <w:jc w:val="both"/>
        <w:rPr>
          <w:rFonts w:ascii="Segoe UI" w:hAnsi="Segoe UI" w:cs="Segoe UI"/>
          <w:sz w:val="20"/>
          <w:szCs w:val="20"/>
          <w:lang w:val="fr-FR"/>
        </w:rPr>
      </w:pPr>
    </w:p>
    <w:p w14:paraId="713AD5E0" w14:textId="77777777" w:rsidR="000F334F" w:rsidRPr="00442934" w:rsidRDefault="000F334F" w:rsidP="000F334F">
      <w:pPr>
        <w:spacing w:after="0" w:line="240" w:lineRule="auto"/>
        <w:rPr>
          <w:rFonts w:ascii="Segoe UI" w:hAnsi="Segoe UI" w:cs="Segoe UI"/>
          <w:sz w:val="20"/>
          <w:szCs w:val="20"/>
          <w:lang w:val="fr-FR"/>
        </w:rPr>
      </w:pPr>
    </w:p>
    <w:p w14:paraId="792BE337" w14:textId="77777777" w:rsidR="000F334F" w:rsidRPr="00442934" w:rsidRDefault="000F334F" w:rsidP="000F334F">
      <w:pPr>
        <w:spacing w:after="0" w:line="240" w:lineRule="auto"/>
        <w:jc w:val="both"/>
        <w:rPr>
          <w:rFonts w:ascii="Segoe UI" w:hAnsi="Segoe UI" w:cs="Segoe UI"/>
          <w:sz w:val="20"/>
          <w:szCs w:val="20"/>
          <w:u w:val="single"/>
          <w:lang w:val="fr-FR"/>
        </w:rPr>
      </w:pPr>
      <w:r w:rsidRPr="00442934">
        <w:rPr>
          <w:rFonts w:ascii="Segoe UI" w:hAnsi="Segoe UI" w:cs="Segoe UI"/>
          <w:sz w:val="20"/>
          <w:szCs w:val="20"/>
          <w:u w:val="single"/>
          <w:lang w:val="fr-FR"/>
        </w:rPr>
        <w:t>Par conséquent, l'OIM a recommandé la clause suivante :</w:t>
      </w:r>
    </w:p>
    <w:p w14:paraId="2AE384DD" w14:textId="77777777" w:rsidR="000F334F" w:rsidRPr="00442934" w:rsidRDefault="000F334F" w:rsidP="000F334F">
      <w:pPr>
        <w:spacing w:after="0" w:line="240" w:lineRule="auto"/>
        <w:rPr>
          <w:rFonts w:ascii="Segoe UI" w:hAnsi="Segoe UI" w:cs="Segoe UI"/>
          <w:b/>
          <w:bCs/>
          <w:sz w:val="20"/>
          <w:szCs w:val="20"/>
          <w:lang w:val="fr-FR"/>
        </w:rPr>
      </w:pPr>
    </w:p>
    <w:p w14:paraId="2FAD009D" w14:textId="3C447FB1" w:rsidR="000F334F" w:rsidRPr="00442934" w:rsidRDefault="000F334F" w:rsidP="000F334F">
      <w:pPr>
        <w:spacing w:after="0" w:line="240" w:lineRule="auto"/>
        <w:rPr>
          <w:rFonts w:ascii="Segoe UI" w:hAnsi="Segoe UI" w:cs="Segoe UI"/>
          <w:b/>
          <w:bCs/>
          <w:sz w:val="20"/>
          <w:szCs w:val="20"/>
          <w:lang w:val="fr-FR"/>
        </w:rPr>
      </w:pPr>
      <w:r w:rsidRPr="00442934">
        <w:rPr>
          <w:rFonts w:ascii="Segoe UI" w:hAnsi="Segoe UI" w:cs="Segoe UI"/>
          <w:b/>
          <w:bCs/>
          <w:sz w:val="20"/>
          <w:szCs w:val="20"/>
          <w:lang w:val="fr-FR"/>
        </w:rPr>
        <w:t>Conditions d'annulation et de changement de réservation :</w:t>
      </w:r>
    </w:p>
    <w:p w14:paraId="7A86E780" w14:textId="77777777" w:rsidR="001619F9" w:rsidRPr="00442934" w:rsidRDefault="001619F9" w:rsidP="000F334F">
      <w:pPr>
        <w:spacing w:after="0" w:line="240" w:lineRule="auto"/>
        <w:rPr>
          <w:rFonts w:ascii="Segoe UI" w:hAnsi="Segoe UI" w:cs="Segoe UI"/>
          <w:b/>
          <w:bCs/>
          <w:sz w:val="20"/>
          <w:szCs w:val="20"/>
          <w:lang w:val="fr-FR"/>
        </w:rPr>
      </w:pPr>
    </w:p>
    <w:p w14:paraId="03F63483" w14:textId="7909A51A" w:rsidR="000F334F" w:rsidRPr="00442934" w:rsidRDefault="000F334F" w:rsidP="000F334F">
      <w:pPr>
        <w:pStyle w:val="Paragraphedeliste"/>
        <w:numPr>
          <w:ilvl w:val="1"/>
          <w:numId w:val="32"/>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 xml:space="preserve">Période d'annulation </w:t>
      </w:r>
      <w:r w:rsidRPr="00442934">
        <w:rPr>
          <w:rFonts w:ascii="Segoe UI" w:hAnsi="Segoe UI" w:cs="Segoe UI"/>
          <w:sz w:val="18"/>
          <w:szCs w:val="18"/>
          <w:lang w:val="fr-FR"/>
        </w:rPr>
        <w:t>: Le Client peut annuler l'événement sans encourir de pénalités jusqu'à 48 heures avant la date prévue de l'événement. Cette période est conçue pour offrir de la flexibilité tout en assurant un préavis suffisant pour l'hôtel.</w:t>
      </w:r>
    </w:p>
    <w:p w14:paraId="6C30D499" w14:textId="72722BF9" w:rsidR="000F334F" w:rsidRPr="000F334F" w:rsidRDefault="000F334F" w:rsidP="000F334F">
      <w:pPr>
        <w:pStyle w:val="Paragraphedeliste"/>
        <w:numPr>
          <w:ilvl w:val="1"/>
          <w:numId w:val="32"/>
        </w:numPr>
        <w:spacing w:after="0" w:line="240" w:lineRule="auto"/>
        <w:ind w:left="360"/>
        <w:jc w:val="both"/>
        <w:rPr>
          <w:rFonts w:ascii="Segoe UI" w:hAnsi="Segoe UI" w:cs="Segoe UI"/>
          <w:sz w:val="18"/>
          <w:szCs w:val="18"/>
        </w:rPr>
      </w:pPr>
      <w:r w:rsidRPr="000F334F">
        <w:rPr>
          <w:rFonts w:ascii="Segoe UI" w:hAnsi="Segoe UI" w:cs="Segoe UI"/>
          <w:b/>
          <w:bCs/>
          <w:sz w:val="18"/>
          <w:szCs w:val="18"/>
        </w:rPr>
        <w:t xml:space="preserve">Structure des </w:t>
      </w:r>
      <w:r w:rsidR="00442934" w:rsidRPr="000F334F">
        <w:rPr>
          <w:rFonts w:ascii="Segoe UI" w:hAnsi="Segoe UI" w:cs="Segoe UI"/>
          <w:b/>
          <w:bCs/>
          <w:sz w:val="18"/>
          <w:szCs w:val="18"/>
        </w:rPr>
        <w:t>sanctions</w:t>
      </w:r>
      <w:r w:rsidR="00442934" w:rsidRPr="000F334F">
        <w:rPr>
          <w:rFonts w:ascii="Segoe UI" w:hAnsi="Segoe UI" w:cs="Segoe UI"/>
          <w:sz w:val="18"/>
          <w:szCs w:val="18"/>
        </w:rPr>
        <w:t>:</w:t>
      </w:r>
      <w:r w:rsidRPr="000F334F">
        <w:rPr>
          <w:rFonts w:ascii="Segoe UI" w:hAnsi="Segoe UI" w:cs="Segoe UI"/>
          <w:sz w:val="18"/>
          <w:szCs w:val="18"/>
        </w:rPr>
        <w:t xml:space="preserve"> </w:t>
      </w:r>
    </w:p>
    <w:p w14:paraId="2858F2C3" w14:textId="6282FD7B"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Les annulations effectuées entre 48 heures et 24 heures avant l'événement entraîneront une pénalité de 25% du coût total de la réservation.</w:t>
      </w:r>
    </w:p>
    <w:p w14:paraId="7765DC02" w14:textId="12763964"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Les annulations effectuées dans les 24 heures précédant l'événement entraîneront une pénalité de 50% du coût total de la réservation.</w:t>
      </w:r>
    </w:p>
    <w:p w14:paraId="19B62946" w14:textId="2E6B1B15"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Ces sanctions sont structurées selon une échelle mobile afin d'équilibrer les intérêts des deux parties, en assurant l'équité et le caractère raisonnable.</w:t>
      </w:r>
    </w:p>
    <w:p w14:paraId="260A4256" w14:textId="4AC6E430" w:rsidR="000F334F" w:rsidRPr="00442934" w:rsidRDefault="000F334F" w:rsidP="000F334F">
      <w:pPr>
        <w:pStyle w:val="Paragraphedeliste"/>
        <w:numPr>
          <w:ilvl w:val="1"/>
          <w:numId w:val="32"/>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Option de changement de réservation</w:t>
      </w:r>
      <w:r w:rsidRPr="00442934">
        <w:rPr>
          <w:rFonts w:ascii="Segoe UI" w:hAnsi="Segoe UI" w:cs="Segoe UI"/>
          <w:sz w:val="18"/>
          <w:szCs w:val="18"/>
          <w:lang w:val="fr-FR"/>
        </w:rPr>
        <w:t xml:space="preserve"> : </w:t>
      </w:r>
    </w:p>
    <w:p w14:paraId="729FA1CC" w14:textId="37C4AB0C"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En cas d'annulation, le Client a le droit de réserver à nouveau l'événement dans un délai de 12 mois à compter de la date initiale de l'événement sans encourir de frais supplémentaires, sous réserve de disponibilité.</w:t>
      </w:r>
    </w:p>
    <w:p w14:paraId="710F1707" w14:textId="7B30E238"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 xml:space="preserve">La modification de réservation doit concerner un événement de portée et d'échelle similaires, et toute différence de prix due à des variations saisonnières ou autres </w:t>
      </w:r>
      <w:r w:rsidR="00442934" w:rsidRPr="00442934">
        <w:rPr>
          <w:rFonts w:ascii="Segoe UI" w:hAnsi="Segoe UI" w:cs="Segoe UI"/>
          <w:sz w:val="18"/>
          <w:szCs w:val="18"/>
          <w:lang w:val="fr-FR"/>
        </w:rPr>
        <w:t>seront</w:t>
      </w:r>
      <w:r w:rsidRPr="00442934">
        <w:rPr>
          <w:rFonts w:ascii="Segoe UI" w:hAnsi="Segoe UI" w:cs="Segoe UI"/>
          <w:sz w:val="18"/>
          <w:szCs w:val="18"/>
          <w:lang w:val="fr-FR"/>
        </w:rPr>
        <w:t xml:space="preserve"> ajustée en conséquence.</w:t>
      </w:r>
    </w:p>
    <w:p w14:paraId="13FFFD3E" w14:textId="0D022701" w:rsidR="000F334F" w:rsidRPr="00442934" w:rsidRDefault="000F334F" w:rsidP="000F334F">
      <w:pPr>
        <w:pStyle w:val="Paragraphedeliste"/>
        <w:numPr>
          <w:ilvl w:val="1"/>
          <w:numId w:val="32"/>
        </w:numPr>
        <w:spacing w:after="0" w:line="240" w:lineRule="auto"/>
        <w:ind w:left="360"/>
        <w:jc w:val="both"/>
        <w:rPr>
          <w:rFonts w:ascii="Segoe UI" w:hAnsi="Segoe UI" w:cs="Segoe UI"/>
          <w:sz w:val="18"/>
          <w:szCs w:val="18"/>
          <w:lang w:val="fr-FR"/>
        </w:rPr>
      </w:pPr>
      <w:r w:rsidRPr="00442934">
        <w:rPr>
          <w:rFonts w:ascii="Segoe UI" w:hAnsi="Segoe UI" w:cs="Segoe UI"/>
          <w:b/>
          <w:bCs/>
          <w:sz w:val="18"/>
          <w:szCs w:val="18"/>
          <w:lang w:val="fr-FR"/>
        </w:rPr>
        <w:t>Flexibilité en matière de report</w:t>
      </w:r>
      <w:r w:rsidRPr="00442934">
        <w:rPr>
          <w:rFonts w:ascii="Segoe UI" w:hAnsi="Segoe UI" w:cs="Segoe UI"/>
          <w:sz w:val="18"/>
          <w:szCs w:val="18"/>
          <w:lang w:val="fr-FR"/>
        </w:rPr>
        <w:t xml:space="preserve"> : </w:t>
      </w:r>
    </w:p>
    <w:p w14:paraId="5EA300C6" w14:textId="51109AB3"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 xml:space="preserve">Si l'événement est reporté plutôt </w:t>
      </w:r>
      <w:r w:rsidR="00442934" w:rsidRPr="00442934">
        <w:rPr>
          <w:rFonts w:ascii="Segoe UI" w:hAnsi="Segoe UI" w:cs="Segoe UI"/>
          <w:sz w:val="18"/>
          <w:szCs w:val="18"/>
          <w:lang w:val="fr-FR"/>
        </w:rPr>
        <w:t>qu’annuler</w:t>
      </w:r>
      <w:r w:rsidRPr="00442934">
        <w:rPr>
          <w:rFonts w:ascii="Segoe UI" w:hAnsi="Segoe UI" w:cs="Segoe UI"/>
          <w:sz w:val="18"/>
          <w:szCs w:val="18"/>
          <w:lang w:val="fr-FR"/>
        </w:rPr>
        <w:t xml:space="preserve">, l'hôtel </w:t>
      </w:r>
      <w:r w:rsidR="00442934" w:rsidRPr="00442934">
        <w:rPr>
          <w:rFonts w:ascii="Segoe UI" w:hAnsi="Segoe UI" w:cs="Segoe UI"/>
          <w:sz w:val="18"/>
          <w:szCs w:val="18"/>
          <w:lang w:val="fr-FR"/>
        </w:rPr>
        <w:t>fournira</w:t>
      </w:r>
      <w:r w:rsidRPr="00442934">
        <w:rPr>
          <w:rFonts w:ascii="Segoe UI" w:hAnsi="Segoe UI" w:cs="Segoe UI"/>
          <w:sz w:val="18"/>
          <w:szCs w:val="18"/>
          <w:lang w:val="fr-FR"/>
        </w:rPr>
        <w:t xml:space="preserve"> des efforts raisonnables pour s'adapter à la nouvelle date sans pénalités, à condition que la demande soit faite dans le délai d'annulation initial.</w:t>
      </w:r>
    </w:p>
    <w:p w14:paraId="2E61902F" w14:textId="22214F93" w:rsidR="000F334F"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L'Hôtel donnera la priorité à la demande de changement de réservation du Client, sous réserve de disponibilité, afin d'assurer un minimum de perturbations.</w:t>
      </w:r>
    </w:p>
    <w:p w14:paraId="2BB7A6DB" w14:textId="77777777" w:rsidR="00442934" w:rsidRDefault="00442934" w:rsidP="00442934">
      <w:pPr>
        <w:spacing w:after="0" w:line="240" w:lineRule="auto"/>
        <w:jc w:val="both"/>
        <w:rPr>
          <w:rFonts w:ascii="Segoe UI" w:hAnsi="Segoe UI" w:cs="Segoe UI"/>
          <w:sz w:val="18"/>
          <w:szCs w:val="18"/>
          <w:lang w:val="fr-FR"/>
        </w:rPr>
      </w:pPr>
    </w:p>
    <w:p w14:paraId="625A7F89" w14:textId="77777777" w:rsidR="00442934" w:rsidRDefault="00442934" w:rsidP="00442934">
      <w:pPr>
        <w:spacing w:after="0" w:line="240" w:lineRule="auto"/>
        <w:jc w:val="both"/>
        <w:rPr>
          <w:rFonts w:ascii="Segoe UI" w:hAnsi="Segoe UI" w:cs="Segoe UI"/>
          <w:sz w:val="18"/>
          <w:szCs w:val="18"/>
          <w:lang w:val="fr-FR"/>
        </w:rPr>
      </w:pPr>
    </w:p>
    <w:p w14:paraId="36ABAD20" w14:textId="77777777" w:rsidR="00442934" w:rsidRPr="00442934" w:rsidRDefault="00442934" w:rsidP="00442934">
      <w:pPr>
        <w:spacing w:after="0" w:line="240" w:lineRule="auto"/>
        <w:jc w:val="both"/>
        <w:rPr>
          <w:rFonts w:ascii="Segoe UI" w:hAnsi="Segoe UI" w:cs="Segoe UI"/>
          <w:sz w:val="18"/>
          <w:szCs w:val="18"/>
          <w:lang w:val="fr-FR"/>
        </w:rPr>
      </w:pPr>
    </w:p>
    <w:p w14:paraId="475F845A" w14:textId="4DB7B877" w:rsidR="000F334F" w:rsidRDefault="000F334F" w:rsidP="000F334F">
      <w:pPr>
        <w:pStyle w:val="Paragraphedeliste"/>
        <w:numPr>
          <w:ilvl w:val="1"/>
          <w:numId w:val="32"/>
        </w:numPr>
        <w:spacing w:after="0" w:line="240" w:lineRule="auto"/>
        <w:ind w:left="360"/>
        <w:jc w:val="both"/>
        <w:rPr>
          <w:rFonts w:ascii="Segoe UI" w:hAnsi="Segoe UI" w:cs="Segoe UI"/>
          <w:sz w:val="18"/>
          <w:szCs w:val="18"/>
        </w:rPr>
      </w:pPr>
      <w:r w:rsidRPr="001619F9">
        <w:rPr>
          <w:rFonts w:ascii="Segoe UI" w:hAnsi="Segoe UI" w:cs="Segoe UI"/>
          <w:b/>
          <w:bCs/>
          <w:sz w:val="18"/>
          <w:szCs w:val="18"/>
        </w:rPr>
        <w:t>Force Majeure</w:t>
      </w:r>
      <w:r w:rsidRPr="000F334F">
        <w:rPr>
          <w:rFonts w:ascii="Segoe UI" w:hAnsi="Segoe UI" w:cs="Segoe UI"/>
          <w:sz w:val="18"/>
          <w:szCs w:val="18"/>
        </w:rPr>
        <w:t xml:space="preserve">: </w:t>
      </w:r>
    </w:p>
    <w:p w14:paraId="4DC5CA30" w14:textId="77777777" w:rsidR="00442934" w:rsidRPr="000F334F" w:rsidRDefault="00442934" w:rsidP="00442934">
      <w:pPr>
        <w:pStyle w:val="Paragraphedeliste"/>
        <w:spacing w:after="0" w:line="240" w:lineRule="auto"/>
        <w:ind w:left="360"/>
        <w:jc w:val="both"/>
        <w:rPr>
          <w:rFonts w:ascii="Segoe UI" w:hAnsi="Segoe UI" w:cs="Segoe UI"/>
          <w:sz w:val="18"/>
          <w:szCs w:val="18"/>
        </w:rPr>
      </w:pPr>
    </w:p>
    <w:p w14:paraId="586B52D4" w14:textId="68BCB87A" w:rsidR="000F334F" w:rsidRPr="00442934" w:rsidRDefault="000F334F" w:rsidP="000F334F">
      <w:pPr>
        <w:pStyle w:val="Paragraphedeliste"/>
        <w:numPr>
          <w:ilvl w:val="2"/>
          <w:numId w:val="32"/>
        </w:numPr>
        <w:spacing w:after="0" w:line="240" w:lineRule="auto"/>
        <w:ind w:left="1080"/>
        <w:jc w:val="both"/>
        <w:rPr>
          <w:rFonts w:ascii="Segoe UI" w:hAnsi="Segoe UI" w:cs="Segoe UI"/>
          <w:sz w:val="18"/>
          <w:szCs w:val="18"/>
          <w:lang w:val="fr-FR"/>
        </w:rPr>
      </w:pPr>
      <w:r w:rsidRPr="00442934">
        <w:rPr>
          <w:rFonts w:ascii="Segoe UI" w:hAnsi="Segoe UI" w:cs="Segoe UI"/>
          <w:sz w:val="18"/>
          <w:szCs w:val="18"/>
          <w:lang w:val="fr-FR"/>
        </w:rPr>
        <w:t>Dans les cas où l'annulation est due à des circonstances imprévues indépendantes de la volonté de l'une ou l'autre des parties (par exemple, des catastrophes naturelles, des restrictions gouvernementales), aucune pénalité ne sera appliquée et l'option de changement de réservation restera disponible.</w:t>
      </w:r>
    </w:p>
    <w:p w14:paraId="719E5477" w14:textId="77777777" w:rsidR="000F334F" w:rsidRPr="00442934" w:rsidRDefault="000F334F" w:rsidP="001C428C">
      <w:pPr>
        <w:spacing w:after="0" w:line="240" w:lineRule="auto"/>
        <w:jc w:val="both"/>
        <w:rPr>
          <w:rFonts w:ascii="Segoe UI" w:hAnsi="Segoe UI" w:cs="Segoe UI"/>
          <w:sz w:val="20"/>
          <w:szCs w:val="20"/>
          <w:lang w:val="fr-FR"/>
        </w:rPr>
      </w:pPr>
    </w:p>
    <w:p w14:paraId="47F8D71E" w14:textId="77777777" w:rsidR="00E4265F" w:rsidRPr="00442934" w:rsidRDefault="00E4265F" w:rsidP="00247368">
      <w:pPr>
        <w:spacing w:after="0" w:line="240" w:lineRule="auto"/>
        <w:jc w:val="both"/>
        <w:rPr>
          <w:b/>
          <w:bCs/>
          <w:lang w:val="fr-FR"/>
        </w:rPr>
      </w:pPr>
    </w:p>
    <w:p w14:paraId="55663057" w14:textId="1D9D4B3E" w:rsidR="0048593E" w:rsidRPr="00442934" w:rsidRDefault="0048593E" w:rsidP="0048593E">
      <w:pPr>
        <w:pStyle w:val="Paragraphedeliste"/>
        <w:numPr>
          <w:ilvl w:val="0"/>
          <w:numId w:val="1"/>
        </w:numPr>
        <w:jc w:val="both"/>
        <w:rPr>
          <w:rFonts w:ascii="Segoe UI" w:hAnsi="Segoe UI" w:cs="Segoe UI"/>
          <w:b/>
          <w:bCs/>
          <w:sz w:val="20"/>
          <w:szCs w:val="20"/>
          <w:u w:val="single"/>
          <w:lang w:val="fr-FR"/>
        </w:rPr>
      </w:pPr>
      <w:r w:rsidRPr="00442934">
        <w:rPr>
          <w:rFonts w:ascii="Segoe UI" w:hAnsi="Segoe UI" w:cs="Segoe UI"/>
          <w:b/>
          <w:bCs/>
          <w:sz w:val="20"/>
          <w:szCs w:val="20"/>
          <w:u w:val="single"/>
          <w:lang w:val="fr-FR"/>
        </w:rPr>
        <w:t>ÉVALUATION DE LA PERFORMANCE DES PRESTATAIRES DE SERVICES</w:t>
      </w:r>
    </w:p>
    <w:p w14:paraId="14BAD901" w14:textId="77777777" w:rsidR="00A72E2F" w:rsidRPr="00442934" w:rsidRDefault="00A72E2F" w:rsidP="00A72E2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Assurance qualité : Évaluations régulières de la qualité du service, y compris la propreté, le service client et le support technique.</w:t>
      </w:r>
    </w:p>
    <w:p w14:paraId="5F23A9AB" w14:textId="77777777" w:rsidR="00A72E2F" w:rsidRPr="00442934" w:rsidRDefault="00A72E2F" w:rsidP="00A72E2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Mécanisme de rétroaction : Mise en œuvre d'un système de rétroaction permettant au personnel et aux participants de l'OIM de rendre compte de la satisfaction à l'égard du service.</w:t>
      </w:r>
    </w:p>
    <w:p w14:paraId="0F915492" w14:textId="24129E95" w:rsidR="0048593E" w:rsidRPr="00442934" w:rsidRDefault="00A72E2F" w:rsidP="00A72E2F">
      <w:pPr>
        <w:numPr>
          <w:ilvl w:val="0"/>
          <w:numId w:val="29"/>
        </w:numPr>
        <w:spacing w:after="0" w:line="240" w:lineRule="auto"/>
        <w:jc w:val="both"/>
        <w:rPr>
          <w:rFonts w:ascii="Segoe UI" w:hAnsi="Segoe UI" w:cs="Segoe UI"/>
          <w:sz w:val="20"/>
          <w:szCs w:val="20"/>
          <w:lang w:val="fr-FR"/>
        </w:rPr>
      </w:pPr>
      <w:r w:rsidRPr="00442934">
        <w:rPr>
          <w:rFonts w:ascii="Segoe UI" w:hAnsi="Segoe UI" w:cs="Segoe UI"/>
          <w:sz w:val="20"/>
          <w:szCs w:val="20"/>
          <w:lang w:val="fr-FR"/>
        </w:rPr>
        <w:t>Examens du rendement : Examens annuels du rendement pour assurer le respect des modalités de l'entente.</w:t>
      </w:r>
    </w:p>
    <w:p w14:paraId="213E924C" w14:textId="77777777" w:rsidR="0048593E" w:rsidRPr="00442934" w:rsidRDefault="0048593E" w:rsidP="00247368">
      <w:pPr>
        <w:spacing w:after="0" w:line="240" w:lineRule="auto"/>
        <w:jc w:val="both"/>
        <w:rPr>
          <w:b/>
          <w:bCs/>
          <w:lang w:val="fr-FR"/>
        </w:rPr>
      </w:pPr>
    </w:p>
    <w:p w14:paraId="413BEE1F" w14:textId="77777777" w:rsidR="0048593E" w:rsidRPr="00442934" w:rsidRDefault="0048593E" w:rsidP="00247368">
      <w:pPr>
        <w:spacing w:after="0" w:line="240" w:lineRule="auto"/>
        <w:jc w:val="both"/>
        <w:rPr>
          <w:b/>
          <w:bCs/>
          <w:lang w:val="fr-FR"/>
        </w:rPr>
      </w:pPr>
    </w:p>
    <w:p w14:paraId="4574A5D7" w14:textId="65D4E01F" w:rsidR="002322F5" w:rsidRPr="00442934" w:rsidRDefault="002322F5" w:rsidP="002C6BFC">
      <w:pPr>
        <w:pStyle w:val="Paragraphedeliste"/>
        <w:numPr>
          <w:ilvl w:val="0"/>
          <w:numId w:val="1"/>
        </w:numPr>
        <w:spacing w:after="0" w:line="240" w:lineRule="auto"/>
        <w:jc w:val="both"/>
        <w:rPr>
          <w:b/>
          <w:bCs/>
          <w:lang w:val="fr-FR"/>
        </w:rPr>
      </w:pPr>
      <w:r w:rsidRPr="00442934">
        <w:rPr>
          <w:b/>
          <w:bCs/>
          <w:u w:val="single"/>
          <w:lang w:val="fr-FR"/>
        </w:rPr>
        <w:t>ÉVALUATION TECHNIQUE ET FINANCIÈRE DES OFFRES</w:t>
      </w:r>
    </w:p>
    <w:p w14:paraId="4B89A369" w14:textId="77777777" w:rsidR="002322F5" w:rsidRPr="00442934" w:rsidRDefault="002322F5" w:rsidP="002322F5">
      <w:pPr>
        <w:spacing w:after="0" w:line="240" w:lineRule="auto"/>
        <w:jc w:val="both"/>
        <w:rPr>
          <w:b/>
          <w:bCs/>
          <w:lang w:val="fr-FR"/>
        </w:rPr>
      </w:pPr>
    </w:p>
    <w:p w14:paraId="40DC74C8" w14:textId="77777777" w:rsidR="002322F5" w:rsidRPr="00442934" w:rsidRDefault="002322F5" w:rsidP="002322F5">
      <w:pPr>
        <w:spacing w:after="0" w:line="240" w:lineRule="auto"/>
        <w:jc w:val="both"/>
        <w:rPr>
          <w:b/>
          <w:bCs/>
          <w:lang w:val="fr-FR"/>
        </w:rPr>
      </w:pPr>
    </w:p>
    <w:p w14:paraId="31CEC7E8" w14:textId="4127BBC4" w:rsidR="008E5FD5" w:rsidRPr="00442934" w:rsidRDefault="008E5FD5" w:rsidP="002322F5">
      <w:pPr>
        <w:spacing w:after="0" w:line="240" w:lineRule="auto"/>
        <w:jc w:val="both"/>
        <w:rPr>
          <w:b/>
          <w:bCs/>
          <w:lang w:val="fr-FR"/>
        </w:rPr>
      </w:pPr>
      <w:r w:rsidRPr="00442934">
        <w:rPr>
          <w:b/>
          <w:bCs/>
          <w:lang w:val="fr-FR"/>
        </w:rPr>
        <w:t xml:space="preserve">Évaluation technique : </w:t>
      </w:r>
      <w:r w:rsidR="005930A5" w:rsidRPr="00442934">
        <w:rPr>
          <w:rFonts w:ascii="Segoe UI" w:hAnsi="Segoe UI" w:cs="Segoe UI"/>
          <w:sz w:val="20"/>
          <w:szCs w:val="20"/>
          <w:lang w:val="fr-FR"/>
        </w:rPr>
        <w:t>Tous les critères seront évalués sur la base de la réussite ou de l'échec, comme suit.</w:t>
      </w:r>
    </w:p>
    <w:p w14:paraId="6C8A5FC4" w14:textId="77777777" w:rsidR="008E5FD5" w:rsidRPr="00442934" w:rsidRDefault="008E5FD5" w:rsidP="002322F5">
      <w:pPr>
        <w:spacing w:after="0" w:line="240" w:lineRule="auto"/>
        <w:jc w:val="both"/>
        <w:rPr>
          <w:b/>
          <w:bCs/>
          <w:lang w:val="fr-FR"/>
        </w:rPr>
      </w:pPr>
    </w:p>
    <w:tbl>
      <w:tblPr>
        <w:tblW w:w="945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130"/>
        <w:gridCol w:w="1836"/>
        <w:gridCol w:w="1944"/>
      </w:tblGrid>
      <w:tr w:rsidR="008E5FD5" w:rsidRPr="008E5FD5" w14:paraId="4E54AC15" w14:textId="77777777" w:rsidTr="00C87350">
        <w:trPr>
          <w:trHeight w:val="99"/>
        </w:trPr>
        <w:tc>
          <w:tcPr>
            <w:tcW w:w="540" w:type="dxa"/>
          </w:tcPr>
          <w:p w14:paraId="647422F1" w14:textId="77777777" w:rsidR="008E5FD5" w:rsidRPr="008E5FD5" w:rsidRDefault="008E5FD5" w:rsidP="008E5FD5">
            <w:pPr>
              <w:spacing w:after="0" w:line="240" w:lineRule="auto"/>
              <w:rPr>
                <w:b/>
              </w:rPr>
            </w:pPr>
            <w:r w:rsidRPr="008E5FD5">
              <w:rPr>
                <w:b/>
              </w:rPr>
              <w:t xml:space="preserve">Non. </w:t>
            </w:r>
          </w:p>
        </w:tc>
        <w:tc>
          <w:tcPr>
            <w:tcW w:w="5130" w:type="dxa"/>
          </w:tcPr>
          <w:p w14:paraId="566D54E9" w14:textId="77777777" w:rsidR="008E5FD5" w:rsidRPr="008E5FD5" w:rsidRDefault="008E5FD5" w:rsidP="008E5FD5">
            <w:pPr>
              <w:spacing w:after="0" w:line="240" w:lineRule="auto"/>
              <w:rPr>
                <w:b/>
              </w:rPr>
            </w:pPr>
            <w:r w:rsidRPr="008E5FD5">
              <w:rPr>
                <w:b/>
              </w:rPr>
              <w:t xml:space="preserve">Exigences </w:t>
            </w:r>
          </w:p>
        </w:tc>
        <w:tc>
          <w:tcPr>
            <w:tcW w:w="1836" w:type="dxa"/>
          </w:tcPr>
          <w:p w14:paraId="3B5F54EC" w14:textId="10F994E9" w:rsidR="008E5FD5" w:rsidRPr="008E5FD5" w:rsidRDefault="008E5FD5" w:rsidP="008E5FD5">
            <w:pPr>
              <w:spacing w:after="0" w:line="240" w:lineRule="auto"/>
              <w:rPr>
                <w:b/>
              </w:rPr>
            </w:pPr>
            <w:r w:rsidRPr="008E5FD5">
              <w:rPr>
                <w:b/>
              </w:rPr>
              <w:t>Importance</w:t>
            </w:r>
          </w:p>
        </w:tc>
        <w:tc>
          <w:tcPr>
            <w:tcW w:w="1944" w:type="dxa"/>
          </w:tcPr>
          <w:p w14:paraId="5349B940" w14:textId="485A0B94" w:rsidR="008E5FD5" w:rsidRPr="008E5FD5" w:rsidRDefault="008E5FD5" w:rsidP="00C13367">
            <w:pPr>
              <w:spacing w:after="0" w:line="240" w:lineRule="auto"/>
              <w:rPr>
                <w:b/>
              </w:rPr>
            </w:pPr>
            <w:r w:rsidRPr="008E5FD5">
              <w:rPr>
                <w:b/>
              </w:rPr>
              <w:t>Cote de conformité</w:t>
            </w:r>
          </w:p>
        </w:tc>
      </w:tr>
      <w:tr w:rsidR="008E5FD5" w:rsidRPr="008E5FD5" w14:paraId="664984D0" w14:textId="77777777" w:rsidTr="00C87350">
        <w:trPr>
          <w:trHeight w:val="231"/>
        </w:trPr>
        <w:tc>
          <w:tcPr>
            <w:tcW w:w="540" w:type="dxa"/>
          </w:tcPr>
          <w:p w14:paraId="215A87AF" w14:textId="77777777"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1 </w:t>
            </w:r>
          </w:p>
        </w:tc>
        <w:tc>
          <w:tcPr>
            <w:tcW w:w="5130" w:type="dxa"/>
          </w:tcPr>
          <w:p w14:paraId="29140730" w14:textId="140F3DC0" w:rsidR="008E5FD5" w:rsidRPr="00442934" w:rsidRDefault="00442934" w:rsidP="00C13367">
            <w:pPr>
              <w:autoSpaceDE w:val="0"/>
              <w:autoSpaceDN w:val="0"/>
              <w:adjustRightInd w:val="0"/>
              <w:spacing w:after="0" w:line="240" w:lineRule="auto"/>
              <w:jc w:val="both"/>
              <w:rPr>
                <w:sz w:val="20"/>
                <w:szCs w:val="20"/>
                <w:lang w:val="fr-FR"/>
              </w:rPr>
            </w:pPr>
            <w:r w:rsidRPr="00442934">
              <w:rPr>
                <w:sz w:val="20"/>
                <w:szCs w:val="20"/>
                <w:lang w:val="fr-FR"/>
              </w:rPr>
              <w:t>Form</w:t>
            </w:r>
            <w:r>
              <w:rPr>
                <w:sz w:val="20"/>
                <w:szCs w:val="20"/>
                <w:lang w:val="fr-FR"/>
              </w:rPr>
              <w:t>ulaire</w:t>
            </w:r>
            <w:r w:rsidRPr="00442934">
              <w:rPr>
                <w:sz w:val="20"/>
                <w:szCs w:val="20"/>
                <w:lang w:val="fr-FR"/>
              </w:rPr>
              <w:t xml:space="preserve"> C</w:t>
            </w:r>
            <w:r w:rsidR="008E5FD5" w:rsidRPr="00442934">
              <w:rPr>
                <w:sz w:val="20"/>
                <w:szCs w:val="20"/>
                <w:lang w:val="fr-FR"/>
              </w:rPr>
              <w:t xml:space="preserve"> : Formulaire de soumission de devis dûment complété et signé (et de préférence tamponné) </w:t>
            </w:r>
          </w:p>
        </w:tc>
        <w:tc>
          <w:tcPr>
            <w:tcW w:w="1836" w:type="dxa"/>
          </w:tcPr>
          <w:p w14:paraId="00648246" w14:textId="2A9FE7CC"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w:t>
            </w:r>
            <w:proofErr w:type="spellEnd"/>
            <w:r w:rsidRPr="008E5FD5">
              <w:rPr>
                <w:sz w:val="20"/>
                <w:szCs w:val="20"/>
              </w:rPr>
              <w:t>/</w:t>
            </w:r>
            <w:proofErr w:type="spellStart"/>
            <w:r w:rsidRPr="008E5FD5">
              <w:rPr>
                <w:sz w:val="20"/>
                <w:szCs w:val="20"/>
              </w:rPr>
              <w:t>Obligatoire</w:t>
            </w:r>
            <w:proofErr w:type="spellEnd"/>
          </w:p>
        </w:tc>
        <w:tc>
          <w:tcPr>
            <w:tcW w:w="1944" w:type="dxa"/>
          </w:tcPr>
          <w:p w14:paraId="2AE675FF" w14:textId="77777777"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Réussite/Échec </w:t>
            </w:r>
          </w:p>
        </w:tc>
      </w:tr>
      <w:tr w:rsidR="008E5FD5" w:rsidRPr="008E5FD5" w14:paraId="1E5896C3" w14:textId="77777777" w:rsidTr="00C87350">
        <w:trPr>
          <w:trHeight w:val="230"/>
        </w:trPr>
        <w:tc>
          <w:tcPr>
            <w:tcW w:w="540" w:type="dxa"/>
          </w:tcPr>
          <w:p w14:paraId="2D790B3C" w14:textId="77777777"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2 </w:t>
            </w:r>
          </w:p>
        </w:tc>
        <w:tc>
          <w:tcPr>
            <w:tcW w:w="5130" w:type="dxa"/>
          </w:tcPr>
          <w:p w14:paraId="17B0D750" w14:textId="3D66F1F2" w:rsidR="008E5FD5" w:rsidRPr="00442934" w:rsidRDefault="00442934" w:rsidP="00C13367">
            <w:pPr>
              <w:autoSpaceDE w:val="0"/>
              <w:autoSpaceDN w:val="0"/>
              <w:adjustRightInd w:val="0"/>
              <w:spacing w:after="0" w:line="240" w:lineRule="auto"/>
              <w:jc w:val="both"/>
              <w:rPr>
                <w:sz w:val="20"/>
                <w:szCs w:val="20"/>
                <w:lang w:val="fr-FR"/>
              </w:rPr>
            </w:pPr>
            <w:r w:rsidRPr="00442934">
              <w:rPr>
                <w:sz w:val="20"/>
                <w:szCs w:val="20"/>
                <w:lang w:val="fr-FR"/>
              </w:rPr>
              <w:t>Formulaire B</w:t>
            </w:r>
            <w:r>
              <w:rPr>
                <w:sz w:val="20"/>
                <w:szCs w:val="20"/>
                <w:lang w:val="fr-FR"/>
              </w:rPr>
              <w:t>-C-D-E-F-G-</w:t>
            </w:r>
            <w:r w:rsidRPr="00442934">
              <w:rPr>
                <w:sz w:val="20"/>
                <w:szCs w:val="20"/>
                <w:lang w:val="fr-FR"/>
              </w:rPr>
              <w:t>H</w:t>
            </w:r>
            <w:r w:rsidR="008E5FD5" w:rsidRPr="00442934">
              <w:rPr>
                <w:sz w:val="20"/>
                <w:szCs w:val="20"/>
                <w:lang w:val="fr-FR"/>
              </w:rPr>
              <w:t xml:space="preserve"> : Offre technique et financière dûment complétée et signée (et de préférence tamponnée)</w:t>
            </w:r>
          </w:p>
        </w:tc>
        <w:tc>
          <w:tcPr>
            <w:tcW w:w="1836" w:type="dxa"/>
          </w:tcPr>
          <w:p w14:paraId="7640DBB8" w14:textId="76FBFF31"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r w:rsidRPr="008E5FD5">
              <w:rPr>
                <w:sz w:val="20"/>
                <w:szCs w:val="20"/>
              </w:rPr>
              <w:t xml:space="preserve"> </w:t>
            </w:r>
          </w:p>
        </w:tc>
        <w:tc>
          <w:tcPr>
            <w:tcW w:w="1944" w:type="dxa"/>
          </w:tcPr>
          <w:p w14:paraId="313A22DF" w14:textId="77777777"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Réussite/Échec </w:t>
            </w:r>
          </w:p>
        </w:tc>
      </w:tr>
      <w:tr w:rsidR="008E5FD5" w:rsidRPr="008E5FD5" w14:paraId="5116E301" w14:textId="77777777" w:rsidTr="00C87350">
        <w:trPr>
          <w:trHeight w:val="231"/>
        </w:trPr>
        <w:tc>
          <w:tcPr>
            <w:tcW w:w="540" w:type="dxa"/>
          </w:tcPr>
          <w:p w14:paraId="479C70D6" w14:textId="77777777"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3 </w:t>
            </w:r>
          </w:p>
        </w:tc>
        <w:tc>
          <w:tcPr>
            <w:tcW w:w="5130" w:type="dxa"/>
          </w:tcPr>
          <w:p w14:paraId="57A18BD8" w14:textId="45667D7A" w:rsidR="008E5FD5" w:rsidRPr="00442934" w:rsidRDefault="008E5FD5" w:rsidP="00C13367">
            <w:pPr>
              <w:autoSpaceDE w:val="0"/>
              <w:autoSpaceDN w:val="0"/>
              <w:adjustRightInd w:val="0"/>
              <w:spacing w:after="0" w:line="240" w:lineRule="auto"/>
              <w:jc w:val="both"/>
              <w:rPr>
                <w:sz w:val="20"/>
                <w:szCs w:val="20"/>
                <w:lang w:val="fr-FR"/>
              </w:rPr>
            </w:pPr>
            <w:r w:rsidRPr="00442934">
              <w:rPr>
                <w:sz w:val="20"/>
                <w:szCs w:val="20"/>
                <w:lang w:val="fr-FR"/>
              </w:rPr>
              <w:t>Profil de l'entreprise (y compris les noms des propriétaires, des responsables clés, du personnel technique, de la présentation de l'hôtel)</w:t>
            </w:r>
          </w:p>
        </w:tc>
        <w:tc>
          <w:tcPr>
            <w:tcW w:w="1836" w:type="dxa"/>
          </w:tcPr>
          <w:p w14:paraId="6B7ECFF5" w14:textId="105F9D07"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r w:rsidRPr="008E5FD5">
              <w:rPr>
                <w:sz w:val="20"/>
                <w:szCs w:val="20"/>
              </w:rPr>
              <w:t xml:space="preserve"> </w:t>
            </w:r>
          </w:p>
        </w:tc>
        <w:tc>
          <w:tcPr>
            <w:tcW w:w="1944" w:type="dxa"/>
          </w:tcPr>
          <w:p w14:paraId="7AFCD8D2" w14:textId="77777777"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Réussite/Échec </w:t>
            </w:r>
          </w:p>
        </w:tc>
      </w:tr>
      <w:tr w:rsidR="008E5FD5" w:rsidRPr="008E5FD5" w14:paraId="5938213E" w14:textId="77777777" w:rsidTr="00C87350">
        <w:trPr>
          <w:trHeight w:val="99"/>
        </w:trPr>
        <w:tc>
          <w:tcPr>
            <w:tcW w:w="540" w:type="dxa"/>
          </w:tcPr>
          <w:p w14:paraId="27B2E9DC" w14:textId="2072C56F" w:rsidR="008E5FD5" w:rsidRPr="008E5FD5" w:rsidRDefault="00C13367" w:rsidP="008E5FD5">
            <w:pPr>
              <w:autoSpaceDE w:val="0"/>
              <w:autoSpaceDN w:val="0"/>
              <w:adjustRightInd w:val="0"/>
              <w:spacing w:after="0" w:line="240" w:lineRule="auto"/>
              <w:rPr>
                <w:sz w:val="20"/>
                <w:szCs w:val="20"/>
              </w:rPr>
            </w:pPr>
            <w:r>
              <w:rPr>
                <w:sz w:val="20"/>
                <w:szCs w:val="20"/>
              </w:rPr>
              <w:t>4</w:t>
            </w:r>
          </w:p>
        </w:tc>
        <w:tc>
          <w:tcPr>
            <w:tcW w:w="5130" w:type="dxa"/>
          </w:tcPr>
          <w:p w14:paraId="15C251C0" w14:textId="0D129397" w:rsidR="008E5FD5" w:rsidRPr="00442934" w:rsidRDefault="008E5FD5" w:rsidP="00C13367">
            <w:pPr>
              <w:autoSpaceDE w:val="0"/>
              <w:autoSpaceDN w:val="0"/>
              <w:adjustRightInd w:val="0"/>
              <w:spacing w:after="0" w:line="240" w:lineRule="auto"/>
              <w:jc w:val="both"/>
              <w:rPr>
                <w:sz w:val="20"/>
                <w:szCs w:val="20"/>
                <w:lang w:val="fr-FR"/>
              </w:rPr>
            </w:pPr>
            <w:r w:rsidRPr="00442934">
              <w:rPr>
                <w:sz w:val="20"/>
                <w:szCs w:val="20"/>
                <w:lang w:val="fr-FR"/>
              </w:rPr>
              <w:t>Conformité fiscale : Soumettre le certificat de décharge fiscale 2022/23</w:t>
            </w:r>
          </w:p>
        </w:tc>
        <w:tc>
          <w:tcPr>
            <w:tcW w:w="1836" w:type="dxa"/>
          </w:tcPr>
          <w:p w14:paraId="5AC6E866" w14:textId="5B641E74"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r w:rsidRPr="008E5FD5">
              <w:rPr>
                <w:sz w:val="20"/>
                <w:szCs w:val="20"/>
              </w:rPr>
              <w:t xml:space="preserve"> </w:t>
            </w:r>
          </w:p>
        </w:tc>
        <w:tc>
          <w:tcPr>
            <w:tcW w:w="1944" w:type="dxa"/>
          </w:tcPr>
          <w:p w14:paraId="1BCE6CFF" w14:textId="7D2CAFBE" w:rsidR="008E5FD5"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8E5FD5" w:rsidRPr="008E5FD5" w14:paraId="285A3DF0" w14:textId="77777777" w:rsidTr="00C87350">
        <w:trPr>
          <w:trHeight w:val="99"/>
        </w:trPr>
        <w:tc>
          <w:tcPr>
            <w:tcW w:w="540" w:type="dxa"/>
          </w:tcPr>
          <w:p w14:paraId="15138CF0" w14:textId="023DFE49" w:rsidR="008E5FD5" w:rsidRPr="008E5FD5" w:rsidRDefault="00C13367" w:rsidP="008E5FD5">
            <w:pPr>
              <w:autoSpaceDE w:val="0"/>
              <w:autoSpaceDN w:val="0"/>
              <w:adjustRightInd w:val="0"/>
              <w:spacing w:after="0" w:line="240" w:lineRule="auto"/>
              <w:rPr>
                <w:sz w:val="20"/>
                <w:szCs w:val="20"/>
              </w:rPr>
            </w:pPr>
            <w:r>
              <w:rPr>
                <w:sz w:val="20"/>
                <w:szCs w:val="20"/>
              </w:rPr>
              <w:t>5</w:t>
            </w:r>
          </w:p>
        </w:tc>
        <w:tc>
          <w:tcPr>
            <w:tcW w:w="5130" w:type="dxa"/>
          </w:tcPr>
          <w:p w14:paraId="2A12870A" w14:textId="3DBCC7D4" w:rsidR="008E5FD5" w:rsidRPr="008E5FD5" w:rsidRDefault="008E5FD5" w:rsidP="00C13367">
            <w:pPr>
              <w:autoSpaceDE w:val="0"/>
              <w:autoSpaceDN w:val="0"/>
              <w:adjustRightInd w:val="0"/>
              <w:spacing w:after="0" w:line="240" w:lineRule="auto"/>
              <w:jc w:val="both"/>
              <w:rPr>
                <w:sz w:val="20"/>
                <w:szCs w:val="20"/>
              </w:rPr>
            </w:pPr>
            <w:r>
              <w:rPr>
                <w:sz w:val="20"/>
                <w:szCs w:val="20"/>
              </w:rPr>
              <w:t xml:space="preserve">Immatriculation Licence et permis </w:t>
            </w:r>
          </w:p>
        </w:tc>
        <w:tc>
          <w:tcPr>
            <w:tcW w:w="1836" w:type="dxa"/>
          </w:tcPr>
          <w:p w14:paraId="23D358C9" w14:textId="2AF12281" w:rsidR="008E5FD5" w:rsidRPr="008E5FD5" w:rsidRDefault="008E5FD5" w:rsidP="008E5FD5">
            <w:pPr>
              <w:autoSpaceDE w:val="0"/>
              <w:autoSpaceDN w:val="0"/>
              <w:adjustRightInd w:val="0"/>
              <w:spacing w:after="0" w:line="240" w:lineRule="auto"/>
              <w:rPr>
                <w:sz w:val="20"/>
                <w:szCs w:val="20"/>
              </w:rPr>
            </w:pPr>
            <w:r w:rsidRPr="008E5FD5">
              <w:rPr>
                <w:sz w:val="20"/>
                <w:szCs w:val="20"/>
              </w:rPr>
              <w:t xml:space="preserve">Élevée/Obligatoire </w:t>
            </w:r>
          </w:p>
        </w:tc>
        <w:tc>
          <w:tcPr>
            <w:tcW w:w="1944" w:type="dxa"/>
          </w:tcPr>
          <w:p w14:paraId="7E01DBCD" w14:textId="738E9438" w:rsidR="008E5FD5"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8E5FD5" w:rsidRPr="008E5FD5" w14:paraId="3AB01C4B" w14:textId="77777777" w:rsidTr="00C87350">
        <w:trPr>
          <w:trHeight w:val="99"/>
        </w:trPr>
        <w:tc>
          <w:tcPr>
            <w:tcW w:w="540" w:type="dxa"/>
          </w:tcPr>
          <w:p w14:paraId="6CDC39B2" w14:textId="7B594DE6" w:rsidR="008E5FD5" w:rsidRPr="008E5FD5" w:rsidRDefault="00C13367" w:rsidP="008E5FD5">
            <w:pPr>
              <w:autoSpaceDE w:val="0"/>
              <w:autoSpaceDN w:val="0"/>
              <w:adjustRightInd w:val="0"/>
              <w:spacing w:after="0" w:line="240" w:lineRule="auto"/>
              <w:rPr>
                <w:sz w:val="20"/>
                <w:szCs w:val="20"/>
              </w:rPr>
            </w:pPr>
            <w:r>
              <w:rPr>
                <w:sz w:val="20"/>
                <w:szCs w:val="20"/>
              </w:rPr>
              <w:t>6</w:t>
            </w:r>
          </w:p>
        </w:tc>
        <w:tc>
          <w:tcPr>
            <w:tcW w:w="5130" w:type="dxa"/>
          </w:tcPr>
          <w:p w14:paraId="579E46F7" w14:textId="161943D1" w:rsidR="008E5FD5" w:rsidRPr="00442934" w:rsidRDefault="00442934" w:rsidP="00C13367">
            <w:pPr>
              <w:autoSpaceDE w:val="0"/>
              <w:autoSpaceDN w:val="0"/>
              <w:adjustRightInd w:val="0"/>
              <w:spacing w:after="0" w:line="240" w:lineRule="auto"/>
              <w:jc w:val="both"/>
              <w:rPr>
                <w:sz w:val="20"/>
                <w:szCs w:val="20"/>
                <w:lang w:val="fr-FR"/>
              </w:rPr>
            </w:pPr>
            <w:r w:rsidRPr="00442934">
              <w:rPr>
                <w:sz w:val="20"/>
                <w:szCs w:val="20"/>
                <w:lang w:val="fr-FR"/>
              </w:rPr>
              <w:t>For</w:t>
            </w:r>
            <w:r>
              <w:rPr>
                <w:sz w:val="20"/>
                <w:szCs w:val="20"/>
                <w:lang w:val="fr-FR"/>
              </w:rPr>
              <w:t xml:space="preserve">mulaire C : </w:t>
            </w:r>
            <w:r w:rsidR="008E5FD5" w:rsidRPr="00442934">
              <w:rPr>
                <w:sz w:val="20"/>
                <w:szCs w:val="20"/>
                <w:lang w:val="fr-FR"/>
              </w:rPr>
              <w:t>Déclaration de conformité complétée et signée (et de préférence tamponnée)</w:t>
            </w:r>
          </w:p>
        </w:tc>
        <w:tc>
          <w:tcPr>
            <w:tcW w:w="1836" w:type="dxa"/>
          </w:tcPr>
          <w:p w14:paraId="6E1561BF" w14:textId="7FC58AF2"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4553CB6E" w14:textId="5DC72859" w:rsidR="008E5FD5"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8E5FD5" w:rsidRPr="008E5FD5" w14:paraId="7ABF5A98" w14:textId="77777777" w:rsidTr="00C87350">
        <w:trPr>
          <w:trHeight w:val="99"/>
        </w:trPr>
        <w:tc>
          <w:tcPr>
            <w:tcW w:w="540" w:type="dxa"/>
          </w:tcPr>
          <w:p w14:paraId="79EDFC6F" w14:textId="3F118AC8" w:rsidR="008E5FD5" w:rsidRPr="008E5FD5" w:rsidRDefault="00C13367" w:rsidP="008E5FD5">
            <w:pPr>
              <w:autoSpaceDE w:val="0"/>
              <w:autoSpaceDN w:val="0"/>
              <w:adjustRightInd w:val="0"/>
              <w:spacing w:after="0" w:line="240" w:lineRule="auto"/>
              <w:rPr>
                <w:sz w:val="20"/>
                <w:szCs w:val="20"/>
              </w:rPr>
            </w:pPr>
            <w:r>
              <w:rPr>
                <w:sz w:val="20"/>
                <w:szCs w:val="20"/>
              </w:rPr>
              <w:t>7</w:t>
            </w:r>
          </w:p>
        </w:tc>
        <w:tc>
          <w:tcPr>
            <w:tcW w:w="5130" w:type="dxa"/>
          </w:tcPr>
          <w:p w14:paraId="39FA2802" w14:textId="23BC50FA" w:rsidR="008E5FD5" w:rsidRPr="00442934" w:rsidRDefault="008E5FD5" w:rsidP="00C13367">
            <w:pPr>
              <w:autoSpaceDE w:val="0"/>
              <w:autoSpaceDN w:val="0"/>
              <w:adjustRightInd w:val="0"/>
              <w:spacing w:after="0" w:line="240" w:lineRule="auto"/>
              <w:jc w:val="both"/>
              <w:rPr>
                <w:sz w:val="20"/>
                <w:szCs w:val="20"/>
                <w:lang w:val="fr-FR"/>
              </w:rPr>
            </w:pPr>
            <w:r w:rsidRPr="00442934">
              <w:rPr>
                <w:sz w:val="20"/>
                <w:szCs w:val="20"/>
                <w:lang w:val="fr-FR"/>
              </w:rPr>
              <w:t>Fiche d'information du fournisseur remplie et signée (et de préférence estampillée)</w:t>
            </w:r>
          </w:p>
        </w:tc>
        <w:tc>
          <w:tcPr>
            <w:tcW w:w="1836" w:type="dxa"/>
          </w:tcPr>
          <w:p w14:paraId="4CDDADF7" w14:textId="1294129C"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6F67C361" w14:textId="1F765D0C" w:rsidR="008E5FD5"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8E5FD5" w:rsidRPr="008E5FD5" w14:paraId="5E83A0DC" w14:textId="77777777" w:rsidTr="00C87350">
        <w:trPr>
          <w:trHeight w:val="99"/>
        </w:trPr>
        <w:tc>
          <w:tcPr>
            <w:tcW w:w="540" w:type="dxa"/>
          </w:tcPr>
          <w:p w14:paraId="43EDFE90" w14:textId="41482BE8" w:rsidR="008E5FD5" w:rsidRPr="008E5FD5" w:rsidRDefault="00C13367" w:rsidP="008E5FD5">
            <w:pPr>
              <w:autoSpaceDE w:val="0"/>
              <w:autoSpaceDN w:val="0"/>
              <w:adjustRightInd w:val="0"/>
              <w:spacing w:after="0" w:line="240" w:lineRule="auto"/>
              <w:rPr>
                <w:sz w:val="20"/>
                <w:szCs w:val="20"/>
              </w:rPr>
            </w:pPr>
            <w:r>
              <w:rPr>
                <w:sz w:val="20"/>
                <w:szCs w:val="20"/>
              </w:rPr>
              <w:t>8</w:t>
            </w:r>
          </w:p>
        </w:tc>
        <w:tc>
          <w:tcPr>
            <w:tcW w:w="5130" w:type="dxa"/>
          </w:tcPr>
          <w:p w14:paraId="1C4BB162" w14:textId="2C44793E" w:rsidR="008E5FD5" w:rsidRPr="00442934" w:rsidRDefault="008E5FD5" w:rsidP="00C13367">
            <w:pPr>
              <w:autoSpaceDE w:val="0"/>
              <w:autoSpaceDN w:val="0"/>
              <w:adjustRightInd w:val="0"/>
              <w:spacing w:after="0" w:line="240" w:lineRule="auto"/>
              <w:jc w:val="both"/>
              <w:rPr>
                <w:sz w:val="20"/>
                <w:szCs w:val="20"/>
                <w:lang w:val="fr-FR"/>
              </w:rPr>
            </w:pPr>
            <w:r w:rsidRPr="00442934">
              <w:rPr>
                <w:sz w:val="20"/>
                <w:szCs w:val="20"/>
                <w:lang w:val="fr-FR"/>
              </w:rPr>
              <w:t>États financiers : les états financiers vérifiés des deux dernières années sont requis (2022 et 2023).</w:t>
            </w:r>
          </w:p>
        </w:tc>
        <w:tc>
          <w:tcPr>
            <w:tcW w:w="1836" w:type="dxa"/>
          </w:tcPr>
          <w:p w14:paraId="1EE0B2A1" w14:textId="4972FC42" w:rsidR="008E5FD5" w:rsidRPr="008E5FD5" w:rsidRDefault="008E5FD5"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2D317C8B" w14:textId="03DBC2A1" w:rsidR="008E5FD5"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C13367" w:rsidRPr="008E5FD5" w14:paraId="7A5322BB" w14:textId="77777777" w:rsidTr="00C87350">
        <w:trPr>
          <w:trHeight w:val="99"/>
        </w:trPr>
        <w:tc>
          <w:tcPr>
            <w:tcW w:w="540" w:type="dxa"/>
          </w:tcPr>
          <w:p w14:paraId="523B49A7" w14:textId="5C3447D0" w:rsidR="00C13367" w:rsidRPr="008E5FD5" w:rsidRDefault="00C13367" w:rsidP="008E5FD5">
            <w:pPr>
              <w:autoSpaceDE w:val="0"/>
              <w:autoSpaceDN w:val="0"/>
              <w:adjustRightInd w:val="0"/>
              <w:spacing w:after="0" w:line="240" w:lineRule="auto"/>
              <w:rPr>
                <w:sz w:val="20"/>
                <w:szCs w:val="20"/>
              </w:rPr>
            </w:pPr>
            <w:r>
              <w:rPr>
                <w:sz w:val="20"/>
                <w:szCs w:val="20"/>
              </w:rPr>
              <w:t>9</w:t>
            </w:r>
          </w:p>
        </w:tc>
        <w:tc>
          <w:tcPr>
            <w:tcW w:w="5130" w:type="dxa"/>
          </w:tcPr>
          <w:p w14:paraId="4785759E" w14:textId="62685C2A" w:rsidR="00C13367" w:rsidRPr="00442934" w:rsidRDefault="00C13367" w:rsidP="00C13367">
            <w:pPr>
              <w:autoSpaceDE w:val="0"/>
              <w:autoSpaceDN w:val="0"/>
              <w:adjustRightInd w:val="0"/>
              <w:spacing w:after="0" w:line="240" w:lineRule="auto"/>
              <w:jc w:val="both"/>
              <w:rPr>
                <w:sz w:val="20"/>
                <w:szCs w:val="20"/>
                <w:lang w:val="fr-FR"/>
              </w:rPr>
            </w:pPr>
            <w:r w:rsidRPr="00442934">
              <w:rPr>
                <w:sz w:val="20"/>
                <w:szCs w:val="20"/>
                <w:lang w:val="fr-FR"/>
              </w:rPr>
              <w:t>Certificats d'assurance : Preuve de couverture d'assurance, telle que l'assurance responsabilité civile, l'assurance des biens et toute autre police pertinente.</w:t>
            </w:r>
          </w:p>
        </w:tc>
        <w:tc>
          <w:tcPr>
            <w:tcW w:w="1836" w:type="dxa"/>
          </w:tcPr>
          <w:p w14:paraId="65FE0217" w14:textId="23054914" w:rsidR="00C13367" w:rsidRPr="008E5FD5" w:rsidRDefault="00C13367"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5CA3286F" w14:textId="57221E62" w:rsidR="00C13367"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C13367" w:rsidRPr="008E5FD5" w14:paraId="03F1E5AB" w14:textId="77777777" w:rsidTr="00C87350">
        <w:trPr>
          <w:trHeight w:val="99"/>
        </w:trPr>
        <w:tc>
          <w:tcPr>
            <w:tcW w:w="540" w:type="dxa"/>
          </w:tcPr>
          <w:p w14:paraId="7B0B0B47" w14:textId="78ADD854" w:rsidR="00C13367" w:rsidRDefault="00C13367" w:rsidP="008E5FD5">
            <w:pPr>
              <w:autoSpaceDE w:val="0"/>
              <w:autoSpaceDN w:val="0"/>
              <w:adjustRightInd w:val="0"/>
              <w:spacing w:after="0" w:line="240" w:lineRule="auto"/>
              <w:rPr>
                <w:sz w:val="20"/>
                <w:szCs w:val="20"/>
              </w:rPr>
            </w:pPr>
            <w:r>
              <w:rPr>
                <w:sz w:val="20"/>
                <w:szCs w:val="20"/>
              </w:rPr>
              <w:t>10</w:t>
            </w:r>
          </w:p>
        </w:tc>
        <w:tc>
          <w:tcPr>
            <w:tcW w:w="5130" w:type="dxa"/>
          </w:tcPr>
          <w:p w14:paraId="71BC96EE" w14:textId="720471A3" w:rsidR="00C13367" w:rsidRPr="00442934" w:rsidRDefault="00C13367" w:rsidP="00C13367">
            <w:pPr>
              <w:autoSpaceDE w:val="0"/>
              <w:autoSpaceDN w:val="0"/>
              <w:adjustRightInd w:val="0"/>
              <w:spacing w:after="0" w:line="240" w:lineRule="auto"/>
              <w:jc w:val="both"/>
              <w:rPr>
                <w:sz w:val="20"/>
                <w:szCs w:val="20"/>
                <w:lang w:val="fr-FR"/>
              </w:rPr>
            </w:pPr>
            <w:r w:rsidRPr="00442934">
              <w:rPr>
                <w:sz w:val="20"/>
                <w:szCs w:val="20"/>
                <w:lang w:val="fr-FR"/>
              </w:rPr>
              <w:t>Documents de conformité en matière de santé et de sécurité : Certificats ou rapports qui démontrent que l'hôtel respecte les réglementations en matière de santé et de sécurité.</w:t>
            </w:r>
          </w:p>
        </w:tc>
        <w:tc>
          <w:tcPr>
            <w:tcW w:w="1836" w:type="dxa"/>
          </w:tcPr>
          <w:p w14:paraId="6AF71747" w14:textId="416C4EAE" w:rsidR="00C13367" w:rsidRPr="008E5FD5" w:rsidRDefault="00C13367"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2444F183" w14:textId="1EC043ED" w:rsidR="00C13367"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C13367" w:rsidRPr="008E5FD5" w14:paraId="73F0F152" w14:textId="77777777" w:rsidTr="00C87350">
        <w:trPr>
          <w:trHeight w:val="99"/>
        </w:trPr>
        <w:tc>
          <w:tcPr>
            <w:tcW w:w="540" w:type="dxa"/>
          </w:tcPr>
          <w:p w14:paraId="5D9DC00B" w14:textId="00B43A56" w:rsidR="00C13367" w:rsidRDefault="00C13367" w:rsidP="008E5FD5">
            <w:pPr>
              <w:autoSpaceDE w:val="0"/>
              <w:autoSpaceDN w:val="0"/>
              <w:adjustRightInd w:val="0"/>
              <w:spacing w:after="0" w:line="240" w:lineRule="auto"/>
              <w:rPr>
                <w:sz w:val="20"/>
                <w:szCs w:val="20"/>
              </w:rPr>
            </w:pPr>
            <w:r>
              <w:rPr>
                <w:sz w:val="20"/>
                <w:szCs w:val="20"/>
              </w:rPr>
              <w:t>11</w:t>
            </w:r>
          </w:p>
        </w:tc>
        <w:tc>
          <w:tcPr>
            <w:tcW w:w="5130" w:type="dxa"/>
          </w:tcPr>
          <w:p w14:paraId="07DD53FF" w14:textId="5703660F" w:rsidR="00C13367" w:rsidRPr="00442934" w:rsidRDefault="00C13367" w:rsidP="00C13367">
            <w:pPr>
              <w:autoSpaceDE w:val="0"/>
              <w:autoSpaceDN w:val="0"/>
              <w:adjustRightInd w:val="0"/>
              <w:spacing w:after="0" w:line="240" w:lineRule="auto"/>
              <w:jc w:val="both"/>
              <w:rPr>
                <w:sz w:val="20"/>
                <w:szCs w:val="20"/>
                <w:lang w:val="fr-FR"/>
              </w:rPr>
            </w:pPr>
            <w:r w:rsidRPr="00442934">
              <w:rPr>
                <w:sz w:val="20"/>
                <w:szCs w:val="20"/>
                <w:lang w:val="fr-FR"/>
              </w:rPr>
              <w:t>Certificats d'assurance qualité : toutes les certifications liées aux systèmes de management de la qualité, telles que les certifications ISO,</w:t>
            </w:r>
          </w:p>
        </w:tc>
        <w:tc>
          <w:tcPr>
            <w:tcW w:w="1836" w:type="dxa"/>
          </w:tcPr>
          <w:p w14:paraId="50EC03A0" w14:textId="0CAC622A" w:rsidR="00C13367" w:rsidRPr="008E5FD5" w:rsidRDefault="00C13367" w:rsidP="008E5FD5">
            <w:pPr>
              <w:autoSpaceDE w:val="0"/>
              <w:autoSpaceDN w:val="0"/>
              <w:adjustRightInd w:val="0"/>
              <w:spacing w:after="0" w:line="240" w:lineRule="auto"/>
              <w:rPr>
                <w:sz w:val="20"/>
                <w:szCs w:val="20"/>
              </w:rPr>
            </w:pPr>
            <w:proofErr w:type="spellStart"/>
            <w:r w:rsidRPr="008E5FD5">
              <w:rPr>
                <w:sz w:val="20"/>
                <w:szCs w:val="20"/>
              </w:rPr>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0953EE7D" w14:textId="7D009017" w:rsidR="00C13367"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C13367" w:rsidRPr="008E5FD5" w14:paraId="388A5902" w14:textId="77777777" w:rsidTr="00C87350">
        <w:trPr>
          <w:trHeight w:val="99"/>
        </w:trPr>
        <w:tc>
          <w:tcPr>
            <w:tcW w:w="540" w:type="dxa"/>
          </w:tcPr>
          <w:p w14:paraId="2DDFF518" w14:textId="21C94F7E" w:rsidR="00C13367" w:rsidRDefault="00C13367" w:rsidP="008E5FD5">
            <w:pPr>
              <w:autoSpaceDE w:val="0"/>
              <w:autoSpaceDN w:val="0"/>
              <w:adjustRightInd w:val="0"/>
              <w:spacing w:after="0" w:line="240" w:lineRule="auto"/>
              <w:rPr>
                <w:sz w:val="20"/>
                <w:szCs w:val="20"/>
              </w:rPr>
            </w:pPr>
            <w:r>
              <w:rPr>
                <w:sz w:val="20"/>
                <w:szCs w:val="20"/>
              </w:rPr>
              <w:t>12</w:t>
            </w:r>
          </w:p>
        </w:tc>
        <w:tc>
          <w:tcPr>
            <w:tcW w:w="5130" w:type="dxa"/>
          </w:tcPr>
          <w:p w14:paraId="03CA6912" w14:textId="072785E3" w:rsidR="00C13367" w:rsidRPr="00442934" w:rsidRDefault="00C13367" w:rsidP="00C13367">
            <w:pPr>
              <w:autoSpaceDE w:val="0"/>
              <w:autoSpaceDN w:val="0"/>
              <w:adjustRightInd w:val="0"/>
              <w:spacing w:after="0" w:line="240" w:lineRule="auto"/>
              <w:jc w:val="both"/>
              <w:rPr>
                <w:sz w:val="20"/>
                <w:szCs w:val="20"/>
                <w:lang w:val="fr-FR"/>
              </w:rPr>
            </w:pPr>
            <w:r w:rsidRPr="00442934">
              <w:rPr>
                <w:sz w:val="20"/>
                <w:szCs w:val="20"/>
                <w:lang w:val="fr-FR"/>
              </w:rPr>
              <w:t xml:space="preserve">Inclusion du handicap : Les installations de l'hôtel doivent être entièrement accessibles aux clients handicapés, garantissant ainsi la conformité aux normes ADA. L'hôtel doit </w:t>
            </w:r>
            <w:r w:rsidRPr="00442934">
              <w:rPr>
                <w:sz w:val="20"/>
                <w:szCs w:val="20"/>
                <w:lang w:val="fr-FR"/>
              </w:rPr>
              <w:lastRenderedPageBreak/>
              <w:t xml:space="preserve">fournir une preuve, le cas échéant, et répondre (Oui) à l'annexe du questionnaire en ce qui concerne cette exigence. </w:t>
            </w:r>
          </w:p>
        </w:tc>
        <w:tc>
          <w:tcPr>
            <w:tcW w:w="1836" w:type="dxa"/>
          </w:tcPr>
          <w:p w14:paraId="072D98BB" w14:textId="68A3C3B2" w:rsidR="00C13367" w:rsidRPr="008E5FD5" w:rsidRDefault="00C13367" w:rsidP="008E5FD5">
            <w:pPr>
              <w:autoSpaceDE w:val="0"/>
              <w:autoSpaceDN w:val="0"/>
              <w:adjustRightInd w:val="0"/>
              <w:spacing w:after="0" w:line="240" w:lineRule="auto"/>
              <w:rPr>
                <w:sz w:val="20"/>
                <w:szCs w:val="20"/>
              </w:rPr>
            </w:pPr>
            <w:proofErr w:type="spellStart"/>
            <w:r w:rsidRPr="008E5FD5">
              <w:rPr>
                <w:sz w:val="20"/>
                <w:szCs w:val="20"/>
              </w:rPr>
              <w:lastRenderedPageBreak/>
              <w:t>Élevée</w:t>
            </w:r>
            <w:proofErr w:type="spellEnd"/>
            <w:r w:rsidRPr="008E5FD5">
              <w:rPr>
                <w:sz w:val="20"/>
                <w:szCs w:val="20"/>
              </w:rPr>
              <w:t>/</w:t>
            </w:r>
            <w:proofErr w:type="spellStart"/>
            <w:r w:rsidRPr="008E5FD5">
              <w:rPr>
                <w:sz w:val="20"/>
                <w:szCs w:val="20"/>
              </w:rPr>
              <w:t>Obligatoire</w:t>
            </w:r>
            <w:proofErr w:type="spellEnd"/>
          </w:p>
        </w:tc>
        <w:tc>
          <w:tcPr>
            <w:tcW w:w="1944" w:type="dxa"/>
          </w:tcPr>
          <w:p w14:paraId="7B48F274" w14:textId="752F4A34" w:rsidR="00C13367" w:rsidRPr="008E5FD5" w:rsidRDefault="00C13367" w:rsidP="008E5FD5">
            <w:pPr>
              <w:autoSpaceDE w:val="0"/>
              <w:autoSpaceDN w:val="0"/>
              <w:adjustRightInd w:val="0"/>
              <w:spacing w:after="0" w:line="240" w:lineRule="auto"/>
              <w:rPr>
                <w:sz w:val="20"/>
                <w:szCs w:val="20"/>
              </w:rPr>
            </w:pPr>
            <w:r w:rsidRPr="008E5FD5">
              <w:rPr>
                <w:sz w:val="20"/>
                <w:szCs w:val="20"/>
              </w:rPr>
              <w:t>Réussite/Échec</w:t>
            </w:r>
          </w:p>
        </w:tc>
      </w:tr>
      <w:tr w:rsidR="00C87350" w:rsidRPr="008E5FD5" w14:paraId="06EA67FF" w14:textId="77777777" w:rsidTr="00C87350">
        <w:trPr>
          <w:trHeight w:val="99"/>
        </w:trPr>
        <w:tc>
          <w:tcPr>
            <w:tcW w:w="540" w:type="dxa"/>
          </w:tcPr>
          <w:p w14:paraId="541A2DAE" w14:textId="6117230F" w:rsidR="00C87350" w:rsidRDefault="00C87350" w:rsidP="008E5FD5">
            <w:pPr>
              <w:autoSpaceDE w:val="0"/>
              <w:autoSpaceDN w:val="0"/>
              <w:adjustRightInd w:val="0"/>
              <w:spacing w:after="0" w:line="240" w:lineRule="auto"/>
              <w:rPr>
                <w:sz w:val="20"/>
                <w:szCs w:val="20"/>
              </w:rPr>
            </w:pPr>
            <w:r>
              <w:rPr>
                <w:sz w:val="20"/>
                <w:szCs w:val="20"/>
              </w:rPr>
              <w:t>13</w:t>
            </w:r>
          </w:p>
        </w:tc>
        <w:tc>
          <w:tcPr>
            <w:tcW w:w="5130" w:type="dxa"/>
          </w:tcPr>
          <w:p w14:paraId="0B575A0F" w14:textId="2BCBEED3" w:rsidR="00C87350" w:rsidRPr="00442934" w:rsidRDefault="00C87350" w:rsidP="00C13367">
            <w:pPr>
              <w:autoSpaceDE w:val="0"/>
              <w:autoSpaceDN w:val="0"/>
              <w:adjustRightInd w:val="0"/>
              <w:spacing w:after="0" w:line="240" w:lineRule="auto"/>
              <w:jc w:val="both"/>
              <w:rPr>
                <w:sz w:val="20"/>
                <w:szCs w:val="20"/>
                <w:lang w:val="fr-FR"/>
              </w:rPr>
            </w:pPr>
            <w:r w:rsidRPr="00442934">
              <w:rPr>
                <w:sz w:val="20"/>
                <w:szCs w:val="20"/>
                <w:lang w:val="fr-FR"/>
              </w:rPr>
              <w:t xml:space="preserve">Respecter les normes de sécurité et les exigences minimales selon l'UNSMS/UNDSS. </w:t>
            </w:r>
          </w:p>
        </w:tc>
        <w:tc>
          <w:tcPr>
            <w:tcW w:w="1836" w:type="dxa"/>
          </w:tcPr>
          <w:p w14:paraId="3126AFDE" w14:textId="1EA25971" w:rsidR="00C87350" w:rsidRPr="008E5FD5" w:rsidRDefault="00C87350" w:rsidP="008E5FD5">
            <w:pPr>
              <w:autoSpaceDE w:val="0"/>
              <w:autoSpaceDN w:val="0"/>
              <w:adjustRightInd w:val="0"/>
              <w:spacing w:after="0" w:line="240" w:lineRule="auto"/>
              <w:rPr>
                <w:sz w:val="20"/>
                <w:szCs w:val="20"/>
              </w:rPr>
            </w:pPr>
            <w:proofErr w:type="spellStart"/>
            <w:r>
              <w:rPr>
                <w:sz w:val="20"/>
                <w:szCs w:val="20"/>
              </w:rPr>
              <w:t>Élevée</w:t>
            </w:r>
            <w:proofErr w:type="spellEnd"/>
            <w:r>
              <w:rPr>
                <w:sz w:val="20"/>
                <w:szCs w:val="20"/>
              </w:rPr>
              <w:t>/</w:t>
            </w:r>
            <w:proofErr w:type="spellStart"/>
            <w:r>
              <w:rPr>
                <w:sz w:val="20"/>
                <w:szCs w:val="20"/>
              </w:rPr>
              <w:t>Obligatoire</w:t>
            </w:r>
            <w:proofErr w:type="spellEnd"/>
            <w:r>
              <w:rPr>
                <w:sz w:val="20"/>
                <w:szCs w:val="20"/>
              </w:rPr>
              <w:t xml:space="preserve"> </w:t>
            </w:r>
          </w:p>
        </w:tc>
        <w:tc>
          <w:tcPr>
            <w:tcW w:w="1944" w:type="dxa"/>
          </w:tcPr>
          <w:p w14:paraId="343596E4" w14:textId="55356CA9" w:rsidR="00C87350" w:rsidRPr="008E5FD5" w:rsidRDefault="00C87350" w:rsidP="008E5FD5">
            <w:pPr>
              <w:autoSpaceDE w:val="0"/>
              <w:autoSpaceDN w:val="0"/>
              <w:adjustRightInd w:val="0"/>
              <w:spacing w:after="0" w:line="240" w:lineRule="auto"/>
              <w:rPr>
                <w:sz w:val="20"/>
                <w:szCs w:val="20"/>
              </w:rPr>
            </w:pPr>
            <w:r>
              <w:rPr>
                <w:sz w:val="20"/>
                <w:szCs w:val="20"/>
              </w:rPr>
              <w:t xml:space="preserve">Réussite/Échec </w:t>
            </w:r>
          </w:p>
        </w:tc>
      </w:tr>
    </w:tbl>
    <w:p w14:paraId="22EF141B" w14:textId="77777777" w:rsidR="008E5FD5" w:rsidRPr="008E5FD5" w:rsidRDefault="008E5FD5" w:rsidP="008E5FD5">
      <w:pPr>
        <w:spacing w:after="0" w:line="240" w:lineRule="auto"/>
        <w:jc w:val="both"/>
        <w:rPr>
          <w:sz w:val="20"/>
          <w:szCs w:val="20"/>
        </w:rPr>
      </w:pPr>
    </w:p>
    <w:p w14:paraId="636F7192" w14:textId="77777777" w:rsidR="00E828CE" w:rsidRDefault="00E828CE" w:rsidP="00247368">
      <w:pPr>
        <w:spacing w:after="0" w:line="240" w:lineRule="auto"/>
        <w:jc w:val="both"/>
        <w:rPr>
          <w:b/>
          <w:bCs/>
        </w:rPr>
      </w:pPr>
    </w:p>
    <w:p w14:paraId="7C00CC42" w14:textId="77777777" w:rsidR="005930A5" w:rsidRDefault="005930A5" w:rsidP="00247368">
      <w:pPr>
        <w:spacing w:after="0" w:line="240" w:lineRule="auto"/>
        <w:jc w:val="both"/>
        <w:rPr>
          <w:b/>
          <w:bCs/>
        </w:rPr>
      </w:pPr>
    </w:p>
    <w:p w14:paraId="7DC85B1A" w14:textId="77777777" w:rsidR="00442934" w:rsidRDefault="00442934" w:rsidP="00442934">
      <w:pPr>
        <w:jc w:val="both"/>
        <w:rPr>
          <w:lang w:val="fr-FR"/>
        </w:rPr>
      </w:pPr>
      <w:r w:rsidRPr="00442934">
        <w:rPr>
          <w:b/>
          <w:bCs/>
          <w:lang w:val="fr-FR"/>
        </w:rPr>
        <w:t xml:space="preserve">Évaluation Financière : </w:t>
      </w:r>
      <w:r w:rsidRPr="00442934">
        <w:rPr>
          <w:lang w:val="fr-FR"/>
        </w:rPr>
        <w:t xml:space="preserve">Le prix global des offres jugées substantiellement conformes sera comparé afin d'identifier l'offre la plus conforme qui représente les coûts globaux les plus bas pour l'OIM. Cette évaluation impliquera une analyse approfondie des prix proposés par divers hôtels afin d'identifier un minimum de trois options qui représentent les coûts globaux les plus bas pour l'OIM. </w:t>
      </w:r>
    </w:p>
    <w:p w14:paraId="0C3C3B73" w14:textId="7DC15AE1" w:rsidR="00442934" w:rsidRPr="00442934" w:rsidRDefault="00442934" w:rsidP="00442934">
      <w:pPr>
        <w:jc w:val="both"/>
        <w:rPr>
          <w:b/>
          <w:bCs/>
          <w:lang w:val="fr-FR"/>
        </w:rPr>
      </w:pPr>
      <w:r w:rsidRPr="00442934">
        <w:rPr>
          <w:lang w:val="fr-FR"/>
        </w:rPr>
        <w:t>L'évaluation sera basée sur un calcul approximatif des dépenses prévues, garantissant que les hôtels sélectionnés offrent les solutions les plus rentables tout en respectant les normes et exigences nécessaires.</w:t>
      </w:r>
    </w:p>
    <w:p w14:paraId="287AB26B" w14:textId="25F35BEB" w:rsidR="004E6A34" w:rsidRPr="00442934" w:rsidRDefault="004E6A34" w:rsidP="00247368">
      <w:pPr>
        <w:spacing w:after="0" w:line="240" w:lineRule="auto"/>
        <w:jc w:val="both"/>
        <w:rPr>
          <w:b/>
          <w:bCs/>
          <w:lang w:val="fr-FR"/>
        </w:rPr>
      </w:pPr>
    </w:p>
    <w:p w14:paraId="781C1741" w14:textId="77777777" w:rsidR="004E6A34" w:rsidRPr="00442934" w:rsidRDefault="004E6A34" w:rsidP="00247368">
      <w:pPr>
        <w:spacing w:after="0" w:line="240" w:lineRule="auto"/>
        <w:jc w:val="both"/>
        <w:rPr>
          <w:b/>
          <w:bCs/>
          <w:lang w:val="fr-FR"/>
        </w:rPr>
      </w:pPr>
    </w:p>
    <w:p w14:paraId="29DA9A13" w14:textId="77777777" w:rsidR="00E23075" w:rsidRPr="00442934" w:rsidRDefault="00E23075" w:rsidP="00E23075">
      <w:pPr>
        <w:jc w:val="right"/>
        <w:rPr>
          <w:lang w:val="fr-FR"/>
        </w:rPr>
      </w:pPr>
    </w:p>
    <w:p w14:paraId="4B8CAA91" w14:textId="042E48E7" w:rsidR="009872E7" w:rsidRPr="00442934" w:rsidRDefault="009872E7" w:rsidP="009872E7">
      <w:pPr>
        <w:rPr>
          <w:lang w:val="fr-FR"/>
        </w:rPr>
      </w:pPr>
    </w:p>
    <w:sectPr w:rsidR="009872E7" w:rsidRPr="00442934" w:rsidSect="00A72E2F">
      <w:pgSz w:w="12240" w:h="15840"/>
      <w:pgMar w:top="1170" w:right="1440" w:bottom="90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HALEB Faroq Mohammed Hazaea" w:date="2024-10-28T23:15:00Z" w:initials="FG">
    <w:p w14:paraId="42218EBC" w14:textId="77777777" w:rsidR="00BA09EE" w:rsidRDefault="00BA09EE" w:rsidP="00BA09EE">
      <w:pPr>
        <w:pStyle w:val="Commentaire"/>
      </w:pPr>
      <w:r>
        <w:rPr>
          <w:rStyle w:val="Marquedecommentaire"/>
        </w:rPr>
        <w:annotationRef/>
      </w:r>
      <w:r>
        <w:t>À vérifier à partir du rapport 2023</w:t>
      </w:r>
    </w:p>
  </w:comment>
  <w:comment w:id="1" w:author="GHALEB Faroq Mohammed Hazaea" w:date="2024-10-29T11:47:00Z" w:initials="FG">
    <w:p w14:paraId="45C3F6CD" w14:textId="77777777" w:rsidR="007739DE" w:rsidRDefault="007739DE" w:rsidP="007739DE">
      <w:pPr>
        <w:pStyle w:val="Commentaire"/>
      </w:pPr>
      <w:r>
        <w:rPr>
          <w:rStyle w:val="Marquedecommentaire"/>
        </w:rPr>
        <w:annotationRef/>
      </w:r>
      <w:r>
        <w:t>Ahmed va confirmer auprès de Raghed</w:t>
      </w:r>
    </w:p>
  </w:comment>
  <w:comment w:id="2" w:author="YAHIA Ahmed" w:date="2024-10-30T15:07:00Z" w:initials="AY">
    <w:p w14:paraId="19E531DE" w14:textId="77777777" w:rsidR="002E1A11" w:rsidRDefault="002E1A11" w:rsidP="002E1A11">
      <w:pPr>
        <w:pStyle w:val="Commentaire"/>
      </w:pPr>
      <w:r>
        <w:rPr>
          <w:rStyle w:val="Marquedecommentaire"/>
        </w:rPr>
        <w:annotationRef/>
      </w:r>
      <w:r>
        <w:t xml:space="preserve">Confirmé après vérification auprès de Raghed </w:t>
      </w:r>
    </w:p>
  </w:comment>
  <w:comment w:id="3" w:author="GHALEB Faroq Mohammed Hazaea" w:date="2024-10-28T15:28:00Z" w:initials="FG">
    <w:p w14:paraId="6C1F9A76" w14:textId="56F42925" w:rsidR="000A7017" w:rsidRDefault="000A7017" w:rsidP="000A7017">
      <w:pPr>
        <w:pStyle w:val="Commentaire"/>
      </w:pPr>
      <w:r>
        <w:rPr>
          <w:rStyle w:val="Marquedecommentaire"/>
        </w:rPr>
        <w:annotationRef/>
      </w:r>
      <w:r>
        <w:t xml:space="preserve">Ahmed d'ajouter </w:t>
      </w:r>
    </w:p>
  </w:comment>
  <w:comment w:id="4" w:author="YAHIA Ahmed" w:date="2024-10-30T15:11:00Z" w:initials="AY">
    <w:p w14:paraId="0BF240BC" w14:textId="77777777" w:rsidR="002E1A11" w:rsidRDefault="002E1A11" w:rsidP="002E1A11">
      <w:pPr>
        <w:pStyle w:val="Commentaire"/>
      </w:pPr>
      <w:r>
        <w:rPr>
          <w:rStyle w:val="Marquedecommentaire"/>
        </w:rPr>
        <w:annotationRef/>
      </w:r>
      <w:r>
        <w:t xml:space="preserve">Fait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2218EBC" w15:done="1"/>
  <w15:commentEx w15:paraId="45C3F6CD" w15:done="1"/>
  <w15:commentEx w15:paraId="19E531DE" w15:paraIdParent="45C3F6CD" w15:done="1"/>
  <w15:commentEx w15:paraId="6C1F9A76" w15:done="1"/>
  <w15:commentEx w15:paraId="0BF240BC" w15:paraIdParent="6C1F9A7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0F34F73" w16cex:dateUtc="2024-10-28T22:15:00Z"/>
  <w16cex:commentExtensible w16cex:durableId="25ABA5F3" w16cex:dateUtc="2024-10-29T10:47:00Z"/>
  <w16cex:commentExtensible w16cex:durableId="3E5C2B60" w16cex:dateUtc="2024-10-30T14:07:00Z"/>
  <w16cex:commentExtensible w16cex:durableId="73B44DA2" w16cex:dateUtc="2024-10-28T14:28:00Z"/>
  <w16cex:commentExtensible w16cex:durableId="2F77BB85" w16cex:dateUtc="2024-10-30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2218EBC" w16cid:durableId="40F34F73"/>
  <w16cid:commentId w16cid:paraId="45C3F6CD" w16cid:durableId="25ABA5F3"/>
  <w16cid:commentId w16cid:paraId="19E531DE" w16cid:durableId="3E5C2B60"/>
  <w16cid:commentId w16cid:paraId="6C1F9A76" w16cid:durableId="73B44DA2"/>
  <w16cid:commentId w16cid:paraId="0BF240BC" w16cid:durableId="2F77BB8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673A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7A4453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CF792C"/>
    <w:multiLevelType w:val="hybridMultilevel"/>
    <w:tmpl w:val="A5C888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743FD"/>
    <w:multiLevelType w:val="hybridMultilevel"/>
    <w:tmpl w:val="9FAAC522"/>
    <w:lvl w:ilvl="0" w:tplc="367A5B98">
      <w:start w:val="1"/>
      <w:numFmt w:val="decimal"/>
      <w:lvlText w:val="%1."/>
      <w:lvlJc w:val="left"/>
      <w:pPr>
        <w:ind w:left="360" w:hanging="360"/>
      </w:pPr>
      <w:rPr>
        <w:rFonts w:hint="default"/>
        <w:b/>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0F4D28"/>
    <w:multiLevelType w:val="multilevel"/>
    <w:tmpl w:val="739C9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9E1C0B"/>
    <w:multiLevelType w:val="multilevel"/>
    <w:tmpl w:val="0F80E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671DE9"/>
    <w:multiLevelType w:val="hybridMultilevel"/>
    <w:tmpl w:val="6E42610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724C44"/>
    <w:multiLevelType w:val="hybridMultilevel"/>
    <w:tmpl w:val="032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D106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BFF46A0"/>
    <w:multiLevelType w:val="hybridMultilevel"/>
    <w:tmpl w:val="59F46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B10E3"/>
    <w:multiLevelType w:val="hybridMultilevel"/>
    <w:tmpl w:val="3D5C5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BB366D"/>
    <w:multiLevelType w:val="hybridMultilevel"/>
    <w:tmpl w:val="4B6CBCBE"/>
    <w:lvl w:ilvl="0" w:tplc="6BD8BB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0601A1"/>
    <w:multiLevelType w:val="hybridMultilevel"/>
    <w:tmpl w:val="701C6C0E"/>
    <w:lvl w:ilvl="0" w:tplc="79508B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780EA5"/>
    <w:multiLevelType w:val="hybridMultilevel"/>
    <w:tmpl w:val="0D560A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5F6DBB"/>
    <w:multiLevelType w:val="hybridMultilevel"/>
    <w:tmpl w:val="49F2554A"/>
    <w:lvl w:ilvl="0" w:tplc="8C9CC3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7C2BCF"/>
    <w:multiLevelType w:val="multilevel"/>
    <w:tmpl w:val="E1AE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D1346E2"/>
    <w:multiLevelType w:val="multilevel"/>
    <w:tmpl w:val="349A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92679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BF67194"/>
    <w:multiLevelType w:val="multilevel"/>
    <w:tmpl w:val="FA00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BD6525"/>
    <w:multiLevelType w:val="hybridMultilevel"/>
    <w:tmpl w:val="995E53A8"/>
    <w:lvl w:ilvl="0" w:tplc="04090003">
      <w:start w:val="1"/>
      <w:numFmt w:val="bullet"/>
      <w:lvlText w:val="o"/>
      <w:lvlJc w:val="left"/>
      <w:pPr>
        <w:ind w:left="1080" w:hanging="360"/>
      </w:pPr>
      <w:rPr>
        <w:rFonts w:ascii="Courier New" w:hAnsi="Courier New" w:cs="Courier New" w:hint="default"/>
      </w:rPr>
    </w:lvl>
    <w:lvl w:ilvl="1" w:tplc="1BC851B8">
      <w:start w:val="1"/>
      <w:numFmt w:val="decimal"/>
      <w:lvlText w:val="%2."/>
      <w:lvlJc w:val="left"/>
      <w:pPr>
        <w:ind w:left="1800" w:hanging="360"/>
      </w:pPr>
      <w:rPr>
        <w:rFonts w:hint="default"/>
      </w:rPr>
    </w:lvl>
    <w:lvl w:ilvl="2" w:tplc="AC26CD2C">
      <w:start w:val="2"/>
      <w:numFmt w:val="bullet"/>
      <w:lvlText w:val="-"/>
      <w:lvlJc w:val="left"/>
      <w:pPr>
        <w:ind w:left="2700" w:hanging="360"/>
      </w:pPr>
      <w:rPr>
        <w:rFonts w:ascii="Segoe UI" w:eastAsiaTheme="minorHAnsi" w:hAnsi="Segoe UI" w:cs="Segoe UI"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0227261"/>
    <w:multiLevelType w:val="hybridMultilevel"/>
    <w:tmpl w:val="AC966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A0D0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4C5453F"/>
    <w:multiLevelType w:val="multilevel"/>
    <w:tmpl w:val="9ADC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EC0D95"/>
    <w:multiLevelType w:val="hybridMultilevel"/>
    <w:tmpl w:val="76A402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99208AD"/>
    <w:multiLevelType w:val="multilevel"/>
    <w:tmpl w:val="05EC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CA4589"/>
    <w:multiLevelType w:val="multilevel"/>
    <w:tmpl w:val="DC32F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2D719C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A905FBE"/>
    <w:multiLevelType w:val="multilevel"/>
    <w:tmpl w:val="6FD8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C216C73"/>
    <w:multiLevelType w:val="hybridMultilevel"/>
    <w:tmpl w:val="8C88E892"/>
    <w:lvl w:ilvl="0" w:tplc="7C3810D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3F7A6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2447298"/>
    <w:multiLevelType w:val="hybridMultilevel"/>
    <w:tmpl w:val="F90864FE"/>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72602F8F"/>
    <w:multiLevelType w:val="hybridMultilevel"/>
    <w:tmpl w:val="66787A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2C00F90"/>
    <w:multiLevelType w:val="hybridMultilevel"/>
    <w:tmpl w:val="2C16AA50"/>
    <w:lvl w:ilvl="0" w:tplc="04090003">
      <w:start w:val="1"/>
      <w:numFmt w:val="bullet"/>
      <w:lvlText w:val="o"/>
      <w:lvlJc w:val="left"/>
      <w:pPr>
        <w:ind w:left="1080" w:hanging="360"/>
      </w:pPr>
      <w:rPr>
        <w:rFonts w:ascii="Courier New" w:hAnsi="Courier New" w:cs="Courier New"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B3209A1"/>
    <w:multiLevelType w:val="multilevel"/>
    <w:tmpl w:val="396C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1431270">
    <w:abstractNumId w:val="3"/>
  </w:num>
  <w:num w:numId="2" w16cid:durableId="42409877">
    <w:abstractNumId w:val="30"/>
  </w:num>
  <w:num w:numId="3" w16cid:durableId="378895383">
    <w:abstractNumId w:val="9"/>
  </w:num>
  <w:num w:numId="4" w16cid:durableId="2068140527">
    <w:abstractNumId w:val="7"/>
  </w:num>
  <w:num w:numId="5" w16cid:durableId="205875769">
    <w:abstractNumId w:val="20"/>
  </w:num>
  <w:num w:numId="6" w16cid:durableId="1641837687">
    <w:abstractNumId w:val="12"/>
  </w:num>
  <w:num w:numId="7" w16cid:durableId="40059946">
    <w:abstractNumId w:val="14"/>
  </w:num>
  <w:num w:numId="8" w16cid:durableId="142545552">
    <w:abstractNumId w:val="11"/>
  </w:num>
  <w:num w:numId="9" w16cid:durableId="2100055691">
    <w:abstractNumId w:val="28"/>
  </w:num>
  <w:num w:numId="10" w16cid:durableId="1717311816">
    <w:abstractNumId w:val="10"/>
  </w:num>
  <w:num w:numId="11" w16cid:durableId="196478110">
    <w:abstractNumId w:val="24"/>
  </w:num>
  <w:num w:numId="12" w16cid:durableId="1832868424">
    <w:abstractNumId w:val="25"/>
  </w:num>
  <w:num w:numId="13" w16cid:durableId="1001814508">
    <w:abstractNumId w:val="15"/>
  </w:num>
  <w:num w:numId="14" w16cid:durableId="1617520712">
    <w:abstractNumId w:val="33"/>
  </w:num>
  <w:num w:numId="15" w16cid:durableId="144392543">
    <w:abstractNumId w:val="22"/>
  </w:num>
  <w:num w:numId="16" w16cid:durableId="1129857326">
    <w:abstractNumId w:val="4"/>
  </w:num>
  <w:num w:numId="17" w16cid:durableId="2051612716">
    <w:abstractNumId w:val="16"/>
  </w:num>
  <w:num w:numId="18" w16cid:durableId="2051686869">
    <w:abstractNumId w:val="27"/>
  </w:num>
  <w:num w:numId="19" w16cid:durableId="882328850">
    <w:abstractNumId w:val="26"/>
  </w:num>
  <w:num w:numId="20" w16cid:durableId="2107922855">
    <w:abstractNumId w:val="29"/>
  </w:num>
  <w:num w:numId="21" w16cid:durableId="780995902">
    <w:abstractNumId w:val="0"/>
  </w:num>
  <w:num w:numId="22" w16cid:durableId="672804938">
    <w:abstractNumId w:val="8"/>
  </w:num>
  <w:num w:numId="23" w16cid:durableId="812255450">
    <w:abstractNumId w:val="19"/>
  </w:num>
  <w:num w:numId="24" w16cid:durableId="1882326328">
    <w:abstractNumId w:val="23"/>
  </w:num>
  <w:num w:numId="25" w16cid:durableId="917595602">
    <w:abstractNumId w:val="32"/>
  </w:num>
  <w:num w:numId="26" w16cid:durableId="335496665">
    <w:abstractNumId w:val="5"/>
  </w:num>
  <w:num w:numId="27" w16cid:durableId="1256787140">
    <w:abstractNumId w:val="18"/>
  </w:num>
  <w:num w:numId="28" w16cid:durableId="1814329357">
    <w:abstractNumId w:val="21"/>
  </w:num>
  <w:num w:numId="29" w16cid:durableId="749500663">
    <w:abstractNumId w:val="31"/>
  </w:num>
  <w:num w:numId="30" w16cid:durableId="153879019">
    <w:abstractNumId w:val="17"/>
  </w:num>
  <w:num w:numId="31" w16cid:durableId="183056444">
    <w:abstractNumId w:val="6"/>
  </w:num>
  <w:num w:numId="32" w16cid:durableId="99448713">
    <w:abstractNumId w:val="2"/>
  </w:num>
  <w:num w:numId="33" w16cid:durableId="242833243">
    <w:abstractNumId w:val="1"/>
  </w:num>
  <w:num w:numId="34" w16cid:durableId="181791040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HALEB Faroq Mohammed Hazaea">
    <w15:presenceInfo w15:providerId="AD" w15:userId="S::fghalib@iom.int::16a34f6f-ac1d-4da0-b769-6f9c761578a3"/>
  </w15:person>
  <w15:person w15:author="YAHIA Ahmed">
    <w15:presenceInfo w15:providerId="AD" w15:userId="S::ayahia@iom.int::eda6caf1-70c0-4945-814f-ed4bde7a62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DD8"/>
    <w:rsid w:val="00090176"/>
    <w:rsid w:val="000A7017"/>
    <w:rsid w:val="000D2883"/>
    <w:rsid w:val="000E2A77"/>
    <w:rsid w:val="000F334F"/>
    <w:rsid w:val="00121FD8"/>
    <w:rsid w:val="001619F9"/>
    <w:rsid w:val="001B6605"/>
    <w:rsid w:val="001C428C"/>
    <w:rsid w:val="001D5BE5"/>
    <w:rsid w:val="002322F5"/>
    <w:rsid w:val="00247368"/>
    <w:rsid w:val="00252EF4"/>
    <w:rsid w:val="00261221"/>
    <w:rsid w:val="002C5D0B"/>
    <w:rsid w:val="002E1A11"/>
    <w:rsid w:val="00310345"/>
    <w:rsid w:val="003458B0"/>
    <w:rsid w:val="003E3BD2"/>
    <w:rsid w:val="0040314C"/>
    <w:rsid w:val="00431546"/>
    <w:rsid w:val="00442934"/>
    <w:rsid w:val="0048593E"/>
    <w:rsid w:val="004D4066"/>
    <w:rsid w:val="004E6A34"/>
    <w:rsid w:val="00525FF7"/>
    <w:rsid w:val="005535A2"/>
    <w:rsid w:val="00560E2F"/>
    <w:rsid w:val="00587920"/>
    <w:rsid w:val="005930A5"/>
    <w:rsid w:val="00596B3E"/>
    <w:rsid w:val="0061683B"/>
    <w:rsid w:val="006816A1"/>
    <w:rsid w:val="00693A12"/>
    <w:rsid w:val="00695A3A"/>
    <w:rsid w:val="006C1B60"/>
    <w:rsid w:val="006E2891"/>
    <w:rsid w:val="00702E94"/>
    <w:rsid w:val="0076598D"/>
    <w:rsid w:val="007739DE"/>
    <w:rsid w:val="007A25BF"/>
    <w:rsid w:val="008A794E"/>
    <w:rsid w:val="008D3D78"/>
    <w:rsid w:val="008E5FD5"/>
    <w:rsid w:val="009764A8"/>
    <w:rsid w:val="0098617A"/>
    <w:rsid w:val="009872E7"/>
    <w:rsid w:val="009C3F65"/>
    <w:rsid w:val="00A0731F"/>
    <w:rsid w:val="00A116DD"/>
    <w:rsid w:val="00A72E2F"/>
    <w:rsid w:val="00AD3808"/>
    <w:rsid w:val="00B50144"/>
    <w:rsid w:val="00B7794D"/>
    <w:rsid w:val="00B91A6A"/>
    <w:rsid w:val="00B9226C"/>
    <w:rsid w:val="00BA09EE"/>
    <w:rsid w:val="00C13367"/>
    <w:rsid w:val="00C87350"/>
    <w:rsid w:val="00C9228E"/>
    <w:rsid w:val="00D57680"/>
    <w:rsid w:val="00DB6DEC"/>
    <w:rsid w:val="00DC5B54"/>
    <w:rsid w:val="00E07A22"/>
    <w:rsid w:val="00E23075"/>
    <w:rsid w:val="00E4265F"/>
    <w:rsid w:val="00E828CE"/>
    <w:rsid w:val="00E92139"/>
    <w:rsid w:val="00EA05FD"/>
    <w:rsid w:val="00EA103B"/>
    <w:rsid w:val="00ED110E"/>
    <w:rsid w:val="00EE20F4"/>
    <w:rsid w:val="00EE7144"/>
    <w:rsid w:val="00F27DD8"/>
    <w:rsid w:val="00F37225"/>
    <w:rsid w:val="00FE0D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89DF1"/>
  <w15:chartTrackingRefBased/>
  <w15:docId w15:val="{E679044A-7948-44BD-B628-E1FD0DED9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9DE"/>
  </w:style>
  <w:style w:type="paragraph" w:styleId="Titre1">
    <w:name w:val="heading 1"/>
    <w:basedOn w:val="Normal"/>
    <w:next w:val="Normal"/>
    <w:link w:val="Titre1Car"/>
    <w:uiPriority w:val="9"/>
    <w:qFormat/>
    <w:rsid w:val="00F27D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F27D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F27DD8"/>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F27DD8"/>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F27DD8"/>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F27DD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27DD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27DD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27DD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7DD8"/>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F27DD8"/>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F27DD8"/>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F27DD8"/>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F27DD8"/>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F27D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27D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27D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27DD8"/>
    <w:rPr>
      <w:rFonts w:eastAsiaTheme="majorEastAsia" w:cstheme="majorBidi"/>
      <w:color w:val="272727" w:themeColor="text1" w:themeTint="D8"/>
    </w:rPr>
  </w:style>
  <w:style w:type="paragraph" w:styleId="Titre">
    <w:name w:val="Title"/>
    <w:basedOn w:val="Normal"/>
    <w:next w:val="Normal"/>
    <w:link w:val="TitreCar"/>
    <w:uiPriority w:val="10"/>
    <w:qFormat/>
    <w:rsid w:val="00F27D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27D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27D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27D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27DD8"/>
    <w:pPr>
      <w:spacing w:before="160"/>
      <w:jc w:val="center"/>
    </w:pPr>
    <w:rPr>
      <w:i/>
      <w:iCs/>
      <w:color w:val="404040" w:themeColor="text1" w:themeTint="BF"/>
    </w:rPr>
  </w:style>
  <w:style w:type="character" w:customStyle="1" w:styleId="CitationCar">
    <w:name w:val="Citation Car"/>
    <w:basedOn w:val="Policepardfaut"/>
    <w:link w:val="Citation"/>
    <w:uiPriority w:val="29"/>
    <w:rsid w:val="00F27DD8"/>
    <w:rPr>
      <w:i/>
      <w:iCs/>
      <w:color w:val="404040" w:themeColor="text1" w:themeTint="BF"/>
    </w:rPr>
  </w:style>
  <w:style w:type="paragraph" w:styleId="Paragraphedeliste">
    <w:name w:val="List Paragraph"/>
    <w:aliases w:val="Links,List - Numbered,List Paragraph (numbered (a)),WB Para,Bullets,List Paragraph1,Akapit z listą BS,Project Profile name,Lapis Bulleted List,List Square,Colorful List - Accent 11,Dot pt,F5 List Paragraph"/>
    <w:basedOn w:val="Normal"/>
    <w:link w:val="ParagraphedelisteCar"/>
    <w:uiPriority w:val="34"/>
    <w:qFormat/>
    <w:rsid w:val="00F27DD8"/>
    <w:pPr>
      <w:ind w:left="720"/>
      <w:contextualSpacing/>
    </w:pPr>
  </w:style>
  <w:style w:type="character" w:styleId="Accentuationintense">
    <w:name w:val="Intense Emphasis"/>
    <w:basedOn w:val="Policepardfaut"/>
    <w:uiPriority w:val="21"/>
    <w:qFormat/>
    <w:rsid w:val="00F27DD8"/>
    <w:rPr>
      <w:i/>
      <w:iCs/>
      <w:color w:val="2F5496" w:themeColor="accent1" w:themeShade="BF"/>
    </w:rPr>
  </w:style>
  <w:style w:type="paragraph" w:styleId="Citationintense">
    <w:name w:val="Intense Quote"/>
    <w:basedOn w:val="Normal"/>
    <w:next w:val="Normal"/>
    <w:link w:val="CitationintenseCar"/>
    <w:uiPriority w:val="30"/>
    <w:qFormat/>
    <w:rsid w:val="00F27D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F27DD8"/>
    <w:rPr>
      <w:i/>
      <w:iCs/>
      <w:color w:val="2F5496" w:themeColor="accent1" w:themeShade="BF"/>
    </w:rPr>
  </w:style>
  <w:style w:type="character" w:styleId="Rfrenceintense">
    <w:name w:val="Intense Reference"/>
    <w:basedOn w:val="Policepardfaut"/>
    <w:uiPriority w:val="32"/>
    <w:qFormat/>
    <w:rsid w:val="00F27DD8"/>
    <w:rPr>
      <w:b/>
      <w:bCs/>
      <w:smallCaps/>
      <w:color w:val="2F5496" w:themeColor="accent1" w:themeShade="BF"/>
      <w:spacing w:val="5"/>
    </w:rPr>
  </w:style>
  <w:style w:type="character" w:customStyle="1" w:styleId="ParagraphedelisteCar">
    <w:name w:val="Paragraphe de liste Car"/>
    <w:aliases w:val="Links Car,List - Numbered Car,List Paragraph (numbered (a)) Car,WB Para Car,Bullets Car,List Paragraph1 Car,Akapit z listą BS Car,Project Profile name Car,Lapis Bulleted List Car,List Square Car,Colorful List - Accent 11 Car"/>
    <w:basedOn w:val="Policepardfaut"/>
    <w:link w:val="Paragraphedeliste"/>
    <w:uiPriority w:val="34"/>
    <w:qFormat/>
    <w:locked/>
    <w:rsid w:val="00431546"/>
  </w:style>
  <w:style w:type="paragraph" w:styleId="TM1">
    <w:name w:val="toc 1"/>
    <w:basedOn w:val="Normal"/>
    <w:next w:val="Normal"/>
    <w:autoRedefine/>
    <w:uiPriority w:val="39"/>
    <w:unhideWhenUsed/>
    <w:rsid w:val="002C5D0B"/>
    <w:pPr>
      <w:spacing w:after="0"/>
      <w:jc w:val="center"/>
    </w:pPr>
    <w:rPr>
      <w:rFonts w:ascii="Segoe UI" w:hAnsi="Segoe UI" w:cs="Segoe UI"/>
      <w:b/>
      <w:bCs/>
      <w:caps/>
      <w:noProof/>
      <w:color w:val="2F5496" w:themeColor="accent1" w:themeShade="BF"/>
      <w:sz w:val="20"/>
      <w:szCs w:val="20"/>
    </w:rPr>
  </w:style>
  <w:style w:type="character" w:styleId="Marquedecommentaire">
    <w:name w:val="annotation reference"/>
    <w:basedOn w:val="Policepardfaut"/>
    <w:uiPriority w:val="99"/>
    <w:semiHidden/>
    <w:unhideWhenUsed/>
    <w:rsid w:val="006C1B60"/>
    <w:rPr>
      <w:sz w:val="16"/>
      <w:szCs w:val="16"/>
    </w:rPr>
  </w:style>
  <w:style w:type="paragraph" w:styleId="Commentaire">
    <w:name w:val="annotation text"/>
    <w:basedOn w:val="Normal"/>
    <w:link w:val="CommentaireCar"/>
    <w:uiPriority w:val="99"/>
    <w:unhideWhenUsed/>
    <w:rsid w:val="006C1B60"/>
    <w:pPr>
      <w:spacing w:line="240" w:lineRule="auto"/>
    </w:pPr>
    <w:rPr>
      <w:sz w:val="20"/>
      <w:szCs w:val="20"/>
    </w:rPr>
  </w:style>
  <w:style w:type="character" w:customStyle="1" w:styleId="CommentaireCar">
    <w:name w:val="Commentaire Car"/>
    <w:basedOn w:val="Policepardfaut"/>
    <w:link w:val="Commentaire"/>
    <w:uiPriority w:val="99"/>
    <w:rsid w:val="006C1B60"/>
    <w:rPr>
      <w:sz w:val="20"/>
      <w:szCs w:val="20"/>
    </w:rPr>
  </w:style>
  <w:style w:type="paragraph" w:styleId="Objetducommentaire">
    <w:name w:val="annotation subject"/>
    <w:basedOn w:val="Commentaire"/>
    <w:next w:val="Commentaire"/>
    <w:link w:val="ObjetducommentaireCar"/>
    <w:uiPriority w:val="99"/>
    <w:semiHidden/>
    <w:unhideWhenUsed/>
    <w:rsid w:val="006C1B60"/>
    <w:rPr>
      <w:b/>
      <w:bCs/>
    </w:rPr>
  </w:style>
  <w:style w:type="character" w:customStyle="1" w:styleId="ObjetducommentaireCar">
    <w:name w:val="Objet du commentaire Car"/>
    <w:basedOn w:val="CommentaireCar"/>
    <w:link w:val="Objetducommentaire"/>
    <w:uiPriority w:val="99"/>
    <w:semiHidden/>
    <w:rsid w:val="006C1B60"/>
    <w:rPr>
      <w:b/>
      <w:bCs/>
      <w:sz w:val="20"/>
      <w:szCs w:val="20"/>
    </w:rPr>
  </w:style>
  <w:style w:type="table" w:styleId="Grilledutableau">
    <w:name w:val="Table Grid"/>
    <w:basedOn w:val="TableauNormal"/>
    <w:uiPriority w:val="59"/>
    <w:rsid w:val="0097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139"/>
    <w:pPr>
      <w:autoSpaceDE w:val="0"/>
      <w:autoSpaceDN w:val="0"/>
      <w:adjustRightInd w:val="0"/>
      <w:spacing w:after="0" w:line="240" w:lineRule="auto"/>
    </w:pPr>
    <w:rPr>
      <w:rFonts w:ascii="Aptos" w:hAnsi="Aptos" w:cs="Aptos"/>
      <w:color w:val="000000"/>
      <w:sz w:val="24"/>
      <w:szCs w:val="24"/>
    </w:rPr>
  </w:style>
  <w:style w:type="character" w:styleId="Textedelespacerserv">
    <w:name w:val="Placeholder Text"/>
    <w:basedOn w:val="Policepardfaut"/>
    <w:uiPriority w:val="99"/>
    <w:semiHidden/>
    <w:rsid w:val="0044293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586849">
      <w:bodyDiv w:val="1"/>
      <w:marLeft w:val="0"/>
      <w:marRight w:val="0"/>
      <w:marTop w:val="0"/>
      <w:marBottom w:val="0"/>
      <w:divBdr>
        <w:top w:val="none" w:sz="0" w:space="0" w:color="auto"/>
        <w:left w:val="none" w:sz="0" w:space="0" w:color="auto"/>
        <w:bottom w:val="none" w:sz="0" w:space="0" w:color="auto"/>
        <w:right w:val="none" w:sz="0" w:space="0" w:color="auto"/>
      </w:divBdr>
    </w:div>
    <w:div w:id="690180640">
      <w:bodyDiv w:val="1"/>
      <w:marLeft w:val="0"/>
      <w:marRight w:val="0"/>
      <w:marTop w:val="0"/>
      <w:marBottom w:val="0"/>
      <w:divBdr>
        <w:top w:val="none" w:sz="0" w:space="0" w:color="auto"/>
        <w:left w:val="none" w:sz="0" w:space="0" w:color="auto"/>
        <w:bottom w:val="none" w:sz="0" w:space="0" w:color="auto"/>
        <w:right w:val="none" w:sz="0" w:space="0" w:color="auto"/>
      </w:divBdr>
    </w:div>
    <w:div w:id="903562318">
      <w:bodyDiv w:val="1"/>
      <w:marLeft w:val="0"/>
      <w:marRight w:val="0"/>
      <w:marTop w:val="0"/>
      <w:marBottom w:val="0"/>
      <w:divBdr>
        <w:top w:val="none" w:sz="0" w:space="0" w:color="auto"/>
        <w:left w:val="none" w:sz="0" w:space="0" w:color="auto"/>
        <w:bottom w:val="none" w:sz="0" w:space="0" w:color="auto"/>
        <w:right w:val="none" w:sz="0" w:space="0" w:color="auto"/>
      </w:divBdr>
    </w:div>
    <w:div w:id="1082946779">
      <w:bodyDiv w:val="1"/>
      <w:marLeft w:val="0"/>
      <w:marRight w:val="0"/>
      <w:marTop w:val="0"/>
      <w:marBottom w:val="0"/>
      <w:divBdr>
        <w:top w:val="none" w:sz="0" w:space="0" w:color="auto"/>
        <w:left w:val="none" w:sz="0" w:space="0" w:color="auto"/>
        <w:bottom w:val="none" w:sz="0" w:space="0" w:color="auto"/>
        <w:right w:val="none" w:sz="0" w:space="0" w:color="auto"/>
      </w:divBdr>
    </w:div>
    <w:div w:id="1085491636">
      <w:bodyDiv w:val="1"/>
      <w:marLeft w:val="0"/>
      <w:marRight w:val="0"/>
      <w:marTop w:val="0"/>
      <w:marBottom w:val="0"/>
      <w:divBdr>
        <w:top w:val="none" w:sz="0" w:space="0" w:color="auto"/>
        <w:left w:val="none" w:sz="0" w:space="0" w:color="auto"/>
        <w:bottom w:val="none" w:sz="0" w:space="0" w:color="auto"/>
        <w:right w:val="none" w:sz="0" w:space="0" w:color="auto"/>
      </w:divBdr>
    </w:div>
    <w:div w:id="1180775149">
      <w:bodyDiv w:val="1"/>
      <w:marLeft w:val="0"/>
      <w:marRight w:val="0"/>
      <w:marTop w:val="0"/>
      <w:marBottom w:val="0"/>
      <w:divBdr>
        <w:top w:val="none" w:sz="0" w:space="0" w:color="auto"/>
        <w:left w:val="none" w:sz="0" w:space="0" w:color="auto"/>
        <w:bottom w:val="none" w:sz="0" w:space="0" w:color="auto"/>
        <w:right w:val="none" w:sz="0" w:space="0" w:color="auto"/>
      </w:divBdr>
    </w:div>
    <w:div w:id="1346446857">
      <w:bodyDiv w:val="1"/>
      <w:marLeft w:val="0"/>
      <w:marRight w:val="0"/>
      <w:marTop w:val="0"/>
      <w:marBottom w:val="0"/>
      <w:divBdr>
        <w:top w:val="none" w:sz="0" w:space="0" w:color="auto"/>
        <w:left w:val="none" w:sz="0" w:space="0" w:color="auto"/>
        <w:bottom w:val="none" w:sz="0" w:space="0" w:color="auto"/>
        <w:right w:val="none" w:sz="0" w:space="0" w:color="auto"/>
      </w:divBdr>
    </w:div>
    <w:div w:id="1627202298">
      <w:bodyDiv w:val="1"/>
      <w:marLeft w:val="0"/>
      <w:marRight w:val="0"/>
      <w:marTop w:val="0"/>
      <w:marBottom w:val="0"/>
      <w:divBdr>
        <w:top w:val="none" w:sz="0" w:space="0" w:color="auto"/>
        <w:left w:val="none" w:sz="0" w:space="0" w:color="auto"/>
        <w:bottom w:val="none" w:sz="0" w:space="0" w:color="auto"/>
        <w:right w:val="none" w:sz="0" w:space="0" w:color="auto"/>
      </w:divBdr>
    </w:div>
    <w:div w:id="175828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9807A-09F3-4D5B-887F-15E8ACFD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2865</Words>
  <Characters>15733</Characters>
  <Application>Microsoft Office Word</Application>
  <DocSecurity>0</DocSecurity>
  <Lines>314</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GHALEB Faroq Mohammed Hazaea</dc:creator>
  <cp:keywords/>
  <dc:description/>
  <cp:lastModifiedBy>YAHIA Ahmed</cp:lastModifiedBy>
  <cp:revision>1</cp:revision>
  <dcterms:created xsi:type="dcterms:W3CDTF">2024-11-04T14:54:00Z</dcterms:created>
  <dcterms:modified xsi:type="dcterms:W3CDTF">2024-11-16T10:34:00Z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2024-10-27T13:29:59Z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93c6ee7c-07e3-45ee-a7ce-aa61021c9e71</vt:lpwstr>
  </property>
  <property fmtid="{D5CDD505-2E9C-101B-9397-08002B2CF9AE}" pid="8" name="MSIP_Label_2059aa38-f392-4105-be92-628035578272_ContentBits">
    <vt:lpwstr>0</vt:lpwstr>
  </property>
</Properties>
</file>