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/>
      </w:pPr>
      <w:r w:rsidDel="00000000" w:rsidR="00000000" w:rsidRPr="00000000">
        <w:rPr>
          <w:b w:val="1"/>
          <w:rtl w:val="0"/>
        </w:rPr>
        <w:t xml:space="preserve">eSourcing reference: RFQ/2024/54205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4" w:hanging="284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Technical specifications for Goods and Comparative Data </w:t>
      </w:r>
      <w:r w:rsidDel="00000000" w:rsidR="00000000" w:rsidRPr="00000000">
        <w:rPr>
          <w:b w:val="1"/>
          <w:highlight w:val="yellow"/>
          <w:rtl w:val="0"/>
        </w:rPr>
        <w:t xml:space="preserve">Table__Refer to the attached spreadsheet for the technical specifications of the below Lots.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 1: Supply and Delivery of Medical Equipment for Xoogga Hospital-Mogadishu Somalia 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 2 :Supply and Delivery of Medical Equipment for Role 1- Bulo Burte -Somalia, 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 3: Supply and Delivery of Medical Equipment for Role 1- KM50- Somalia 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right" w:leader="none" w:pos="8640"/>
        </w:tabs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4" w:hanging="284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Delivery requirements and Comparative Data Table: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160" w:hanging="72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3720"/>
        <w:gridCol w:w="1815"/>
        <w:gridCol w:w="3075"/>
        <w:tblGridChange w:id="0">
          <w:tblGrid>
            <w:gridCol w:w="1695"/>
            <w:gridCol w:w="3720"/>
            <w:gridCol w:w="1815"/>
            <w:gridCol w:w="3075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 (LOT1)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UNOPS prefers delivery of 4-6 weeks after Contract signature.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awarded bidder will be expected to send all shipping documents including but not limited to 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i. Certificate of Origin,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ii. Packing List, 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iii. AWB, and 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iv. commercial invoice 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 (LOT2)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highlight w:val="yellow"/>
                <w:rtl w:val="0"/>
              </w:rPr>
              <w:t xml:space="preserve">Delivery shall be made in April 2025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awarded bidder will be expected to send all shipping documents including but not limited to 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i. Certificate of Origin, 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ii. Packing List, 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iii. AWB, and 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iv. commercial invoice 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00000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4.76562499999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 (LOT3)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highlight w:val="yellow"/>
                <w:rtl w:val="0"/>
              </w:rPr>
              <w:t xml:space="preserve">Delivery shall be made in April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awarded bidder will be expected to send all shipping documents including but not limited to 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i. Certificate of Origin, 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ii. Packing List, 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iii. AWB, and 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iv. commercial invoice 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00000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4.82421874999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DAP (Incoterm 2020), Mogadishu Seaport) Somalia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DAP Xogga Hospital for LOT1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DAP Bulo Burte, for LOT 2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DAP Km50 for LOT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UNOPS Country Office Somalia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trike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+/- 20%, without any change in the unit prices or other terms and conditions of the RFQ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160" w:hanging="72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4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14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144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color w:val="518ec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sz w:val="16"/>
        <w:szCs w:val="16"/>
      </w:rPr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</w:r>
    <w:r w:rsidDel="00000000" w:rsidR="00000000" w:rsidRPr="00000000">
      <w:rPr>
        <w:sz w:val="16"/>
        <w:szCs w:val="16"/>
        <w:rtl w:val="0"/>
      </w:rPr>
      <w:tab/>
      <w:t xml:space="preserve">            RFQ/2024/54205</w:t>
    </w:r>
  </w:p>
  <w:tbl>
    <w:tblPr>
      <w:tblStyle w:val="Table2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highlight w:val="yellow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kkM4DBsCqIrvnGkkJpXrGxHmig==">CgMxLjAyCGguZ2pkZ3hzOAByITFyVDFuMTJrWHMyUGxYc2VtOHQxOHduT2Nvdk16TXR6Ug==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2024-01-23T11:18:00Z</dcterms:created>
</cp:coreProperties>
</file>