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135685923"/>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490862592"/>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