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EFFD8" w14:textId="0B5D1D74" w:rsidR="00F250DE" w:rsidRPr="00672AFA" w:rsidRDefault="00F03503">
      <w:pPr>
        <w:rPr>
          <w:lang w:val="es-CL"/>
        </w:rPr>
      </w:pPr>
      <w:r w:rsidRPr="00672AFA">
        <w:rPr>
          <w:noProof/>
          <w:lang w:val="es-CL"/>
        </w:rPr>
        <w:drawing>
          <wp:anchor distT="0" distB="0" distL="114300" distR="114300" simplePos="0" relativeHeight="251658240" behindDoc="0" locked="0" layoutInCell="1" allowOverlap="1" wp14:anchorId="6B4D6CAD" wp14:editId="09F00EDA">
            <wp:simplePos x="0" y="0"/>
            <wp:positionH relativeFrom="page">
              <wp:align>left</wp:align>
            </wp:positionH>
            <wp:positionV relativeFrom="paragraph">
              <wp:posOffset>-1090295</wp:posOffset>
            </wp:positionV>
            <wp:extent cx="7562850" cy="10859135"/>
            <wp:effectExtent l="0" t="0" r="0" b="0"/>
            <wp:wrapNone/>
            <wp:docPr id="14087488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0859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5ECCA2" w14:textId="77777777" w:rsidR="00AD50FC" w:rsidRPr="00672AFA" w:rsidRDefault="00AD50FC">
      <w:pPr>
        <w:rPr>
          <w:lang w:val="es-CL"/>
        </w:rPr>
      </w:pPr>
    </w:p>
    <w:p w14:paraId="5A40B204" w14:textId="3746F48C" w:rsidR="00AD50FC" w:rsidRPr="00672AFA" w:rsidRDefault="00AD50FC" w:rsidP="00AD50FC">
      <w:pPr>
        <w:pStyle w:val="NormalWeb"/>
        <w:rPr>
          <w:lang w:val="es-CL"/>
        </w:rPr>
      </w:pPr>
    </w:p>
    <w:p w14:paraId="5BF2E08D" w14:textId="77777777" w:rsidR="00AD50FC" w:rsidRPr="00672AFA" w:rsidRDefault="00AD50FC">
      <w:pPr>
        <w:rPr>
          <w:lang w:val="es-CL"/>
        </w:rPr>
      </w:pPr>
    </w:p>
    <w:p w14:paraId="26EB763F" w14:textId="77777777" w:rsidR="00AD50FC" w:rsidRPr="00672AFA" w:rsidRDefault="00AD50FC">
      <w:pPr>
        <w:rPr>
          <w:lang w:val="es-CL"/>
        </w:rPr>
      </w:pPr>
    </w:p>
    <w:p w14:paraId="2FC55E8C" w14:textId="77777777" w:rsidR="00AD50FC" w:rsidRPr="00672AFA" w:rsidRDefault="00AD50FC">
      <w:pPr>
        <w:rPr>
          <w:lang w:val="es-CL"/>
        </w:rPr>
      </w:pPr>
    </w:p>
    <w:p w14:paraId="52C87EEB" w14:textId="77777777" w:rsidR="00AD50FC" w:rsidRPr="00672AFA" w:rsidRDefault="00AD50FC">
      <w:pPr>
        <w:rPr>
          <w:lang w:val="es-CL"/>
        </w:rPr>
      </w:pPr>
    </w:p>
    <w:p w14:paraId="26C98A0A" w14:textId="77777777" w:rsidR="00AD50FC" w:rsidRPr="00672AFA" w:rsidRDefault="00AD50FC">
      <w:pPr>
        <w:rPr>
          <w:lang w:val="es-CL"/>
        </w:rPr>
      </w:pPr>
    </w:p>
    <w:p w14:paraId="40F918B0" w14:textId="77777777" w:rsidR="00AD50FC" w:rsidRPr="00672AFA" w:rsidRDefault="00AD50FC">
      <w:pPr>
        <w:rPr>
          <w:lang w:val="es-CL"/>
        </w:rPr>
      </w:pPr>
    </w:p>
    <w:p w14:paraId="1C8B3836" w14:textId="77777777" w:rsidR="00AD50FC" w:rsidRPr="00672AFA" w:rsidRDefault="00AD50FC">
      <w:pPr>
        <w:rPr>
          <w:lang w:val="es-CL"/>
        </w:rPr>
      </w:pPr>
    </w:p>
    <w:p w14:paraId="016CE123" w14:textId="77777777" w:rsidR="00AD50FC" w:rsidRPr="00672AFA" w:rsidRDefault="00AD50FC">
      <w:pPr>
        <w:rPr>
          <w:lang w:val="es-CL"/>
        </w:rPr>
      </w:pPr>
    </w:p>
    <w:p w14:paraId="78D14B79" w14:textId="77777777" w:rsidR="00AD50FC" w:rsidRPr="00672AFA" w:rsidRDefault="00AD50FC">
      <w:pPr>
        <w:rPr>
          <w:lang w:val="es-CL"/>
        </w:rPr>
      </w:pPr>
    </w:p>
    <w:p w14:paraId="68AE6466" w14:textId="77777777" w:rsidR="00AD50FC" w:rsidRPr="00672AFA" w:rsidRDefault="00AD50FC">
      <w:pPr>
        <w:rPr>
          <w:lang w:val="es-CL"/>
        </w:rPr>
      </w:pPr>
    </w:p>
    <w:p w14:paraId="2F679307" w14:textId="77777777" w:rsidR="00AD50FC" w:rsidRPr="00672AFA" w:rsidRDefault="00AD50FC">
      <w:pPr>
        <w:rPr>
          <w:lang w:val="es-CL"/>
        </w:rPr>
      </w:pPr>
    </w:p>
    <w:p w14:paraId="593CFBC5" w14:textId="77777777" w:rsidR="00AD50FC" w:rsidRPr="00672AFA" w:rsidRDefault="00AD50FC">
      <w:pPr>
        <w:rPr>
          <w:lang w:val="es-CL"/>
        </w:rPr>
      </w:pPr>
    </w:p>
    <w:p w14:paraId="1DB42A00" w14:textId="77777777" w:rsidR="00AD50FC" w:rsidRPr="00672AFA" w:rsidRDefault="00AD50FC">
      <w:pPr>
        <w:rPr>
          <w:lang w:val="es-CL"/>
        </w:rPr>
      </w:pPr>
    </w:p>
    <w:p w14:paraId="7F1DDFF6" w14:textId="77777777" w:rsidR="00AD50FC" w:rsidRPr="00672AFA" w:rsidRDefault="00AD50FC">
      <w:pPr>
        <w:rPr>
          <w:lang w:val="es-CL"/>
        </w:rPr>
      </w:pPr>
    </w:p>
    <w:p w14:paraId="1D7BD183" w14:textId="77777777" w:rsidR="00AD50FC" w:rsidRPr="00672AFA" w:rsidRDefault="00AD50FC">
      <w:pPr>
        <w:rPr>
          <w:lang w:val="es-CL"/>
        </w:rPr>
      </w:pPr>
    </w:p>
    <w:p w14:paraId="4599422D" w14:textId="77777777" w:rsidR="00AD50FC" w:rsidRPr="00672AFA" w:rsidRDefault="00AD50FC">
      <w:pPr>
        <w:rPr>
          <w:lang w:val="es-CL"/>
        </w:rPr>
      </w:pPr>
    </w:p>
    <w:p w14:paraId="6529D214" w14:textId="77777777" w:rsidR="00AD50FC" w:rsidRPr="00672AFA" w:rsidRDefault="00AD50FC">
      <w:pPr>
        <w:rPr>
          <w:lang w:val="es-CL"/>
        </w:rPr>
      </w:pPr>
    </w:p>
    <w:p w14:paraId="48FF10EA" w14:textId="77777777" w:rsidR="00AD50FC" w:rsidRPr="00672AFA" w:rsidRDefault="00AD50FC">
      <w:pPr>
        <w:rPr>
          <w:lang w:val="es-CL"/>
        </w:rPr>
      </w:pPr>
    </w:p>
    <w:p w14:paraId="29F72AE4" w14:textId="77777777" w:rsidR="00AD50FC" w:rsidRPr="00672AFA" w:rsidRDefault="00AD50FC">
      <w:pPr>
        <w:rPr>
          <w:lang w:val="es-CL"/>
        </w:rPr>
      </w:pPr>
    </w:p>
    <w:p w14:paraId="35640825" w14:textId="77777777" w:rsidR="00AD50FC" w:rsidRPr="00672AFA" w:rsidRDefault="00AD50FC">
      <w:pPr>
        <w:rPr>
          <w:lang w:val="es-CL"/>
        </w:rPr>
      </w:pPr>
    </w:p>
    <w:p w14:paraId="665C75AD" w14:textId="77777777" w:rsidR="00AD50FC" w:rsidRPr="00672AFA" w:rsidRDefault="00AD50FC">
      <w:pPr>
        <w:rPr>
          <w:lang w:val="es-CL"/>
        </w:rPr>
      </w:pPr>
    </w:p>
    <w:p w14:paraId="272C6A81" w14:textId="77777777" w:rsidR="00AD50FC" w:rsidRPr="00672AFA" w:rsidRDefault="00AD50FC">
      <w:pPr>
        <w:rPr>
          <w:lang w:val="es-CL"/>
        </w:rPr>
      </w:pPr>
    </w:p>
    <w:p w14:paraId="5E82FE6C" w14:textId="77777777" w:rsidR="00AD50FC" w:rsidRPr="00672AFA" w:rsidRDefault="00AD50FC">
      <w:pPr>
        <w:rPr>
          <w:lang w:val="es-CL"/>
        </w:rPr>
      </w:pPr>
    </w:p>
    <w:p w14:paraId="34CF29D8" w14:textId="77777777" w:rsidR="00AD50FC" w:rsidRPr="00672AFA" w:rsidRDefault="00AD50FC">
      <w:pPr>
        <w:rPr>
          <w:lang w:val="es-CL"/>
        </w:rPr>
      </w:pPr>
    </w:p>
    <w:p w14:paraId="08CD553D" w14:textId="77777777" w:rsidR="005965D1" w:rsidRPr="00672AFA" w:rsidRDefault="005965D1" w:rsidP="005965D1">
      <w:pPr>
        <w:pStyle w:val="FCsubtitle"/>
        <w:jc w:val="center"/>
        <w:rPr>
          <w:b/>
          <w:bCs/>
          <w:lang w:val="es-CL"/>
        </w:rPr>
      </w:pPr>
    </w:p>
    <w:p w14:paraId="475CB6B4" w14:textId="51CDEAB7" w:rsidR="005965D1" w:rsidRPr="00672AFA" w:rsidRDefault="005A1113" w:rsidP="005965D1">
      <w:pPr>
        <w:pStyle w:val="FCsubtitle"/>
        <w:jc w:val="center"/>
        <w:rPr>
          <w:b/>
          <w:bCs/>
          <w:lang w:val="es-CL"/>
        </w:rPr>
      </w:pPr>
      <w:r w:rsidRPr="00672AFA">
        <w:rPr>
          <w:b/>
          <w:bCs/>
          <w:lang w:val="es-CL"/>
        </w:rPr>
        <w:t>T</w:t>
      </w:r>
      <w:r w:rsidR="00240719" w:rsidRPr="00672AFA">
        <w:rPr>
          <w:b/>
          <w:bCs/>
          <w:lang w:val="es-CL"/>
        </w:rPr>
        <w:t>É</w:t>
      </w:r>
      <w:r w:rsidRPr="00672AFA">
        <w:rPr>
          <w:b/>
          <w:bCs/>
          <w:lang w:val="es-CL"/>
        </w:rPr>
        <w:t>RMINOS DE REFERENCIA</w:t>
      </w:r>
    </w:p>
    <w:p w14:paraId="44B4811D" w14:textId="30246668" w:rsidR="007D4F03" w:rsidRPr="00672AFA" w:rsidRDefault="005A1113" w:rsidP="00D665E0">
      <w:pPr>
        <w:spacing w:before="240"/>
        <w:jc w:val="center"/>
        <w:rPr>
          <w:b/>
          <w:bCs/>
          <w:lang w:val="es-CL"/>
        </w:rPr>
      </w:pPr>
      <w:r w:rsidRPr="00672AFA">
        <w:rPr>
          <w:b/>
          <w:bCs/>
          <w:lang w:val="es-CL"/>
        </w:rPr>
        <w:t>FONDO MUNDIAL PARA LA DEFENSA DE LOS MEDIOS</w:t>
      </w:r>
    </w:p>
    <w:p w14:paraId="6FC835BB" w14:textId="68F08C7B" w:rsidR="00BE581F" w:rsidRPr="00672AFA" w:rsidRDefault="000D17EA" w:rsidP="00C65956">
      <w:pPr>
        <w:spacing w:before="240"/>
        <w:jc w:val="center"/>
        <w:rPr>
          <w:b/>
          <w:bCs/>
          <w:lang w:val="es-CL"/>
        </w:rPr>
      </w:pPr>
      <w:r w:rsidRPr="00672AFA">
        <w:rPr>
          <w:b/>
          <w:bCs/>
          <w:lang w:val="es-CL"/>
        </w:rPr>
        <w:t>CONVOCATORIA TEM</w:t>
      </w:r>
      <w:r w:rsidR="00240719" w:rsidRPr="00672AFA">
        <w:rPr>
          <w:b/>
          <w:bCs/>
          <w:lang w:val="es-CL"/>
        </w:rPr>
        <w:t>Á</w:t>
      </w:r>
      <w:r w:rsidRPr="00672AFA">
        <w:rPr>
          <w:b/>
          <w:bCs/>
          <w:lang w:val="es-CL"/>
        </w:rPr>
        <w:t>TICA DE PROPUESTAS</w:t>
      </w:r>
    </w:p>
    <w:p w14:paraId="1C6A740F" w14:textId="51877B6C" w:rsidR="002428CD" w:rsidRPr="00672AFA" w:rsidRDefault="00083515" w:rsidP="005E7698">
      <w:pPr>
        <w:spacing w:before="240"/>
        <w:jc w:val="center"/>
        <w:rPr>
          <w:b/>
          <w:bCs/>
          <w:lang w:val="es-CL"/>
        </w:rPr>
      </w:pPr>
      <w:r w:rsidRPr="00672AFA">
        <w:rPr>
          <w:b/>
          <w:bCs/>
          <w:lang w:val="es-CL"/>
        </w:rPr>
        <w:t>DEFENDIENDO EL PERIODISMO MEDIOAMBIENTAL</w:t>
      </w:r>
    </w:p>
    <w:p w14:paraId="0E814481" w14:textId="2EDCAFC8" w:rsidR="00C20F8E" w:rsidRPr="00672AFA" w:rsidRDefault="00C20F8E">
      <w:pPr>
        <w:rPr>
          <w:lang w:val="es-CL"/>
        </w:rPr>
      </w:pPr>
    </w:p>
    <w:p w14:paraId="1B7B4B88" w14:textId="2670770B" w:rsidR="00C20F8E" w:rsidRPr="00672AFA" w:rsidRDefault="00083515">
      <w:pPr>
        <w:rPr>
          <w:b/>
          <w:bCs/>
          <w:sz w:val="22"/>
          <w:szCs w:val="22"/>
          <w:lang w:val="es-CL"/>
        </w:rPr>
      </w:pPr>
      <w:r w:rsidRPr="00672AFA">
        <w:rPr>
          <w:b/>
          <w:bCs/>
          <w:sz w:val="22"/>
          <w:szCs w:val="22"/>
          <w:lang w:val="es-CL"/>
        </w:rPr>
        <w:t>INDICE</w:t>
      </w:r>
      <w:r w:rsidR="00C20F8E" w:rsidRPr="00672AFA">
        <w:rPr>
          <w:b/>
          <w:bCs/>
          <w:sz w:val="22"/>
          <w:szCs w:val="22"/>
          <w:lang w:val="es-CL"/>
        </w:rPr>
        <w:t>:</w:t>
      </w:r>
    </w:p>
    <w:p w14:paraId="74730B9B" w14:textId="00E8C110" w:rsidR="00C20F8E" w:rsidRPr="00672AFA" w:rsidRDefault="00FF3C6E" w:rsidP="00176EFA">
      <w:pPr>
        <w:pStyle w:val="ListParagraph"/>
        <w:numPr>
          <w:ilvl w:val="0"/>
          <w:numId w:val="3"/>
        </w:numPr>
        <w:spacing w:line="360" w:lineRule="auto"/>
        <w:rPr>
          <w:sz w:val="22"/>
          <w:szCs w:val="22"/>
          <w:lang w:val="es-CL"/>
        </w:rPr>
      </w:pPr>
      <w:r w:rsidRPr="00672AFA">
        <w:rPr>
          <w:sz w:val="22"/>
          <w:szCs w:val="22"/>
          <w:lang w:val="es-CL"/>
        </w:rPr>
        <w:t>El Fondo Mundial para la Defensa de los Medios</w:t>
      </w:r>
    </w:p>
    <w:p w14:paraId="519E89F7" w14:textId="66B4F59D" w:rsidR="007A0968" w:rsidRPr="00672AFA" w:rsidRDefault="00643CB4" w:rsidP="00176EFA">
      <w:pPr>
        <w:pStyle w:val="ListParagraph"/>
        <w:numPr>
          <w:ilvl w:val="0"/>
          <w:numId w:val="3"/>
        </w:numPr>
        <w:spacing w:line="360" w:lineRule="auto"/>
        <w:rPr>
          <w:sz w:val="22"/>
          <w:szCs w:val="22"/>
          <w:lang w:val="es-CL"/>
        </w:rPr>
      </w:pPr>
      <w:r w:rsidRPr="00672AFA">
        <w:rPr>
          <w:sz w:val="22"/>
          <w:szCs w:val="22"/>
          <w:lang w:val="es-CL"/>
        </w:rPr>
        <w:t xml:space="preserve">Acciones apoyadas en el marco de esta Convocatoria Temática </w:t>
      </w:r>
    </w:p>
    <w:p w14:paraId="570F42E0" w14:textId="5DB261C8" w:rsidR="007A0968" w:rsidRPr="00672AFA" w:rsidRDefault="00706974" w:rsidP="00176EFA">
      <w:pPr>
        <w:pStyle w:val="ListParagraph"/>
        <w:numPr>
          <w:ilvl w:val="0"/>
          <w:numId w:val="3"/>
        </w:numPr>
        <w:spacing w:line="360" w:lineRule="auto"/>
        <w:rPr>
          <w:sz w:val="22"/>
          <w:szCs w:val="22"/>
          <w:lang w:val="es-CL"/>
        </w:rPr>
      </w:pPr>
      <w:r w:rsidRPr="00672AFA">
        <w:rPr>
          <w:sz w:val="22"/>
          <w:szCs w:val="22"/>
          <w:lang w:val="es-CL"/>
        </w:rPr>
        <w:t>Criterio</w:t>
      </w:r>
      <w:r w:rsidR="001F105C" w:rsidRPr="00672AFA">
        <w:rPr>
          <w:sz w:val="22"/>
          <w:szCs w:val="22"/>
          <w:lang w:val="es-CL"/>
        </w:rPr>
        <w:t>s de Admisibilidad y Elegibilidad</w:t>
      </w:r>
    </w:p>
    <w:p w14:paraId="67B5BBA6" w14:textId="5D84584C" w:rsidR="007A0968" w:rsidRPr="00672AFA" w:rsidRDefault="004C35C0" w:rsidP="00176EFA">
      <w:pPr>
        <w:pStyle w:val="ListParagraph"/>
        <w:numPr>
          <w:ilvl w:val="0"/>
          <w:numId w:val="3"/>
        </w:numPr>
        <w:spacing w:line="360" w:lineRule="auto"/>
        <w:rPr>
          <w:sz w:val="22"/>
          <w:szCs w:val="22"/>
          <w:lang w:val="es-CL"/>
        </w:rPr>
      </w:pPr>
      <w:r w:rsidRPr="00672AFA">
        <w:rPr>
          <w:sz w:val="22"/>
          <w:szCs w:val="22"/>
          <w:lang w:val="es-CL"/>
        </w:rPr>
        <w:t xml:space="preserve">Presupuesto </w:t>
      </w:r>
      <w:r w:rsidR="0020231C" w:rsidRPr="00672AFA">
        <w:rPr>
          <w:sz w:val="22"/>
          <w:szCs w:val="22"/>
          <w:lang w:val="es-CL"/>
        </w:rPr>
        <w:t xml:space="preserve">indicativo </w:t>
      </w:r>
      <w:r w:rsidR="00094B8D" w:rsidRPr="00672AFA">
        <w:rPr>
          <w:sz w:val="22"/>
          <w:szCs w:val="22"/>
          <w:lang w:val="es-CL"/>
        </w:rPr>
        <w:t>disponible bajo esta Convocatoria</w:t>
      </w:r>
    </w:p>
    <w:p w14:paraId="532DD538" w14:textId="7BADC434" w:rsidR="007A0968" w:rsidRPr="00672AFA" w:rsidRDefault="00094B8D" w:rsidP="00176EFA">
      <w:pPr>
        <w:pStyle w:val="ListParagraph"/>
        <w:numPr>
          <w:ilvl w:val="0"/>
          <w:numId w:val="3"/>
        </w:numPr>
        <w:spacing w:line="360" w:lineRule="auto"/>
        <w:rPr>
          <w:sz w:val="22"/>
          <w:szCs w:val="22"/>
          <w:lang w:val="es-CL"/>
        </w:rPr>
      </w:pPr>
      <w:r w:rsidRPr="00672AFA">
        <w:rPr>
          <w:sz w:val="22"/>
          <w:szCs w:val="22"/>
          <w:lang w:val="es-CL"/>
        </w:rPr>
        <w:t>Proceso de Evaluación y Selección</w:t>
      </w:r>
    </w:p>
    <w:p w14:paraId="00404A08" w14:textId="551FB38A" w:rsidR="007A0968" w:rsidRPr="00672AFA" w:rsidRDefault="00B1608D" w:rsidP="00176EFA">
      <w:pPr>
        <w:pStyle w:val="ListParagraph"/>
        <w:numPr>
          <w:ilvl w:val="0"/>
          <w:numId w:val="3"/>
        </w:numPr>
        <w:spacing w:line="360" w:lineRule="auto"/>
        <w:rPr>
          <w:sz w:val="22"/>
          <w:szCs w:val="22"/>
          <w:lang w:val="es-CL"/>
        </w:rPr>
      </w:pPr>
      <w:r w:rsidRPr="00672AFA">
        <w:rPr>
          <w:sz w:val="22"/>
          <w:szCs w:val="22"/>
          <w:lang w:val="es-CL"/>
        </w:rPr>
        <w:t>Proceso de Contratación y Ejecución del Proyecto</w:t>
      </w:r>
    </w:p>
    <w:p w14:paraId="57D95122" w14:textId="3351E62A" w:rsidR="00176EFA" w:rsidRPr="00672AFA" w:rsidRDefault="00147A3D" w:rsidP="00176EFA">
      <w:pPr>
        <w:pStyle w:val="ListParagraph"/>
        <w:numPr>
          <w:ilvl w:val="0"/>
          <w:numId w:val="3"/>
        </w:numPr>
        <w:spacing w:line="360" w:lineRule="auto"/>
        <w:rPr>
          <w:sz w:val="22"/>
          <w:szCs w:val="22"/>
          <w:lang w:val="es-CL"/>
        </w:rPr>
      </w:pPr>
      <w:r w:rsidRPr="00672AFA">
        <w:rPr>
          <w:sz w:val="22"/>
          <w:szCs w:val="22"/>
          <w:lang w:val="es-CL"/>
        </w:rPr>
        <w:t>Presentación de Propuestas de Asociación</w:t>
      </w:r>
    </w:p>
    <w:p w14:paraId="43A53E0A" w14:textId="77777777" w:rsidR="00C20F8E" w:rsidRPr="00672AFA" w:rsidRDefault="00C20F8E" w:rsidP="00176EFA">
      <w:pPr>
        <w:spacing w:line="360" w:lineRule="auto"/>
        <w:rPr>
          <w:lang w:val="es-CL"/>
        </w:rPr>
      </w:pPr>
    </w:p>
    <w:p w14:paraId="6D73BD9C" w14:textId="77777777" w:rsidR="00C20F8E" w:rsidRPr="00672AFA" w:rsidRDefault="00C20F8E">
      <w:pPr>
        <w:rPr>
          <w:lang w:val="es-CL"/>
        </w:rPr>
      </w:pPr>
    </w:p>
    <w:p w14:paraId="41D73617" w14:textId="77777777" w:rsidR="00C20F8E" w:rsidRPr="00672AFA" w:rsidRDefault="00C20F8E">
      <w:pPr>
        <w:rPr>
          <w:lang w:val="es-CL"/>
        </w:rPr>
      </w:pPr>
    </w:p>
    <w:p w14:paraId="38CF00F8" w14:textId="77777777" w:rsidR="00C20F8E" w:rsidRPr="00672AFA" w:rsidRDefault="00C20F8E">
      <w:pPr>
        <w:rPr>
          <w:lang w:val="es-CL"/>
        </w:rPr>
      </w:pPr>
    </w:p>
    <w:p w14:paraId="53CB16B9" w14:textId="77777777" w:rsidR="00C20F8E" w:rsidRPr="00672AFA" w:rsidRDefault="00C20F8E">
      <w:pPr>
        <w:rPr>
          <w:lang w:val="es-CL"/>
        </w:rPr>
      </w:pPr>
    </w:p>
    <w:p w14:paraId="23D73972" w14:textId="77777777" w:rsidR="00C20F8E" w:rsidRPr="00672AFA" w:rsidRDefault="00C20F8E">
      <w:pPr>
        <w:rPr>
          <w:lang w:val="es-CL"/>
        </w:rPr>
      </w:pPr>
    </w:p>
    <w:p w14:paraId="72EF0C68" w14:textId="77777777" w:rsidR="00C20F8E" w:rsidRPr="00672AFA" w:rsidRDefault="00C20F8E">
      <w:pPr>
        <w:rPr>
          <w:lang w:val="es-CL"/>
        </w:rPr>
      </w:pPr>
    </w:p>
    <w:p w14:paraId="61199877" w14:textId="77777777" w:rsidR="00C20F8E" w:rsidRPr="00672AFA" w:rsidRDefault="00C20F8E">
      <w:pPr>
        <w:rPr>
          <w:lang w:val="es-CL"/>
        </w:rPr>
      </w:pPr>
    </w:p>
    <w:p w14:paraId="0D880ED4" w14:textId="77777777" w:rsidR="00C20F8E" w:rsidRPr="00672AFA" w:rsidRDefault="00C20F8E">
      <w:pPr>
        <w:rPr>
          <w:lang w:val="es-CL"/>
        </w:rPr>
      </w:pPr>
    </w:p>
    <w:p w14:paraId="1654BF90" w14:textId="77777777" w:rsidR="00C20F8E" w:rsidRPr="00672AFA" w:rsidRDefault="00C20F8E">
      <w:pPr>
        <w:rPr>
          <w:lang w:val="es-CL"/>
        </w:rPr>
      </w:pPr>
    </w:p>
    <w:p w14:paraId="29C3E164" w14:textId="77777777" w:rsidR="00C20F8E" w:rsidRPr="00672AFA" w:rsidRDefault="00C20F8E">
      <w:pPr>
        <w:rPr>
          <w:lang w:val="es-CL"/>
        </w:rPr>
      </w:pPr>
    </w:p>
    <w:p w14:paraId="5902B6A7" w14:textId="77777777" w:rsidR="00C20F8E" w:rsidRPr="00672AFA" w:rsidRDefault="00C20F8E">
      <w:pPr>
        <w:rPr>
          <w:lang w:val="es-CL"/>
        </w:rPr>
      </w:pPr>
    </w:p>
    <w:p w14:paraId="43AD3DE4" w14:textId="77777777" w:rsidR="00C20F8E" w:rsidRPr="00672AFA" w:rsidRDefault="00C20F8E">
      <w:pPr>
        <w:rPr>
          <w:lang w:val="es-CL"/>
        </w:rPr>
      </w:pPr>
    </w:p>
    <w:p w14:paraId="5CAF8857" w14:textId="77777777" w:rsidR="00C20F8E" w:rsidRPr="00672AFA" w:rsidRDefault="00C20F8E">
      <w:pPr>
        <w:rPr>
          <w:lang w:val="es-CL"/>
        </w:rPr>
      </w:pPr>
    </w:p>
    <w:p w14:paraId="021ED87A" w14:textId="79449C71" w:rsidR="00207654" w:rsidRPr="00672AFA" w:rsidRDefault="00657F2B" w:rsidP="00207654">
      <w:pPr>
        <w:shd w:val="clear" w:color="auto" w:fill="215E99" w:themeFill="text2" w:themeFillTint="BF"/>
        <w:tabs>
          <w:tab w:val="center" w:pos="4536"/>
          <w:tab w:val="left" w:pos="7095"/>
        </w:tabs>
        <w:spacing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I. </w:t>
      </w:r>
      <w:r w:rsidR="00A501DB"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 FONDO MUNDIAL PARA LA DEFENSA DE LOS MEDIOS</w:t>
      </w:r>
      <w:r w:rsidRPr="00672AFA">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b/>
      </w:r>
    </w:p>
    <w:p w14:paraId="45F35C67" w14:textId="76CB8953" w:rsidR="00E4261F" w:rsidRPr="00672AFA" w:rsidRDefault="00E4261F" w:rsidP="007A6461">
      <w:pPr>
        <w:jc w:val="both"/>
        <w:rPr>
          <w:sz w:val="22"/>
          <w:szCs w:val="20"/>
          <w:lang w:val="es-CL"/>
        </w:rPr>
      </w:pPr>
      <w:r w:rsidRPr="00672AFA">
        <w:rPr>
          <w:sz w:val="22"/>
          <w:szCs w:val="20"/>
          <w:lang w:val="es-CL"/>
        </w:rPr>
        <w:t xml:space="preserve">Establecido en 2019 en el marco de la Campaña Global por la Libertad de Prensa y bajo el paraguas del </w:t>
      </w:r>
      <w:hyperlink r:id="rId9" w:history="1">
        <w:r w:rsidRPr="00672AFA">
          <w:rPr>
            <w:rStyle w:val="Hyperlink"/>
            <w:sz w:val="22"/>
            <w:szCs w:val="20"/>
            <w:lang w:val="es-CL"/>
          </w:rPr>
          <w:t>Plan de Acción de las Naciones Unidas sobre la Seguridad de los y las Periodistas y la Cuestión de la Impunidad</w:t>
        </w:r>
      </w:hyperlink>
      <w:r w:rsidRPr="00672AFA">
        <w:rPr>
          <w:sz w:val="22"/>
          <w:szCs w:val="20"/>
          <w:lang w:val="es-CL"/>
        </w:rPr>
        <w:t xml:space="preserve"> –y las </w:t>
      </w:r>
      <w:hyperlink r:id="rId10" w:history="1">
        <w:r w:rsidRPr="00672AFA">
          <w:rPr>
            <w:rStyle w:val="Hyperlink"/>
            <w:sz w:val="22"/>
            <w:szCs w:val="20"/>
            <w:lang w:val="es-CL"/>
          </w:rPr>
          <w:t>recomendaciones</w:t>
        </w:r>
      </w:hyperlink>
      <w:r w:rsidRPr="00672AFA">
        <w:rPr>
          <w:sz w:val="22"/>
          <w:szCs w:val="20"/>
          <w:lang w:val="es-CL"/>
        </w:rPr>
        <w:t xml:space="preserve"> para reforzar la ejecución del Plan de las Naciones Unidas–, el Fondo Mundial para la Defensa de los Medios (en adelante "GMDF" o "el Fondo") es un fondo fiduciario de socios múltiples de la UNESCO que apoya proyectos locales, regionales y globales que contribuyen a reforzar la protección jurídica de las y los periodistas y al fortalecimiento de la libertad de prensa.</w:t>
      </w:r>
    </w:p>
    <w:p w14:paraId="4294C878" w14:textId="77777777" w:rsidR="007C2172" w:rsidRPr="00672AFA" w:rsidRDefault="007C2172" w:rsidP="007A6461">
      <w:pPr>
        <w:jc w:val="both"/>
        <w:rPr>
          <w:sz w:val="22"/>
          <w:szCs w:val="20"/>
          <w:lang w:val="es-CL"/>
        </w:rPr>
      </w:pPr>
      <w:r w:rsidRPr="00672AFA">
        <w:rPr>
          <w:sz w:val="22"/>
          <w:szCs w:val="20"/>
          <w:lang w:val="es-CL"/>
        </w:rPr>
        <w:t xml:space="preserve">El GMDF opera a través de cuatro enfoques o Resultados clave: </w:t>
      </w:r>
    </w:p>
    <w:p w14:paraId="76112F34" w14:textId="77777777" w:rsidR="007C2172" w:rsidRPr="00672AFA" w:rsidRDefault="007C2172" w:rsidP="007C2172">
      <w:pPr>
        <w:pStyle w:val="ListParagraph"/>
        <w:numPr>
          <w:ilvl w:val="0"/>
          <w:numId w:val="38"/>
        </w:numPr>
        <w:jc w:val="both"/>
        <w:rPr>
          <w:sz w:val="22"/>
          <w:szCs w:val="20"/>
          <w:lang w:val="es-CL"/>
        </w:rPr>
      </w:pPr>
      <w:r w:rsidRPr="00672AFA">
        <w:rPr>
          <w:sz w:val="22"/>
          <w:szCs w:val="20"/>
          <w:lang w:val="es-CL"/>
        </w:rPr>
        <w:t xml:space="preserve">Resultado 1: Fomentar la cooperación jurídica internacional, así como el intercambio y la aplicación de buenas prácticas para promover la defensa de las y los periodistas agredidos y a hacer frente a la impunidad de los ataques contra ellas y ellos. </w:t>
      </w:r>
    </w:p>
    <w:p w14:paraId="74542516" w14:textId="381A5F3C" w:rsidR="007C2172" w:rsidRPr="00672AFA" w:rsidRDefault="007C2172" w:rsidP="007C2172">
      <w:pPr>
        <w:pStyle w:val="ListParagraph"/>
        <w:numPr>
          <w:ilvl w:val="0"/>
          <w:numId w:val="38"/>
        </w:numPr>
        <w:jc w:val="both"/>
        <w:rPr>
          <w:sz w:val="22"/>
          <w:szCs w:val="20"/>
          <w:lang w:val="es-CL"/>
        </w:rPr>
      </w:pPr>
      <w:r w:rsidRPr="00672AFA">
        <w:rPr>
          <w:sz w:val="22"/>
          <w:szCs w:val="20"/>
          <w:lang w:val="es-CL"/>
        </w:rPr>
        <w:t xml:space="preserve">Resultado 2: Fortalecer </w:t>
      </w:r>
      <w:r w:rsidR="00060BBD">
        <w:rPr>
          <w:sz w:val="22"/>
          <w:szCs w:val="20"/>
          <w:lang w:val="es-CL"/>
        </w:rPr>
        <w:t>el funcionamiento</w:t>
      </w:r>
      <w:r w:rsidRPr="00672AFA">
        <w:rPr>
          <w:sz w:val="22"/>
          <w:szCs w:val="20"/>
          <w:lang w:val="es-CL"/>
        </w:rPr>
        <w:t xml:space="preserve"> de los mecanismos nacionales de seguridad y las redes de apoyo entre pares a fin de garantizar el rápido acceso de las y los periodistas a la asistencia jurídica, fortalecer su defensa e incrementar su seguridad, teniendo en cuenta la dimensión de género de las amenazas contra ellas y ellos.</w:t>
      </w:r>
    </w:p>
    <w:p w14:paraId="27067934" w14:textId="77777777" w:rsidR="007C2172" w:rsidRPr="00672AFA" w:rsidRDefault="007C2172" w:rsidP="007C2172">
      <w:pPr>
        <w:pStyle w:val="ListParagraph"/>
        <w:numPr>
          <w:ilvl w:val="0"/>
          <w:numId w:val="38"/>
        </w:numPr>
        <w:jc w:val="both"/>
        <w:rPr>
          <w:sz w:val="22"/>
          <w:szCs w:val="20"/>
          <w:lang w:val="es-CL"/>
        </w:rPr>
      </w:pPr>
      <w:r w:rsidRPr="00672AFA">
        <w:rPr>
          <w:sz w:val="22"/>
          <w:szCs w:val="20"/>
          <w:lang w:val="es-CL"/>
        </w:rPr>
        <w:t xml:space="preserve">Resultado 3: Apoyar el periodismo de investigación que contribuye a reducir la impunidad de los crímenes contra las y los periodistas al exigir que el sistema de justicia rinda cuentas por su labor y al continuar un trabajo de investigación que corre el riesgo de ser censurado cuando las y los periodistas son atacados, encarcelados o asesinados; como así también a mejorar la seguridad de quienes realizan esta línea de trabajo; </w:t>
      </w:r>
    </w:p>
    <w:p w14:paraId="0581D040" w14:textId="2C933935" w:rsidR="00F416C1" w:rsidRPr="00672AFA" w:rsidRDefault="007C2172" w:rsidP="007C2172">
      <w:pPr>
        <w:pStyle w:val="ListParagraph"/>
        <w:numPr>
          <w:ilvl w:val="0"/>
          <w:numId w:val="38"/>
        </w:numPr>
        <w:jc w:val="both"/>
        <w:rPr>
          <w:sz w:val="22"/>
          <w:szCs w:val="20"/>
          <w:lang w:val="es-CL"/>
        </w:rPr>
      </w:pPr>
      <w:r w:rsidRPr="00672AFA">
        <w:rPr>
          <w:sz w:val="22"/>
          <w:szCs w:val="20"/>
          <w:lang w:val="es-CL"/>
        </w:rPr>
        <w:t>Resultado 4: Fortalecer las estructuras que fomentan el litigio estratégico con el fin de proteger los entornos nacionales y regionales en los que los marcos jurídicos existentes son propicios para unos ecosistemas mediáticos independientes, libres y plurales.</w:t>
      </w:r>
    </w:p>
    <w:p w14:paraId="242AFE1F" w14:textId="781602DB" w:rsidR="005F6801" w:rsidRPr="00672AFA" w:rsidRDefault="00606E64" w:rsidP="007A6461">
      <w:pPr>
        <w:jc w:val="both"/>
        <w:rPr>
          <w:sz w:val="22"/>
          <w:szCs w:val="20"/>
          <w:lang w:val="es-CL"/>
        </w:rPr>
      </w:pPr>
      <w:r w:rsidRPr="00672AFA">
        <w:rPr>
          <w:sz w:val="22"/>
          <w:szCs w:val="20"/>
          <w:lang w:val="es-CL"/>
        </w:rPr>
        <w:t xml:space="preserve">En el marco de los </w:t>
      </w:r>
      <w:r w:rsidRPr="00672AFA">
        <w:rPr>
          <w:b/>
          <w:bCs/>
          <w:sz w:val="22"/>
          <w:szCs w:val="20"/>
          <w:lang w:val="es-CL"/>
        </w:rPr>
        <w:t xml:space="preserve">Resultados 2, 3 y 4 </w:t>
      </w:r>
      <w:r w:rsidRPr="00672AFA">
        <w:rPr>
          <w:sz w:val="22"/>
          <w:szCs w:val="20"/>
          <w:lang w:val="es-CL"/>
        </w:rPr>
        <w:t>del Fondo, la UNESCO busca establecer alianzas con organizaciones sin fines de lucro (incluidas organizaciones no gubernamentales, fundaciones, asociaciones de profesionales,</w:t>
      </w:r>
      <w:r w:rsidR="00705A5A" w:rsidRPr="00672AFA">
        <w:rPr>
          <w:sz w:val="22"/>
          <w:szCs w:val="20"/>
          <w:lang w:val="es-CL"/>
        </w:rPr>
        <w:t xml:space="preserve"> </w:t>
      </w:r>
      <w:r w:rsidRPr="00672AFA">
        <w:rPr>
          <w:sz w:val="22"/>
          <w:szCs w:val="20"/>
          <w:lang w:val="es-CL"/>
        </w:rPr>
        <w:t>instituciones académicas y organizaciones</w:t>
      </w:r>
      <w:r w:rsidR="00705A5A" w:rsidRPr="00672AFA">
        <w:rPr>
          <w:sz w:val="22"/>
          <w:szCs w:val="20"/>
          <w:lang w:val="es-CL"/>
        </w:rPr>
        <w:t xml:space="preserve"> </w:t>
      </w:r>
      <w:r w:rsidRPr="00672AFA">
        <w:rPr>
          <w:sz w:val="22"/>
          <w:szCs w:val="20"/>
          <w:lang w:val="es-CL"/>
        </w:rPr>
        <w:t>intergubernamentales, entre otros) que deseen emprender o ampliar iniciativas locales, regionales o globales que, de conformidad con las normas internacionales de derechos humanos, contribuyan a la promoción de al menos uno de estos Resultados. Los socios ejecutores son seleccionados a través de Convocatorias de Propuestas competitivas.</w:t>
      </w:r>
    </w:p>
    <w:p w14:paraId="15F94845" w14:textId="7B1F6F67" w:rsidR="00A20151" w:rsidRPr="00672AFA" w:rsidRDefault="00A20151" w:rsidP="007A6461">
      <w:pPr>
        <w:jc w:val="both"/>
        <w:rPr>
          <w:sz w:val="22"/>
          <w:szCs w:val="20"/>
          <w:lang w:val="es-CL"/>
        </w:rPr>
      </w:pPr>
      <w:r w:rsidRPr="00672AFA">
        <w:rPr>
          <w:sz w:val="22"/>
          <w:szCs w:val="20"/>
          <w:lang w:val="es-CL"/>
        </w:rPr>
        <w:t xml:space="preserve">Para más información sobre el Fondo, sus resultados y su impacto, visite la </w:t>
      </w:r>
      <w:hyperlink r:id="rId11" w:history="1">
        <w:r w:rsidRPr="00672AFA">
          <w:rPr>
            <w:rStyle w:val="Hyperlink"/>
            <w:sz w:val="22"/>
            <w:szCs w:val="20"/>
            <w:lang w:val="es-CL"/>
          </w:rPr>
          <w:t>página web</w:t>
        </w:r>
      </w:hyperlink>
      <w:r w:rsidRPr="00672AFA">
        <w:rPr>
          <w:sz w:val="22"/>
          <w:szCs w:val="20"/>
          <w:lang w:val="es-CL"/>
        </w:rPr>
        <w:t xml:space="preserve"> del GMDF. El último informe </w:t>
      </w:r>
      <w:r w:rsidR="0027373C" w:rsidRPr="00672AFA">
        <w:rPr>
          <w:sz w:val="22"/>
          <w:szCs w:val="20"/>
          <w:lang w:val="es-CL"/>
        </w:rPr>
        <w:t>narrativo</w:t>
      </w:r>
      <w:r w:rsidRPr="00672AFA">
        <w:rPr>
          <w:sz w:val="22"/>
          <w:szCs w:val="20"/>
          <w:lang w:val="es-CL"/>
        </w:rPr>
        <w:t xml:space="preserve"> del Fondo, que abarca el periodo</w:t>
      </w:r>
      <w:r w:rsidR="0027373C" w:rsidRPr="00672AFA">
        <w:rPr>
          <w:sz w:val="22"/>
          <w:szCs w:val="20"/>
          <w:lang w:val="es-CL"/>
        </w:rPr>
        <w:t xml:space="preserve"> de ejecución entre </w:t>
      </w:r>
      <w:r w:rsidRPr="00672AFA">
        <w:rPr>
          <w:sz w:val="22"/>
          <w:szCs w:val="20"/>
          <w:lang w:val="es-CL"/>
        </w:rPr>
        <w:t xml:space="preserve">2020 y 2024, </w:t>
      </w:r>
      <w:r w:rsidR="0027373C" w:rsidRPr="00672AFA">
        <w:rPr>
          <w:sz w:val="22"/>
          <w:szCs w:val="20"/>
          <w:lang w:val="es-CL"/>
        </w:rPr>
        <w:t xml:space="preserve">se encuentra disponible </w:t>
      </w:r>
      <w:hyperlink r:id="rId12" w:history="1">
        <w:r w:rsidR="0027373C" w:rsidRPr="00672AFA">
          <w:rPr>
            <w:rStyle w:val="Hyperlink"/>
            <w:sz w:val="22"/>
            <w:szCs w:val="20"/>
            <w:lang w:val="es-CL"/>
          </w:rPr>
          <w:t>aquí</w:t>
        </w:r>
      </w:hyperlink>
      <w:r w:rsidR="0027373C" w:rsidRPr="00672AFA">
        <w:rPr>
          <w:sz w:val="22"/>
          <w:szCs w:val="20"/>
          <w:lang w:val="es-CL"/>
        </w:rPr>
        <w:t xml:space="preserve"> (disponible en inglés)</w:t>
      </w:r>
      <w:r w:rsidRPr="00672AFA">
        <w:rPr>
          <w:sz w:val="22"/>
          <w:szCs w:val="20"/>
          <w:lang w:val="es-CL"/>
        </w:rPr>
        <w:t>.</w:t>
      </w:r>
    </w:p>
    <w:p w14:paraId="3D1A4C81" w14:textId="3FEF8F21" w:rsidR="00921A33" w:rsidRPr="00672AFA" w:rsidRDefault="00251209" w:rsidP="00F30EAA">
      <w:pPr>
        <w:jc w:val="both"/>
        <w:rPr>
          <w:sz w:val="22"/>
          <w:szCs w:val="20"/>
          <w:lang w:val="es-CL"/>
        </w:rPr>
      </w:pPr>
      <w:r w:rsidRPr="00672AFA">
        <w:rPr>
          <w:sz w:val="22"/>
          <w:szCs w:val="20"/>
          <w:lang w:val="es-CL"/>
        </w:rPr>
        <w:t xml:space="preserve">El GMDF complementa y crea sinergias con las acciones ejecutadas en el marco del Programa </w:t>
      </w:r>
      <w:r w:rsidR="004E607D" w:rsidRPr="00672AFA">
        <w:rPr>
          <w:sz w:val="22"/>
          <w:szCs w:val="20"/>
          <w:lang w:val="es-CL"/>
        </w:rPr>
        <w:t>Regular</w:t>
      </w:r>
      <w:r w:rsidRPr="00672AFA">
        <w:rPr>
          <w:sz w:val="22"/>
          <w:szCs w:val="20"/>
          <w:lang w:val="es-CL"/>
        </w:rPr>
        <w:t xml:space="preserve"> de la UNESCO y </w:t>
      </w:r>
      <w:r w:rsidR="00D6086A" w:rsidRPr="00672AFA">
        <w:rPr>
          <w:sz w:val="22"/>
          <w:szCs w:val="20"/>
          <w:lang w:val="es-CL"/>
        </w:rPr>
        <w:t xml:space="preserve">de </w:t>
      </w:r>
      <w:r w:rsidRPr="00672AFA">
        <w:rPr>
          <w:sz w:val="22"/>
          <w:szCs w:val="20"/>
          <w:lang w:val="es-CL"/>
        </w:rPr>
        <w:t xml:space="preserve">otras modalidades </w:t>
      </w:r>
      <w:r w:rsidR="00585BFE" w:rsidRPr="00672AFA">
        <w:rPr>
          <w:sz w:val="22"/>
          <w:szCs w:val="20"/>
          <w:lang w:val="es-CL"/>
        </w:rPr>
        <w:t>extrapresupuestarias</w:t>
      </w:r>
      <w:r w:rsidR="0096189C" w:rsidRPr="00672AFA">
        <w:rPr>
          <w:sz w:val="22"/>
          <w:szCs w:val="20"/>
          <w:lang w:val="es-CL"/>
        </w:rPr>
        <w:t xml:space="preserve"> de financiamiento</w:t>
      </w:r>
      <w:r w:rsidRPr="00672AFA">
        <w:rPr>
          <w:sz w:val="22"/>
          <w:szCs w:val="20"/>
          <w:lang w:val="es-CL"/>
        </w:rPr>
        <w:t xml:space="preserve"> que apoyan la labor de la Organización en materia de libertad de expresión y seguridad de</w:t>
      </w:r>
      <w:r w:rsidR="00B22B22" w:rsidRPr="00672AFA">
        <w:rPr>
          <w:sz w:val="22"/>
          <w:szCs w:val="20"/>
          <w:lang w:val="es-CL"/>
        </w:rPr>
        <w:t xml:space="preserve"> las y</w:t>
      </w:r>
      <w:r w:rsidRPr="00672AFA">
        <w:rPr>
          <w:sz w:val="22"/>
          <w:szCs w:val="20"/>
          <w:lang w:val="es-CL"/>
        </w:rPr>
        <w:t xml:space="preserve"> los periodistas, </w:t>
      </w:r>
      <w:r w:rsidR="00AB534C" w:rsidRPr="00672AFA">
        <w:rPr>
          <w:sz w:val="22"/>
          <w:szCs w:val="20"/>
          <w:lang w:val="es-CL"/>
        </w:rPr>
        <w:t xml:space="preserve">tales </w:t>
      </w:r>
      <w:r w:rsidRPr="00672AFA">
        <w:rPr>
          <w:sz w:val="22"/>
          <w:szCs w:val="20"/>
          <w:lang w:val="es-CL"/>
        </w:rPr>
        <w:t xml:space="preserve">como el </w:t>
      </w:r>
      <w:hyperlink r:id="rId13" w:history="1">
        <w:r w:rsidRPr="00672AFA">
          <w:rPr>
            <w:rStyle w:val="Hyperlink"/>
            <w:sz w:val="22"/>
            <w:szCs w:val="20"/>
            <w:lang w:val="es-CL"/>
          </w:rPr>
          <w:t xml:space="preserve">Programa </w:t>
        </w:r>
        <w:r w:rsidR="005821C2" w:rsidRPr="00672AFA">
          <w:rPr>
            <w:rStyle w:val="Hyperlink"/>
            <w:sz w:val="22"/>
            <w:szCs w:val="20"/>
            <w:lang w:val="es-CL"/>
          </w:rPr>
          <w:t>de Donantes Múltiples</w:t>
        </w:r>
        <w:r w:rsidRPr="00672AFA">
          <w:rPr>
            <w:rStyle w:val="Hyperlink"/>
            <w:sz w:val="22"/>
            <w:szCs w:val="20"/>
            <w:lang w:val="es-CL"/>
          </w:rPr>
          <w:t xml:space="preserve"> </w:t>
        </w:r>
        <w:r w:rsidR="005821C2" w:rsidRPr="00672AFA">
          <w:rPr>
            <w:rStyle w:val="Hyperlink"/>
            <w:sz w:val="22"/>
            <w:szCs w:val="20"/>
            <w:lang w:val="es-CL"/>
          </w:rPr>
          <w:t>sobre</w:t>
        </w:r>
        <w:r w:rsidRPr="00672AFA">
          <w:rPr>
            <w:rStyle w:val="Hyperlink"/>
            <w:sz w:val="22"/>
            <w:szCs w:val="20"/>
            <w:lang w:val="es-CL"/>
          </w:rPr>
          <w:t xml:space="preserve"> la Libertad de Expresión y la Seguridad de Periodistas (MDP)</w:t>
        </w:r>
      </w:hyperlink>
      <w:r w:rsidRPr="00672AFA">
        <w:rPr>
          <w:sz w:val="22"/>
          <w:szCs w:val="20"/>
          <w:lang w:val="es-CL"/>
        </w:rPr>
        <w:t xml:space="preserve">, el </w:t>
      </w:r>
      <w:hyperlink r:id="rId14" w:history="1">
        <w:r w:rsidRPr="00672AFA">
          <w:rPr>
            <w:rStyle w:val="Hyperlink"/>
            <w:sz w:val="22"/>
            <w:szCs w:val="20"/>
            <w:lang w:val="es-CL"/>
          </w:rPr>
          <w:t>Programa Internacional para el Desarrollo de la Comunicación (PIDC)</w:t>
        </w:r>
      </w:hyperlink>
      <w:r w:rsidRPr="00672AFA">
        <w:rPr>
          <w:sz w:val="22"/>
          <w:szCs w:val="20"/>
          <w:lang w:val="es-CL"/>
        </w:rPr>
        <w:t xml:space="preserve">, </w:t>
      </w:r>
      <w:r w:rsidR="00AB534C" w:rsidRPr="00672AFA">
        <w:rPr>
          <w:sz w:val="22"/>
          <w:szCs w:val="20"/>
          <w:lang w:val="es-CL"/>
        </w:rPr>
        <w:t>y</w:t>
      </w:r>
      <w:r w:rsidRPr="00672AFA">
        <w:rPr>
          <w:sz w:val="22"/>
          <w:szCs w:val="20"/>
          <w:lang w:val="es-CL"/>
        </w:rPr>
        <w:t xml:space="preserve"> los proyectos </w:t>
      </w:r>
      <w:r w:rsidR="00EE001C" w:rsidRPr="00672AFA">
        <w:rPr>
          <w:sz w:val="22"/>
          <w:szCs w:val="20"/>
          <w:lang w:val="es-CL"/>
        </w:rPr>
        <w:t xml:space="preserve">ejecutados </w:t>
      </w:r>
      <w:r w:rsidR="00864235" w:rsidRPr="00672AFA">
        <w:rPr>
          <w:sz w:val="22"/>
          <w:szCs w:val="20"/>
          <w:lang w:val="es-CL"/>
        </w:rPr>
        <w:t xml:space="preserve">a través </w:t>
      </w:r>
      <w:r w:rsidR="00EE001C" w:rsidRPr="00672AFA">
        <w:rPr>
          <w:sz w:val="22"/>
          <w:szCs w:val="20"/>
          <w:lang w:val="es-CL"/>
        </w:rPr>
        <w:t>de</w:t>
      </w:r>
      <w:r w:rsidRPr="00672AFA">
        <w:rPr>
          <w:sz w:val="22"/>
          <w:szCs w:val="20"/>
          <w:lang w:val="es-CL"/>
        </w:rPr>
        <w:t xml:space="preserve"> Fondo</w:t>
      </w:r>
      <w:r w:rsidR="00EE001C" w:rsidRPr="00672AFA">
        <w:rPr>
          <w:sz w:val="22"/>
          <w:szCs w:val="20"/>
          <w:lang w:val="es-CL"/>
        </w:rPr>
        <w:t>s</w:t>
      </w:r>
      <w:r w:rsidRPr="00672AFA">
        <w:rPr>
          <w:sz w:val="22"/>
          <w:szCs w:val="20"/>
          <w:lang w:val="es-CL"/>
        </w:rPr>
        <w:t xml:space="preserve"> Fiduciario</w:t>
      </w:r>
      <w:r w:rsidR="00EE001C" w:rsidRPr="00672AFA">
        <w:rPr>
          <w:sz w:val="22"/>
          <w:szCs w:val="20"/>
          <w:lang w:val="es-CL"/>
        </w:rPr>
        <w:t>s</w:t>
      </w:r>
      <w:r w:rsidRPr="00672AFA">
        <w:rPr>
          <w:sz w:val="22"/>
          <w:szCs w:val="20"/>
          <w:lang w:val="es-CL"/>
        </w:rPr>
        <w:t xml:space="preserve"> de un solo donante de la </w:t>
      </w:r>
      <w:r w:rsidRPr="00672AFA">
        <w:rPr>
          <w:sz w:val="22"/>
          <w:szCs w:val="20"/>
          <w:lang w:val="es-CL"/>
        </w:rPr>
        <w:lastRenderedPageBreak/>
        <w:t xml:space="preserve">UNESCO, entre otras iniciativas. </w:t>
      </w:r>
      <w:r w:rsidR="006320C2" w:rsidRPr="00672AFA">
        <w:rPr>
          <w:sz w:val="22"/>
          <w:szCs w:val="20"/>
          <w:lang w:val="es-CL"/>
        </w:rPr>
        <w:t xml:space="preserve">La coordinación en términos de complementariedades y/o sinergias es activamente buscada </w:t>
      </w:r>
      <w:r w:rsidRPr="00672AFA">
        <w:rPr>
          <w:sz w:val="22"/>
          <w:szCs w:val="20"/>
          <w:lang w:val="es-CL"/>
        </w:rPr>
        <w:t>entre los proyectos ejecutados con el apoyo de la UNESCO</w:t>
      </w:r>
      <w:r w:rsidR="00FA5417" w:rsidRPr="00672AFA">
        <w:rPr>
          <w:sz w:val="22"/>
          <w:szCs w:val="20"/>
          <w:lang w:val="es-CL"/>
        </w:rPr>
        <w:t>/GMDF</w:t>
      </w:r>
      <w:r w:rsidRPr="00672AFA">
        <w:rPr>
          <w:sz w:val="22"/>
          <w:szCs w:val="20"/>
          <w:lang w:val="es-CL"/>
        </w:rPr>
        <w:t>,</w:t>
      </w:r>
      <w:r w:rsidR="00D6607F" w:rsidRPr="00672AFA">
        <w:rPr>
          <w:sz w:val="22"/>
          <w:szCs w:val="20"/>
          <w:lang w:val="es-CL"/>
        </w:rPr>
        <w:t xml:space="preserve"> incluyendo la adopción de medidas para evitar </w:t>
      </w:r>
      <w:r w:rsidR="00F30EAA" w:rsidRPr="00672AFA">
        <w:rPr>
          <w:sz w:val="22"/>
          <w:szCs w:val="20"/>
          <w:lang w:val="es-CL"/>
        </w:rPr>
        <w:t>un posible solapamiento y/o</w:t>
      </w:r>
      <w:r w:rsidRPr="00672AFA">
        <w:rPr>
          <w:sz w:val="22"/>
          <w:szCs w:val="20"/>
          <w:lang w:val="es-CL"/>
        </w:rPr>
        <w:t xml:space="preserve"> duplicación de actividades.</w:t>
      </w:r>
    </w:p>
    <w:p w14:paraId="4539D133" w14:textId="5AC086B4" w:rsidR="008F0819" w:rsidRPr="00672AFA" w:rsidRDefault="009F3BF8" w:rsidP="008F0819">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II. </w:t>
      </w:r>
      <w:r w:rsidR="00707552"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AC</w:t>
      </w:r>
      <w:r w:rsidR="00EE2063"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CIONES APOYADAS EN EL MARCO DE ESTA CONVOCATORIA TEMÁTICA</w:t>
      </w:r>
    </w:p>
    <w:p w14:paraId="75CC9A2C" w14:textId="100871D0" w:rsidR="00EB0880" w:rsidRPr="00672AFA" w:rsidRDefault="00240719" w:rsidP="004D0802">
      <w:pPr>
        <w:jc w:val="both"/>
        <w:rPr>
          <w:b/>
          <w:bCs/>
          <w:sz w:val="22"/>
          <w:szCs w:val="20"/>
          <w:lang w:val="es-CL"/>
        </w:rPr>
      </w:pPr>
      <w:r w:rsidRPr="00672AFA">
        <w:rPr>
          <w:b/>
          <w:bCs/>
          <w:sz w:val="22"/>
          <w:szCs w:val="20"/>
          <w:lang w:val="es-CL"/>
        </w:rPr>
        <w:t>Contexto</w:t>
      </w:r>
    </w:p>
    <w:p w14:paraId="6DCCCBD1" w14:textId="29A672FA" w:rsidR="009F117F" w:rsidRPr="00672AFA" w:rsidRDefault="009F117F" w:rsidP="004D0802">
      <w:pPr>
        <w:jc w:val="both"/>
        <w:rPr>
          <w:sz w:val="22"/>
          <w:szCs w:val="20"/>
          <w:lang w:val="es-CL"/>
        </w:rPr>
      </w:pPr>
      <w:r w:rsidRPr="00672AFA">
        <w:rPr>
          <w:sz w:val="22"/>
          <w:szCs w:val="20"/>
          <w:lang w:val="es-CL"/>
        </w:rPr>
        <w:t xml:space="preserve">El periodismo medioambiental desempeña un papel clave en la respuesta a las crisis medioambientales mundiales del cambio climático, de la pérdida de la naturaleza y la biodiversidad, y de la contaminación y los residuos. Las y los periodistas que </w:t>
      </w:r>
      <w:r w:rsidR="003237B1" w:rsidRPr="00672AFA">
        <w:rPr>
          <w:sz w:val="22"/>
          <w:szCs w:val="20"/>
          <w:lang w:val="es-CL"/>
        </w:rPr>
        <w:t>reportean</w:t>
      </w:r>
      <w:r w:rsidRPr="00672AFA">
        <w:rPr>
          <w:sz w:val="22"/>
          <w:szCs w:val="20"/>
          <w:lang w:val="es-CL"/>
        </w:rPr>
        <w:t xml:space="preserve"> temas medioambientales no sólo facilitan el acceso de los ciudadanos a información fiable sobre estas crisis, contribuyendo </w:t>
      </w:r>
      <w:r w:rsidR="004D059F" w:rsidRPr="00672AFA">
        <w:rPr>
          <w:sz w:val="22"/>
          <w:szCs w:val="20"/>
          <w:lang w:val="es-CL"/>
        </w:rPr>
        <w:t xml:space="preserve">así </w:t>
      </w:r>
      <w:r w:rsidRPr="00672AFA">
        <w:rPr>
          <w:sz w:val="22"/>
          <w:szCs w:val="20"/>
          <w:lang w:val="es-CL"/>
        </w:rPr>
        <w:t xml:space="preserve">al proceso de toma de decisiones relacionadas con las políticas medioambientales y exigiendo </w:t>
      </w:r>
      <w:r w:rsidR="00C21BDC" w:rsidRPr="00672AFA">
        <w:rPr>
          <w:sz w:val="22"/>
          <w:szCs w:val="20"/>
          <w:lang w:val="es-CL"/>
        </w:rPr>
        <w:t>responsabilidades de la parte de</w:t>
      </w:r>
      <w:r w:rsidRPr="00672AFA">
        <w:rPr>
          <w:sz w:val="22"/>
          <w:szCs w:val="20"/>
          <w:lang w:val="es-CL"/>
        </w:rPr>
        <w:t xml:space="preserve"> los responsables, sino que también documentan y cuentan las historias de las comunidades marginadas que </w:t>
      </w:r>
      <w:r w:rsidR="00C21BDC" w:rsidRPr="00672AFA">
        <w:rPr>
          <w:sz w:val="22"/>
          <w:szCs w:val="20"/>
          <w:lang w:val="es-CL"/>
        </w:rPr>
        <w:t>sufren las consecuencias</w:t>
      </w:r>
      <w:r w:rsidRPr="00672AFA">
        <w:rPr>
          <w:sz w:val="22"/>
          <w:szCs w:val="20"/>
          <w:lang w:val="es-CL"/>
        </w:rPr>
        <w:t xml:space="preserve"> de un clima cambiante, y ayudan a</w:t>
      </w:r>
      <w:r w:rsidR="00C21BDC" w:rsidRPr="00672AFA">
        <w:rPr>
          <w:sz w:val="22"/>
          <w:szCs w:val="20"/>
          <w:lang w:val="es-CL"/>
        </w:rPr>
        <w:t xml:space="preserve"> crear conciencia</w:t>
      </w:r>
      <w:r w:rsidRPr="00672AFA">
        <w:rPr>
          <w:sz w:val="22"/>
          <w:szCs w:val="20"/>
          <w:lang w:val="es-CL"/>
        </w:rPr>
        <w:t xml:space="preserve">  </w:t>
      </w:r>
      <w:r w:rsidR="00E53BE5" w:rsidRPr="00672AFA">
        <w:rPr>
          <w:sz w:val="22"/>
          <w:szCs w:val="20"/>
          <w:lang w:val="es-CL"/>
        </w:rPr>
        <w:t xml:space="preserve">de cara a un </w:t>
      </w:r>
      <w:r w:rsidRPr="00672AFA">
        <w:rPr>
          <w:sz w:val="22"/>
          <w:szCs w:val="20"/>
          <w:lang w:val="es-CL"/>
        </w:rPr>
        <w:t xml:space="preserve">público </w:t>
      </w:r>
      <w:r w:rsidR="009664E3" w:rsidRPr="00672AFA">
        <w:rPr>
          <w:sz w:val="22"/>
          <w:szCs w:val="20"/>
          <w:lang w:val="es-CL"/>
        </w:rPr>
        <w:t>desconectado</w:t>
      </w:r>
      <w:r w:rsidRPr="00672AFA">
        <w:rPr>
          <w:sz w:val="22"/>
          <w:szCs w:val="20"/>
          <w:lang w:val="es-CL"/>
        </w:rPr>
        <w:t xml:space="preserve"> que cree que la crisis climática no le afecta.</w:t>
      </w:r>
    </w:p>
    <w:p w14:paraId="69BCB01E" w14:textId="09515483" w:rsidR="00D7135B" w:rsidRPr="00672AFA" w:rsidRDefault="00D7135B" w:rsidP="004D0802">
      <w:pPr>
        <w:jc w:val="both"/>
        <w:rPr>
          <w:sz w:val="22"/>
          <w:szCs w:val="20"/>
          <w:lang w:val="es-CL"/>
        </w:rPr>
      </w:pPr>
      <w:r w:rsidRPr="00672AFA">
        <w:rPr>
          <w:sz w:val="22"/>
          <w:szCs w:val="20"/>
          <w:lang w:val="es-CL"/>
        </w:rPr>
        <w:t>No obstante, el periodismo medioambiental es un ámbito peligroso para el ejercicio de la profesión. L</w:t>
      </w:r>
      <w:r w:rsidR="00775287" w:rsidRPr="00672AFA">
        <w:rPr>
          <w:sz w:val="22"/>
          <w:szCs w:val="20"/>
          <w:lang w:val="es-CL"/>
        </w:rPr>
        <w:t>as y l</w:t>
      </w:r>
      <w:r w:rsidRPr="00672AFA">
        <w:rPr>
          <w:sz w:val="22"/>
          <w:szCs w:val="20"/>
          <w:lang w:val="es-CL"/>
        </w:rPr>
        <w:t xml:space="preserve">os periodistas y comunicadores que cubren temas medioambientales se enfrentan a </w:t>
      </w:r>
      <w:r w:rsidR="005C385C" w:rsidRPr="00672AFA">
        <w:rPr>
          <w:sz w:val="22"/>
          <w:szCs w:val="20"/>
          <w:lang w:val="es-CL"/>
        </w:rPr>
        <w:t>un sinnúmero de</w:t>
      </w:r>
      <w:r w:rsidRPr="00672AFA">
        <w:rPr>
          <w:sz w:val="22"/>
          <w:szCs w:val="20"/>
          <w:lang w:val="es-CL"/>
        </w:rPr>
        <w:t xml:space="preserve"> amenazas y </w:t>
      </w:r>
      <w:r w:rsidR="005C385C" w:rsidRPr="00672AFA">
        <w:rPr>
          <w:sz w:val="22"/>
          <w:szCs w:val="20"/>
          <w:lang w:val="es-CL"/>
        </w:rPr>
        <w:t xml:space="preserve">de </w:t>
      </w:r>
      <w:r w:rsidRPr="00672AFA">
        <w:rPr>
          <w:sz w:val="22"/>
          <w:szCs w:val="20"/>
          <w:lang w:val="es-CL"/>
        </w:rPr>
        <w:t xml:space="preserve">formas de violencia </w:t>
      </w:r>
      <w:proofErr w:type="gramStart"/>
      <w:r w:rsidR="00843B71" w:rsidRPr="00672AFA">
        <w:rPr>
          <w:sz w:val="22"/>
          <w:szCs w:val="20"/>
          <w:lang w:val="es-CL"/>
        </w:rPr>
        <w:t>en razón de</w:t>
      </w:r>
      <w:proofErr w:type="gramEnd"/>
      <w:r w:rsidR="00843B71" w:rsidRPr="00672AFA">
        <w:rPr>
          <w:sz w:val="22"/>
          <w:szCs w:val="20"/>
          <w:lang w:val="es-CL"/>
        </w:rPr>
        <w:t xml:space="preserve"> la </w:t>
      </w:r>
      <w:r w:rsidR="0034045F" w:rsidRPr="00672AFA">
        <w:rPr>
          <w:sz w:val="22"/>
          <w:szCs w:val="20"/>
          <w:lang w:val="es-CL"/>
        </w:rPr>
        <w:t>naturaleza compleja</w:t>
      </w:r>
      <w:r w:rsidRPr="00672AFA">
        <w:rPr>
          <w:sz w:val="22"/>
          <w:szCs w:val="20"/>
          <w:lang w:val="es-CL"/>
        </w:rPr>
        <w:t xml:space="preserve"> de sus reportajes. Estas van desde la violencia física, la vigilancia, las presiones o la intimidación por parte de empresas nacionales y transnacionales que podrían verse afectadas por sus actividades</w:t>
      </w:r>
      <w:r w:rsidR="00014B47" w:rsidRPr="00672AFA">
        <w:rPr>
          <w:sz w:val="22"/>
          <w:szCs w:val="20"/>
          <w:lang w:val="es-CL"/>
        </w:rPr>
        <w:t xml:space="preserve"> de reporteo</w:t>
      </w:r>
      <w:r w:rsidR="00CA742E" w:rsidRPr="00672AFA">
        <w:rPr>
          <w:sz w:val="22"/>
          <w:szCs w:val="20"/>
          <w:lang w:val="es-CL"/>
        </w:rPr>
        <w:t>,</w:t>
      </w:r>
      <w:r w:rsidRPr="00672AFA">
        <w:rPr>
          <w:sz w:val="22"/>
          <w:szCs w:val="20"/>
          <w:lang w:val="es-CL"/>
        </w:rPr>
        <w:t xml:space="preserve"> </w:t>
      </w:r>
      <w:r w:rsidR="00DD0B85" w:rsidRPr="00672AFA">
        <w:rPr>
          <w:sz w:val="22"/>
          <w:szCs w:val="20"/>
          <w:lang w:val="es-CL"/>
        </w:rPr>
        <w:t xml:space="preserve">hasta </w:t>
      </w:r>
      <w:r w:rsidRPr="00672AFA">
        <w:rPr>
          <w:sz w:val="22"/>
          <w:szCs w:val="20"/>
          <w:lang w:val="es-CL"/>
        </w:rPr>
        <w:t>la imposición de controles oficiales</w:t>
      </w:r>
      <w:r w:rsidR="00DD0B85" w:rsidRPr="00672AFA">
        <w:rPr>
          <w:sz w:val="22"/>
          <w:szCs w:val="20"/>
          <w:lang w:val="es-CL"/>
        </w:rPr>
        <w:t xml:space="preserve">, </w:t>
      </w:r>
      <w:r w:rsidRPr="00672AFA">
        <w:rPr>
          <w:sz w:val="22"/>
          <w:szCs w:val="20"/>
          <w:lang w:val="es-CL"/>
        </w:rPr>
        <w:t>el uso pernicioso del aparato del Estado (administrativo y judicial</w:t>
      </w:r>
      <w:r w:rsidR="00DD0B85" w:rsidRPr="00672AFA">
        <w:rPr>
          <w:sz w:val="22"/>
          <w:szCs w:val="20"/>
          <w:lang w:val="es-CL"/>
        </w:rPr>
        <w:t>), y</w:t>
      </w:r>
      <w:r w:rsidRPr="00672AFA">
        <w:rPr>
          <w:sz w:val="22"/>
          <w:szCs w:val="20"/>
          <w:lang w:val="es-CL"/>
        </w:rPr>
        <w:t xml:space="preserve"> el recurso a ataques </w:t>
      </w:r>
      <w:r w:rsidR="002A70DC" w:rsidRPr="00672AFA">
        <w:rPr>
          <w:sz w:val="22"/>
          <w:szCs w:val="20"/>
          <w:lang w:val="es-CL"/>
        </w:rPr>
        <w:t>de naturaleza jurídica</w:t>
      </w:r>
      <w:r w:rsidRPr="00672AFA">
        <w:rPr>
          <w:sz w:val="22"/>
          <w:szCs w:val="20"/>
          <w:lang w:val="es-CL"/>
        </w:rPr>
        <w:t xml:space="preserve"> </w:t>
      </w:r>
      <w:r w:rsidR="001846A2" w:rsidRPr="00672AFA">
        <w:rPr>
          <w:sz w:val="22"/>
          <w:szCs w:val="20"/>
          <w:lang w:val="es-CL"/>
        </w:rPr>
        <w:t>–</w:t>
      </w:r>
      <w:r w:rsidR="00F679FF" w:rsidRPr="00672AFA">
        <w:rPr>
          <w:sz w:val="22"/>
          <w:szCs w:val="20"/>
          <w:lang w:val="es-CL"/>
        </w:rPr>
        <w:t xml:space="preserve">basadas en cargos de </w:t>
      </w:r>
      <w:r w:rsidRPr="00672AFA">
        <w:rPr>
          <w:sz w:val="22"/>
          <w:szCs w:val="20"/>
          <w:lang w:val="es-CL"/>
        </w:rPr>
        <w:t>difamación penal y civil, alteración del orden público, terrorismo, incitación al odio y difusión de noticias falsas</w:t>
      </w:r>
      <w:r w:rsidR="001846A2" w:rsidRPr="00672AFA">
        <w:rPr>
          <w:sz w:val="22"/>
          <w:szCs w:val="20"/>
          <w:lang w:val="es-CL"/>
        </w:rPr>
        <w:t>–</w:t>
      </w:r>
      <w:r w:rsidRPr="00672AFA">
        <w:rPr>
          <w:sz w:val="22"/>
          <w:szCs w:val="20"/>
          <w:lang w:val="es-CL"/>
        </w:rPr>
        <w:t xml:space="preserve"> destinados a silenciar </w:t>
      </w:r>
      <w:r w:rsidR="00F679FF" w:rsidRPr="00672AFA">
        <w:rPr>
          <w:sz w:val="22"/>
          <w:szCs w:val="20"/>
          <w:lang w:val="es-CL"/>
        </w:rPr>
        <w:t xml:space="preserve">el reporteo </w:t>
      </w:r>
      <w:r w:rsidRPr="00672AFA">
        <w:rPr>
          <w:sz w:val="22"/>
          <w:szCs w:val="20"/>
          <w:lang w:val="es-CL"/>
        </w:rPr>
        <w:t>medioambiental crític</w:t>
      </w:r>
      <w:r w:rsidR="00F679FF" w:rsidRPr="00672AFA">
        <w:rPr>
          <w:sz w:val="22"/>
          <w:szCs w:val="20"/>
          <w:lang w:val="es-CL"/>
        </w:rPr>
        <w:t>o</w:t>
      </w:r>
      <w:r w:rsidRPr="00672AFA">
        <w:rPr>
          <w:sz w:val="22"/>
          <w:szCs w:val="20"/>
          <w:lang w:val="es-CL"/>
        </w:rPr>
        <w:t>.</w:t>
      </w:r>
    </w:p>
    <w:p w14:paraId="3E893B0C" w14:textId="63BE8FC7" w:rsidR="00A36D0B" w:rsidRPr="00672AFA" w:rsidRDefault="00A36D0B" w:rsidP="004D0802">
      <w:pPr>
        <w:jc w:val="both"/>
        <w:rPr>
          <w:sz w:val="22"/>
          <w:szCs w:val="20"/>
          <w:lang w:val="es-CL"/>
        </w:rPr>
      </w:pPr>
      <w:r w:rsidRPr="00672AFA">
        <w:rPr>
          <w:sz w:val="22"/>
          <w:szCs w:val="20"/>
          <w:lang w:val="es-CL"/>
        </w:rPr>
        <w:t xml:space="preserve">Una </w:t>
      </w:r>
      <w:hyperlink r:id="rId15" w:history="1">
        <w:r w:rsidRPr="00672AFA">
          <w:rPr>
            <w:rStyle w:val="Hyperlink"/>
            <w:sz w:val="22"/>
            <w:szCs w:val="20"/>
            <w:lang w:val="es-CL"/>
          </w:rPr>
          <w:t>nota informativa</w:t>
        </w:r>
      </w:hyperlink>
      <w:r w:rsidRPr="00672AFA">
        <w:rPr>
          <w:sz w:val="22"/>
          <w:szCs w:val="20"/>
          <w:lang w:val="es-CL"/>
        </w:rPr>
        <w:t xml:space="preserve"> de la UNESCO publicada (en inglés) con ocasión del Día Mundial de la Libertad de Prensa 2024 (3 de mayo de 2024) pone de relieve los riesgos a los que se enfrentan las y los periodistas que cubren temas medioambientales. Según </w:t>
      </w:r>
      <w:r w:rsidR="00F628F5" w:rsidRPr="00672AFA">
        <w:rPr>
          <w:sz w:val="22"/>
          <w:szCs w:val="20"/>
          <w:lang w:val="es-CL"/>
        </w:rPr>
        <w:t>este estudio:</w:t>
      </w:r>
    </w:p>
    <w:p w14:paraId="21988C1F" w14:textId="1163B1ED" w:rsidR="00E72354" w:rsidRPr="00672AFA" w:rsidRDefault="00F628F5" w:rsidP="002D65CE">
      <w:pPr>
        <w:pStyle w:val="ListParagraph"/>
        <w:numPr>
          <w:ilvl w:val="0"/>
          <w:numId w:val="32"/>
        </w:numPr>
        <w:jc w:val="both"/>
        <w:rPr>
          <w:sz w:val="22"/>
          <w:szCs w:val="20"/>
          <w:lang w:val="es-CL"/>
        </w:rPr>
      </w:pPr>
      <w:r w:rsidRPr="00672AFA">
        <w:rPr>
          <w:sz w:val="22"/>
          <w:szCs w:val="20"/>
          <w:lang w:val="es-CL"/>
        </w:rPr>
        <w:t xml:space="preserve">Un total de 44 periodistas </w:t>
      </w:r>
      <w:r w:rsidR="0017368B" w:rsidRPr="00672AFA">
        <w:rPr>
          <w:sz w:val="22"/>
          <w:szCs w:val="20"/>
          <w:lang w:val="es-CL"/>
        </w:rPr>
        <w:t xml:space="preserve">que trabajaban en el reporteo de temas medioambientales han sido asesinados </w:t>
      </w:r>
      <w:r w:rsidR="00E72354" w:rsidRPr="00672AFA">
        <w:rPr>
          <w:sz w:val="22"/>
          <w:szCs w:val="20"/>
          <w:lang w:val="es-CL"/>
        </w:rPr>
        <w:t>durante</w:t>
      </w:r>
      <w:r w:rsidR="0017368B" w:rsidRPr="00672AFA">
        <w:rPr>
          <w:sz w:val="22"/>
          <w:szCs w:val="20"/>
          <w:lang w:val="es-CL"/>
        </w:rPr>
        <w:t xml:space="preserve"> los últimos 15 años</w:t>
      </w:r>
      <w:r w:rsidR="00BE15A1" w:rsidRPr="00672AFA">
        <w:rPr>
          <w:sz w:val="22"/>
          <w:szCs w:val="20"/>
          <w:lang w:val="es-CL"/>
        </w:rPr>
        <w:t xml:space="preserve">, </w:t>
      </w:r>
      <w:r w:rsidR="0017368B" w:rsidRPr="00672AFA">
        <w:rPr>
          <w:sz w:val="22"/>
          <w:szCs w:val="20"/>
          <w:lang w:val="es-CL"/>
        </w:rPr>
        <w:t>según el Observatorio de Periodistas Asesinados de la UNESCO</w:t>
      </w:r>
      <w:r w:rsidR="00E72354" w:rsidRPr="00672AFA">
        <w:rPr>
          <w:sz w:val="22"/>
          <w:szCs w:val="20"/>
          <w:lang w:val="es-CL"/>
        </w:rPr>
        <w:t xml:space="preserve">, </w:t>
      </w:r>
      <w:r w:rsidR="00B06C36" w:rsidRPr="00672AFA">
        <w:rPr>
          <w:sz w:val="22"/>
          <w:szCs w:val="20"/>
          <w:lang w:val="es-CL"/>
        </w:rPr>
        <w:t>dictándose una condena sólo en cinco de estos casos. Al menos 24 periodistas sobrevivieron a intentos de asesinato durante este mismo período.</w:t>
      </w:r>
    </w:p>
    <w:p w14:paraId="4B36DBDD" w14:textId="44F24FF4" w:rsidR="00B06C36" w:rsidRPr="00672AFA" w:rsidRDefault="006657C1" w:rsidP="006657C1">
      <w:pPr>
        <w:pStyle w:val="ListParagraph"/>
        <w:numPr>
          <w:ilvl w:val="0"/>
          <w:numId w:val="32"/>
        </w:numPr>
        <w:jc w:val="both"/>
        <w:rPr>
          <w:sz w:val="22"/>
          <w:szCs w:val="20"/>
          <w:lang w:val="es-CL"/>
        </w:rPr>
      </w:pPr>
      <w:r w:rsidRPr="00672AFA">
        <w:rPr>
          <w:sz w:val="22"/>
          <w:szCs w:val="20"/>
          <w:lang w:val="es-CL"/>
        </w:rPr>
        <w:t xml:space="preserve">Desde 2009, al menos 749 periodistas, grupos de periodistas y medios de comunicación que informaban sobre cuestiones medioambientales han sufrido agresiones, según el examen detallado de diversas fuentes de datos. Estas/os periodistas y medios cubrían una </w:t>
      </w:r>
      <w:r w:rsidR="0092078B" w:rsidRPr="00672AFA">
        <w:rPr>
          <w:sz w:val="22"/>
          <w:szCs w:val="20"/>
          <w:lang w:val="es-CL"/>
        </w:rPr>
        <w:t>diversa</w:t>
      </w:r>
      <w:r w:rsidRPr="00672AFA">
        <w:rPr>
          <w:sz w:val="22"/>
          <w:szCs w:val="20"/>
          <w:lang w:val="es-CL"/>
        </w:rPr>
        <w:t xml:space="preserve"> gama de temas, </w:t>
      </w:r>
      <w:r w:rsidR="00D15F5B" w:rsidRPr="00672AFA">
        <w:rPr>
          <w:sz w:val="22"/>
          <w:szCs w:val="20"/>
          <w:lang w:val="es-CL"/>
        </w:rPr>
        <w:t>desde</w:t>
      </w:r>
      <w:r w:rsidRPr="00672AFA">
        <w:rPr>
          <w:sz w:val="22"/>
          <w:szCs w:val="20"/>
          <w:lang w:val="es-CL"/>
        </w:rPr>
        <w:t xml:space="preserve"> las causas del cambio climático, la minería ilegal, la deforestación y los combustibles fósiles, hasta </w:t>
      </w:r>
      <w:r w:rsidR="00683ED9" w:rsidRPr="00672AFA">
        <w:rPr>
          <w:sz w:val="22"/>
          <w:szCs w:val="20"/>
          <w:lang w:val="es-CL"/>
        </w:rPr>
        <w:t>ciertas problemáticas que afectaban específicamente</w:t>
      </w:r>
      <w:r w:rsidRPr="00672AFA">
        <w:rPr>
          <w:sz w:val="22"/>
          <w:szCs w:val="20"/>
          <w:lang w:val="es-CL"/>
        </w:rPr>
        <w:t xml:space="preserve"> </w:t>
      </w:r>
      <w:r w:rsidR="00683ED9" w:rsidRPr="00672AFA">
        <w:rPr>
          <w:sz w:val="22"/>
          <w:szCs w:val="20"/>
          <w:lang w:val="es-CL"/>
        </w:rPr>
        <w:t>las</w:t>
      </w:r>
      <w:r w:rsidRPr="00672AFA">
        <w:rPr>
          <w:sz w:val="22"/>
          <w:szCs w:val="20"/>
          <w:lang w:val="es-CL"/>
        </w:rPr>
        <w:t xml:space="preserve"> comunidades </w:t>
      </w:r>
      <w:r w:rsidR="00683ED9" w:rsidRPr="00672AFA">
        <w:rPr>
          <w:sz w:val="22"/>
          <w:szCs w:val="20"/>
          <w:lang w:val="es-CL"/>
        </w:rPr>
        <w:t xml:space="preserve">en las que viven, </w:t>
      </w:r>
      <w:r w:rsidRPr="00672AFA">
        <w:rPr>
          <w:sz w:val="22"/>
          <w:szCs w:val="20"/>
          <w:lang w:val="es-CL"/>
        </w:rPr>
        <w:t>como la agroindustria, la apropiación de tierras, los megaproyectos de infraestructuras y las secuelas de fenómenos meteorológicos extremos.</w:t>
      </w:r>
    </w:p>
    <w:p w14:paraId="29861D81" w14:textId="79E1E777" w:rsidR="00A973AD" w:rsidRPr="00672AFA" w:rsidRDefault="00A973AD" w:rsidP="006657C1">
      <w:pPr>
        <w:pStyle w:val="ListParagraph"/>
        <w:numPr>
          <w:ilvl w:val="0"/>
          <w:numId w:val="32"/>
        </w:numPr>
        <w:jc w:val="both"/>
        <w:rPr>
          <w:sz w:val="22"/>
          <w:szCs w:val="20"/>
          <w:lang w:val="es-CL"/>
        </w:rPr>
      </w:pPr>
      <w:r w:rsidRPr="00672AFA">
        <w:rPr>
          <w:sz w:val="22"/>
          <w:szCs w:val="20"/>
          <w:lang w:val="es-CL"/>
        </w:rPr>
        <w:lastRenderedPageBreak/>
        <w:t>En los últimos cinco años se han producido más de 300 agresiones, lo que supone un aumento del 42% con respecto al quinquenio anterior. Este aumento se atribuye a un incremento de las agresiones físicas, como asaltos, detenciones y acoso, y de las acciones legales, incluidas las demandas por difamación y los procesos penales.</w:t>
      </w:r>
    </w:p>
    <w:p w14:paraId="17EE0728" w14:textId="1F558949" w:rsidR="00A973AD" w:rsidRPr="00672AFA" w:rsidRDefault="004E5480" w:rsidP="006657C1">
      <w:pPr>
        <w:pStyle w:val="ListParagraph"/>
        <w:numPr>
          <w:ilvl w:val="0"/>
          <w:numId w:val="32"/>
        </w:numPr>
        <w:jc w:val="both"/>
        <w:rPr>
          <w:sz w:val="22"/>
          <w:szCs w:val="20"/>
          <w:lang w:val="es-CL"/>
        </w:rPr>
      </w:pPr>
      <w:r w:rsidRPr="00672AFA">
        <w:rPr>
          <w:sz w:val="22"/>
          <w:szCs w:val="20"/>
          <w:lang w:val="es-CL"/>
        </w:rPr>
        <w:t xml:space="preserve">Agentes estatales, </w:t>
      </w:r>
      <w:r w:rsidR="00D179D5" w:rsidRPr="00672AFA">
        <w:rPr>
          <w:sz w:val="22"/>
          <w:szCs w:val="20"/>
          <w:lang w:val="es-CL"/>
        </w:rPr>
        <w:t xml:space="preserve">tales </w:t>
      </w:r>
      <w:r w:rsidRPr="00672AFA">
        <w:rPr>
          <w:sz w:val="22"/>
          <w:szCs w:val="20"/>
          <w:lang w:val="es-CL"/>
        </w:rPr>
        <w:t xml:space="preserve">como las policías, las fuerzas militares, y los funcionarios y empleados del gobierno, han cometido al menos la mitad de los 749 ataques identificados por el estudio. Los actores privados, </w:t>
      </w:r>
      <w:r w:rsidR="00D179D5" w:rsidRPr="00672AFA">
        <w:rPr>
          <w:sz w:val="22"/>
          <w:szCs w:val="20"/>
          <w:lang w:val="es-CL"/>
        </w:rPr>
        <w:t xml:space="preserve">tales como </w:t>
      </w:r>
      <w:r w:rsidRPr="00672AFA">
        <w:rPr>
          <w:sz w:val="22"/>
          <w:szCs w:val="20"/>
          <w:lang w:val="es-CL"/>
        </w:rPr>
        <w:t xml:space="preserve">empresas de la industria extractiva, grupos delictivos, manifestantes y comunidades locales, son responsables de al menos una cuarta parte de estos ataques.  </w:t>
      </w:r>
    </w:p>
    <w:p w14:paraId="79E8370A" w14:textId="34942036" w:rsidR="00D179D5" w:rsidRPr="00672AFA" w:rsidRDefault="00D179D5" w:rsidP="006657C1">
      <w:pPr>
        <w:pStyle w:val="ListParagraph"/>
        <w:numPr>
          <w:ilvl w:val="0"/>
          <w:numId w:val="32"/>
        </w:numPr>
        <w:jc w:val="both"/>
        <w:rPr>
          <w:sz w:val="22"/>
          <w:szCs w:val="20"/>
          <w:lang w:val="es-CL"/>
        </w:rPr>
      </w:pPr>
      <w:r w:rsidRPr="00672AFA">
        <w:rPr>
          <w:sz w:val="22"/>
          <w:szCs w:val="20"/>
          <w:lang w:val="es-CL"/>
        </w:rPr>
        <w:t xml:space="preserve">Desde 2009, al menos 204 periodistas y medios de comunicación que cubren temas medioambientales han sufrido ataques legales. </w:t>
      </w:r>
      <w:r w:rsidR="00AD5A0C" w:rsidRPr="00672AFA">
        <w:rPr>
          <w:sz w:val="22"/>
          <w:szCs w:val="20"/>
          <w:lang w:val="es-CL"/>
        </w:rPr>
        <w:t>Gobiernos han</w:t>
      </w:r>
      <w:r w:rsidRPr="00672AFA">
        <w:rPr>
          <w:sz w:val="22"/>
          <w:szCs w:val="20"/>
          <w:lang w:val="es-CL"/>
        </w:rPr>
        <w:t xml:space="preserve"> presenta</w:t>
      </w:r>
      <w:r w:rsidR="00AD5A0C" w:rsidRPr="00672AFA">
        <w:rPr>
          <w:sz w:val="22"/>
          <w:szCs w:val="20"/>
          <w:lang w:val="es-CL"/>
        </w:rPr>
        <w:t>do</w:t>
      </w:r>
      <w:r w:rsidRPr="00672AFA">
        <w:rPr>
          <w:sz w:val="22"/>
          <w:szCs w:val="20"/>
          <w:lang w:val="es-CL"/>
        </w:rPr>
        <w:t xml:space="preserve"> cargos penales contra 93 de </w:t>
      </w:r>
      <w:r w:rsidR="00AE118D" w:rsidRPr="00672AFA">
        <w:rPr>
          <w:sz w:val="22"/>
          <w:szCs w:val="20"/>
          <w:lang w:val="es-CL"/>
        </w:rPr>
        <w:t xml:space="preserve">ellas y </w:t>
      </w:r>
      <w:r w:rsidRPr="00672AFA">
        <w:rPr>
          <w:sz w:val="22"/>
          <w:szCs w:val="20"/>
          <w:lang w:val="es-CL"/>
        </w:rPr>
        <w:t xml:space="preserve">ellos, </w:t>
      </w:r>
      <w:r w:rsidR="00615241" w:rsidRPr="00672AFA">
        <w:rPr>
          <w:sz w:val="22"/>
          <w:szCs w:val="20"/>
          <w:lang w:val="es-CL"/>
        </w:rPr>
        <w:t xml:space="preserve">constituyendo estos </w:t>
      </w:r>
      <w:r w:rsidRPr="00672AFA">
        <w:rPr>
          <w:sz w:val="22"/>
          <w:szCs w:val="20"/>
          <w:lang w:val="es-CL"/>
        </w:rPr>
        <w:t>el tipo más común de ataque legal.</w:t>
      </w:r>
      <w:r w:rsidR="00CC13B9" w:rsidRPr="00672AFA">
        <w:rPr>
          <w:sz w:val="22"/>
          <w:szCs w:val="20"/>
          <w:lang w:val="es-CL"/>
        </w:rPr>
        <w:t xml:space="preserve"> </w:t>
      </w:r>
      <w:r w:rsidRPr="00672AFA">
        <w:rPr>
          <w:sz w:val="22"/>
          <w:szCs w:val="20"/>
          <w:lang w:val="es-CL"/>
        </w:rPr>
        <w:t xml:space="preserve">39 periodistas han sido encarcelados, principalmente en Asia y el Pacífico, en relación con </w:t>
      </w:r>
      <w:r w:rsidR="00CC13B9" w:rsidRPr="00672AFA">
        <w:rPr>
          <w:sz w:val="22"/>
          <w:szCs w:val="20"/>
          <w:lang w:val="es-CL"/>
        </w:rPr>
        <w:t>su trabajo de reporteo medioambiental</w:t>
      </w:r>
      <w:r w:rsidRPr="00672AFA">
        <w:rPr>
          <w:sz w:val="22"/>
          <w:szCs w:val="20"/>
          <w:lang w:val="es-CL"/>
        </w:rPr>
        <w:t>. También son frecuentes las demandas por difamación, con al menos 63 casos, sobre todo en Europa y Norteamérica.</w:t>
      </w:r>
    </w:p>
    <w:p w14:paraId="6ED66178" w14:textId="77777777" w:rsidR="003871DA" w:rsidRPr="00672AFA" w:rsidRDefault="003F3A11" w:rsidP="003871DA">
      <w:pPr>
        <w:pStyle w:val="ListParagraph"/>
        <w:numPr>
          <w:ilvl w:val="0"/>
          <w:numId w:val="32"/>
        </w:numPr>
        <w:jc w:val="both"/>
        <w:rPr>
          <w:sz w:val="22"/>
          <w:szCs w:val="20"/>
          <w:lang w:val="es-CL"/>
        </w:rPr>
      </w:pPr>
      <w:r w:rsidRPr="00672AFA">
        <w:rPr>
          <w:sz w:val="22"/>
          <w:szCs w:val="20"/>
          <w:lang w:val="es-CL"/>
        </w:rPr>
        <w:t>Una encuesta realizada por la UNESCO y la Federación Internacional de Periodistas</w:t>
      </w:r>
      <w:r w:rsidR="00467000" w:rsidRPr="00672AFA">
        <w:rPr>
          <w:sz w:val="22"/>
          <w:szCs w:val="20"/>
          <w:lang w:val="es-CL"/>
        </w:rPr>
        <w:t xml:space="preserve"> en marzo de 2024, en la que participaron </w:t>
      </w:r>
      <w:r w:rsidRPr="00672AFA">
        <w:rPr>
          <w:sz w:val="22"/>
          <w:szCs w:val="20"/>
          <w:lang w:val="es-CL"/>
        </w:rPr>
        <w:t>900 periodistas de 130 países</w:t>
      </w:r>
      <w:r w:rsidR="00467000" w:rsidRPr="00672AFA">
        <w:rPr>
          <w:sz w:val="22"/>
          <w:szCs w:val="20"/>
          <w:lang w:val="es-CL"/>
        </w:rPr>
        <w:t xml:space="preserve">, </w:t>
      </w:r>
      <w:r w:rsidRPr="00672AFA">
        <w:rPr>
          <w:sz w:val="22"/>
          <w:szCs w:val="20"/>
          <w:lang w:val="es-CL"/>
        </w:rPr>
        <w:t xml:space="preserve">corroboró estas tendencias. Más del 70% de </w:t>
      </w:r>
      <w:r w:rsidR="001E1618" w:rsidRPr="00672AFA">
        <w:rPr>
          <w:sz w:val="22"/>
          <w:szCs w:val="20"/>
          <w:lang w:val="es-CL"/>
        </w:rPr>
        <w:t xml:space="preserve">las y </w:t>
      </w:r>
      <w:r w:rsidRPr="00672AFA">
        <w:rPr>
          <w:sz w:val="22"/>
          <w:szCs w:val="20"/>
          <w:lang w:val="es-CL"/>
        </w:rPr>
        <w:t>los periodistas encuestados declararon haber sufrido agresiones, amenazas o presiones mientras cubrían temas medioambientales. De todos los</w:t>
      </w:r>
      <w:r w:rsidR="003871DA" w:rsidRPr="00672AFA">
        <w:rPr>
          <w:sz w:val="22"/>
          <w:szCs w:val="20"/>
          <w:lang w:val="es-CL"/>
        </w:rPr>
        <w:t xml:space="preserve"> y las</w:t>
      </w:r>
      <w:r w:rsidRPr="00672AFA">
        <w:rPr>
          <w:sz w:val="22"/>
          <w:szCs w:val="20"/>
          <w:lang w:val="es-CL"/>
        </w:rPr>
        <w:t xml:space="preserve"> periodistas que declararon haber sido objeto de agresiones mientras informaban sobre cuestiones medioambientales, una cuarta parte afirmó haber sido atacad</w:t>
      </w:r>
      <w:r w:rsidR="003871DA" w:rsidRPr="00672AFA">
        <w:rPr>
          <w:sz w:val="22"/>
          <w:szCs w:val="20"/>
          <w:lang w:val="es-CL"/>
        </w:rPr>
        <w:t>o/a</w:t>
      </w:r>
      <w:r w:rsidRPr="00672AFA">
        <w:rPr>
          <w:sz w:val="22"/>
          <w:szCs w:val="20"/>
          <w:lang w:val="es-CL"/>
        </w:rPr>
        <w:t xml:space="preserve"> legalmente mediante, por ejemplo, demandas contra la participación pública o acusaciones de difamación.</w:t>
      </w:r>
    </w:p>
    <w:p w14:paraId="452F19B1" w14:textId="6B8EA368" w:rsidR="006B3473" w:rsidRPr="00672AFA" w:rsidRDefault="006B3473" w:rsidP="003871DA">
      <w:pPr>
        <w:jc w:val="both"/>
        <w:rPr>
          <w:sz w:val="22"/>
          <w:szCs w:val="20"/>
          <w:lang w:val="es-CL"/>
        </w:rPr>
      </w:pPr>
      <w:r w:rsidRPr="00672AFA">
        <w:rPr>
          <w:sz w:val="22"/>
          <w:szCs w:val="20"/>
          <w:lang w:val="es-CL"/>
        </w:rPr>
        <w:t xml:space="preserve">Estas amenazas debilitan el rol de las y los periodistas como guardianes de la democracia y reducen su capacidad para exigir responsabilidades de los poderosos; mientras que la censura puede erosionar la confianza de la gente en el periodismo y obstaculizar el acceso de </w:t>
      </w:r>
      <w:r w:rsidR="00404E2F" w:rsidRPr="00672AFA">
        <w:rPr>
          <w:sz w:val="22"/>
          <w:szCs w:val="20"/>
          <w:lang w:val="es-CL"/>
        </w:rPr>
        <w:t>la ciudadanía</w:t>
      </w:r>
      <w:r w:rsidRPr="00672AFA">
        <w:rPr>
          <w:sz w:val="22"/>
          <w:szCs w:val="20"/>
          <w:lang w:val="es-CL"/>
        </w:rPr>
        <w:t xml:space="preserve"> a información </w:t>
      </w:r>
      <w:r w:rsidR="00404E2F" w:rsidRPr="00672AFA">
        <w:rPr>
          <w:sz w:val="22"/>
          <w:szCs w:val="20"/>
          <w:lang w:val="es-CL"/>
        </w:rPr>
        <w:t>verificada</w:t>
      </w:r>
      <w:r w:rsidRPr="00672AFA">
        <w:rPr>
          <w:sz w:val="22"/>
          <w:szCs w:val="20"/>
          <w:lang w:val="es-CL"/>
        </w:rPr>
        <w:t>, creando un vacío propicio a la proliferación de la des/</w:t>
      </w:r>
      <w:proofErr w:type="spellStart"/>
      <w:r w:rsidR="002F285A" w:rsidRPr="00672AFA">
        <w:rPr>
          <w:sz w:val="22"/>
          <w:szCs w:val="20"/>
          <w:lang w:val="es-CL"/>
        </w:rPr>
        <w:t>mis</w:t>
      </w:r>
      <w:r w:rsidRPr="00672AFA">
        <w:rPr>
          <w:sz w:val="22"/>
          <w:szCs w:val="20"/>
          <w:lang w:val="es-CL"/>
        </w:rPr>
        <w:t>información</w:t>
      </w:r>
      <w:proofErr w:type="spellEnd"/>
      <w:r w:rsidRPr="00672AFA">
        <w:rPr>
          <w:sz w:val="22"/>
          <w:szCs w:val="20"/>
          <w:lang w:val="es-CL"/>
        </w:rPr>
        <w:t xml:space="preserve"> y afectando </w:t>
      </w:r>
      <w:r w:rsidR="002F285A" w:rsidRPr="00672AFA">
        <w:rPr>
          <w:sz w:val="22"/>
          <w:szCs w:val="20"/>
          <w:lang w:val="es-CL"/>
        </w:rPr>
        <w:t>e</w:t>
      </w:r>
      <w:r w:rsidRPr="00672AFA">
        <w:rPr>
          <w:sz w:val="22"/>
          <w:szCs w:val="20"/>
          <w:lang w:val="es-CL"/>
        </w:rPr>
        <w:t>l pleno ejercicio del derecho a la libertad de expresión de</w:t>
      </w:r>
      <w:r w:rsidR="0040595E" w:rsidRPr="00672AFA">
        <w:rPr>
          <w:sz w:val="22"/>
          <w:szCs w:val="20"/>
          <w:lang w:val="es-CL"/>
        </w:rPr>
        <w:t xml:space="preserve"> todas y</w:t>
      </w:r>
      <w:r w:rsidRPr="00672AFA">
        <w:rPr>
          <w:sz w:val="22"/>
          <w:szCs w:val="20"/>
          <w:lang w:val="es-CL"/>
        </w:rPr>
        <w:t xml:space="preserve"> todos.</w:t>
      </w:r>
    </w:p>
    <w:p w14:paraId="39D2E34D" w14:textId="1786EC30" w:rsidR="0048542B" w:rsidRPr="00672AFA" w:rsidRDefault="0079210B" w:rsidP="0048542B">
      <w:pPr>
        <w:jc w:val="both"/>
        <w:rPr>
          <w:b/>
          <w:bCs/>
          <w:sz w:val="22"/>
          <w:szCs w:val="20"/>
          <w:lang w:val="es-CL"/>
        </w:rPr>
      </w:pPr>
      <w:r w:rsidRPr="00672AFA">
        <w:rPr>
          <w:b/>
          <w:bCs/>
          <w:sz w:val="22"/>
          <w:szCs w:val="20"/>
          <w:lang w:val="es-CL"/>
        </w:rPr>
        <w:t>Una Convocatoria temática enfocada en la defensa del periodismo medioambiental</w:t>
      </w:r>
    </w:p>
    <w:p w14:paraId="69726C24" w14:textId="30A5CC88" w:rsidR="007C52F0" w:rsidRPr="00672AFA" w:rsidRDefault="007C52F0" w:rsidP="00BA42D1">
      <w:pPr>
        <w:jc w:val="both"/>
        <w:rPr>
          <w:rFonts w:eastAsia="Arial Unicode MS"/>
          <w:sz w:val="22"/>
          <w:szCs w:val="22"/>
          <w:lang w:val="es-CL"/>
        </w:rPr>
      </w:pPr>
      <w:r w:rsidRPr="00672AFA">
        <w:rPr>
          <w:rFonts w:eastAsia="Arial Unicode MS"/>
          <w:sz w:val="22"/>
          <w:szCs w:val="22"/>
          <w:lang w:val="es-CL"/>
        </w:rPr>
        <w:t>Esta Convocatoria de Propuestas se enfoca especialmente en la defensa del periodismo medioambiental</w:t>
      </w:r>
      <w:r w:rsidR="000D6EA6" w:rsidRPr="00672AFA">
        <w:rPr>
          <w:rFonts w:eastAsia="Arial Unicode MS"/>
          <w:sz w:val="22"/>
          <w:szCs w:val="22"/>
          <w:lang w:val="es-CL"/>
        </w:rPr>
        <w:t>,</w:t>
      </w:r>
      <w:r w:rsidRPr="00672AFA">
        <w:rPr>
          <w:rFonts w:eastAsia="Arial Unicode MS"/>
          <w:sz w:val="22"/>
          <w:szCs w:val="22"/>
          <w:lang w:val="es-CL"/>
        </w:rPr>
        <w:t xml:space="preserve"> y tiene por </w:t>
      </w:r>
      <w:r w:rsidR="003B76BA" w:rsidRPr="00672AFA">
        <w:rPr>
          <w:rFonts w:eastAsia="Arial Unicode MS"/>
          <w:sz w:val="22"/>
          <w:szCs w:val="22"/>
          <w:lang w:val="es-CL"/>
        </w:rPr>
        <w:t>objeto de contribuir al avance de</w:t>
      </w:r>
      <w:r w:rsidRPr="00672AFA">
        <w:rPr>
          <w:rFonts w:eastAsia="Arial Unicode MS"/>
          <w:sz w:val="22"/>
          <w:szCs w:val="22"/>
          <w:lang w:val="es-CL"/>
        </w:rPr>
        <w:t xml:space="preserve"> la Hoja de </w:t>
      </w:r>
      <w:r w:rsidR="003B76BA" w:rsidRPr="00672AFA">
        <w:rPr>
          <w:rFonts w:eastAsia="Arial Unicode MS"/>
          <w:sz w:val="22"/>
          <w:szCs w:val="22"/>
          <w:lang w:val="es-CL"/>
        </w:rPr>
        <w:t>R</w:t>
      </w:r>
      <w:r w:rsidRPr="00672AFA">
        <w:rPr>
          <w:rFonts w:eastAsia="Arial Unicode MS"/>
          <w:sz w:val="22"/>
          <w:szCs w:val="22"/>
          <w:lang w:val="es-CL"/>
        </w:rPr>
        <w:t>uta</w:t>
      </w:r>
      <w:r w:rsidR="003B76BA" w:rsidRPr="00672AFA">
        <w:rPr>
          <w:rFonts w:eastAsia="Arial Unicode MS"/>
          <w:sz w:val="22"/>
          <w:szCs w:val="22"/>
          <w:lang w:val="es-CL"/>
        </w:rPr>
        <w:t xml:space="preserve"> M</w:t>
      </w:r>
      <w:r w:rsidRPr="00672AFA">
        <w:rPr>
          <w:rFonts w:eastAsia="Arial Unicode MS"/>
          <w:sz w:val="22"/>
          <w:szCs w:val="22"/>
          <w:lang w:val="es-CL"/>
        </w:rPr>
        <w:t xml:space="preserve">undial de la UNESCO para la </w:t>
      </w:r>
      <w:r w:rsidR="00D03D36" w:rsidRPr="00672AFA">
        <w:rPr>
          <w:rFonts w:eastAsia="Arial Unicode MS"/>
          <w:sz w:val="22"/>
          <w:szCs w:val="22"/>
          <w:lang w:val="es-CL"/>
        </w:rPr>
        <w:t>I</w:t>
      </w:r>
      <w:r w:rsidRPr="00672AFA">
        <w:rPr>
          <w:rFonts w:eastAsia="Arial Unicode MS"/>
          <w:sz w:val="22"/>
          <w:szCs w:val="22"/>
          <w:lang w:val="es-CL"/>
        </w:rPr>
        <w:t xml:space="preserve">nformación como bien público ante la crisis medioambiental. La Hoja de Ruta </w:t>
      </w:r>
      <w:r w:rsidR="00403DAA" w:rsidRPr="00672AFA">
        <w:rPr>
          <w:rFonts w:eastAsia="Arial Unicode MS"/>
          <w:sz w:val="22"/>
          <w:szCs w:val="22"/>
          <w:lang w:val="es-CL"/>
        </w:rPr>
        <w:t xml:space="preserve">no solo </w:t>
      </w:r>
      <w:r w:rsidRPr="00672AFA">
        <w:rPr>
          <w:rFonts w:eastAsia="Arial Unicode MS"/>
          <w:sz w:val="22"/>
          <w:szCs w:val="22"/>
          <w:lang w:val="es-CL"/>
        </w:rPr>
        <w:t>pretende</w:t>
      </w:r>
      <w:r w:rsidR="00705940" w:rsidRPr="00672AFA">
        <w:rPr>
          <w:rFonts w:eastAsia="Arial Unicode MS"/>
          <w:sz w:val="22"/>
          <w:szCs w:val="22"/>
          <w:lang w:val="es-CL"/>
        </w:rPr>
        <w:t xml:space="preserve"> </w:t>
      </w:r>
      <w:r w:rsidRPr="00672AFA">
        <w:rPr>
          <w:rFonts w:eastAsia="Arial Unicode MS"/>
          <w:sz w:val="22"/>
          <w:szCs w:val="22"/>
          <w:lang w:val="es-CL"/>
        </w:rPr>
        <w:t xml:space="preserve">abordar diversos aspectos </w:t>
      </w:r>
      <w:r w:rsidR="00990339" w:rsidRPr="00672AFA">
        <w:rPr>
          <w:rFonts w:eastAsia="Arial Unicode MS"/>
          <w:sz w:val="22"/>
          <w:szCs w:val="22"/>
          <w:lang w:val="es-CL"/>
        </w:rPr>
        <w:t>que son de importancia</w:t>
      </w:r>
      <w:r w:rsidR="00D03D36" w:rsidRPr="00672AFA">
        <w:rPr>
          <w:rFonts w:eastAsia="Arial Unicode MS"/>
          <w:sz w:val="22"/>
          <w:szCs w:val="22"/>
          <w:lang w:val="es-CL"/>
        </w:rPr>
        <w:t xml:space="preserve"> para la promoción de</w:t>
      </w:r>
      <w:r w:rsidRPr="00672AFA">
        <w:rPr>
          <w:rFonts w:eastAsia="Arial Unicode MS"/>
          <w:sz w:val="22"/>
          <w:szCs w:val="22"/>
          <w:lang w:val="es-CL"/>
        </w:rPr>
        <w:t xml:space="preserve"> la seguridad de </w:t>
      </w:r>
      <w:r w:rsidR="00D03D36" w:rsidRPr="00672AFA">
        <w:rPr>
          <w:rFonts w:eastAsia="Arial Unicode MS"/>
          <w:sz w:val="22"/>
          <w:szCs w:val="22"/>
          <w:lang w:val="es-CL"/>
        </w:rPr>
        <w:t xml:space="preserve">las y </w:t>
      </w:r>
      <w:r w:rsidRPr="00672AFA">
        <w:rPr>
          <w:rFonts w:eastAsia="Arial Unicode MS"/>
          <w:sz w:val="22"/>
          <w:szCs w:val="22"/>
          <w:lang w:val="es-CL"/>
        </w:rPr>
        <w:t xml:space="preserve">los periodistas que trabajan en la cobertura de temas medioambientales, </w:t>
      </w:r>
      <w:r w:rsidR="00705940" w:rsidRPr="00672AFA">
        <w:rPr>
          <w:rFonts w:eastAsia="Arial Unicode MS"/>
          <w:sz w:val="22"/>
          <w:szCs w:val="22"/>
          <w:lang w:val="es-CL"/>
        </w:rPr>
        <w:t xml:space="preserve">sino que también </w:t>
      </w:r>
      <w:r w:rsidR="00813400" w:rsidRPr="00672AFA">
        <w:rPr>
          <w:rFonts w:eastAsia="Arial Unicode MS"/>
          <w:sz w:val="22"/>
          <w:szCs w:val="22"/>
          <w:lang w:val="es-CL"/>
        </w:rPr>
        <w:t>busca contribuir a promover la</w:t>
      </w:r>
      <w:r w:rsidRPr="00672AFA">
        <w:rPr>
          <w:rFonts w:eastAsia="Arial Unicode MS"/>
          <w:sz w:val="22"/>
          <w:szCs w:val="22"/>
          <w:lang w:val="es-CL"/>
        </w:rPr>
        <w:t xml:space="preserve"> integridad de la información, </w:t>
      </w:r>
      <w:r w:rsidR="00403DAA" w:rsidRPr="00672AFA">
        <w:rPr>
          <w:rFonts w:eastAsia="Arial Unicode MS"/>
          <w:sz w:val="22"/>
          <w:szCs w:val="22"/>
          <w:lang w:val="es-CL"/>
        </w:rPr>
        <w:t>incluyendo</w:t>
      </w:r>
      <w:r w:rsidRPr="00672AFA">
        <w:rPr>
          <w:rFonts w:eastAsia="Arial Unicode MS"/>
          <w:sz w:val="22"/>
          <w:szCs w:val="22"/>
          <w:lang w:val="es-CL"/>
        </w:rPr>
        <w:t xml:space="preserve"> </w:t>
      </w:r>
      <w:r w:rsidR="00813400" w:rsidRPr="00672AFA">
        <w:rPr>
          <w:rFonts w:eastAsia="Arial Unicode MS"/>
          <w:sz w:val="22"/>
          <w:szCs w:val="22"/>
          <w:lang w:val="es-CL"/>
        </w:rPr>
        <w:t>a través</w:t>
      </w:r>
      <w:r w:rsidR="00990339" w:rsidRPr="00672AFA">
        <w:rPr>
          <w:rFonts w:eastAsia="Arial Unicode MS"/>
          <w:sz w:val="22"/>
          <w:szCs w:val="22"/>
          <w:lang w:val="es-CL"/>
        </w:rPr>
        <w:t xml:space="preserve"> de acciones para contrarrestar</w:t>
      </w:r>
      <w:r w:rsidRPr="00672AFA">
        <w:rPr>
          <w:rFonts w:eastAsia="Arial Unicode MS"/>
          <w:sz w:val="22"/>
          <w:szCs w:val="22"/>
          <w:lang w:val="es-CL"/>
        </w:rPr>
        <w:t xml:space="preserve"> la desinformación sobre el cambio climático.</w:t>
      </w:r>
    </w:p>
    <w:p w14:paraId="04235B29" w14:textId="33AFA9C0" w:rsidR="007C52F0" w:rsidRPr="00672AFA" w:rsidRDefault="00962B9E" w:rsidP="00BA42D1">
      <w:pPr>
        <w:jc w:val="both"/>
        <w:rPr>
          <w:rFonts w:eastAsia="Arial Unicode MS"/>
          <w:sz w:val="22"/>
          <w:szCs w:val="22"/>
          <w:lang w:val="es-CL"/>
        </w:rPr>
      </w:pPr>
      <w:r w:rsidRPr="00672AFA">
        <w:rPr>
          <w:rFonts w:eastAsia="Arial Unicode MS"/>
          <w:sz w:val="22"/>
          <w:szCs w:val="22"/>
          <w:lang w:val="es-CL"/>
        </w:rPr>
        <w:t>Anunciada en la Conferencia del Día Mundial de la Libertad de Prensa 2024 en Santiago de Chile, la Hoja de Ruta examina el rol que pueden desempeñar los gobiernos, los medios de comunicación, el mundo académico y los investigadores, el sector cultural, la sociedad civil y las plataformas digitales para garantizar:</w:t>
      </w:r>
    </w:p>
    <w:p w14:paraId="1D2AC2C8" w14:textId="5BEEF4E3" w:rsidR="00D67418"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lastRenderedPageBreak/>
        <w:t>La viabilidad económica del periodismo medioambiental, y proporcionar medidas de seguridad;</w:t>
      </w:r>
    </w:p>
    <w:p w14:paraId="47629E27" w14:textId="77777777" w:rsidR="0012165F"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t>La seguridad y la defensa jurídica de las y los periodistas medioambientales</w:t>
      </w:r>
      <w:r w:rsidR="0012165F" w:rsidRPr="00672AFA">
        <w:rPr>
          <w:rFonts w:eastAsia="Arial Unicode MS"/>
          <w:sz w:val="22"/>
          <w:szCs w:val="22"/>
          <w:lang w:val="es-CL"/>
        </w:rPr>
        <w:t>;</w:t>
      </w:r>
    </w:p>
    <w:p w14:paraId="19431186" w14:textId="77777777" w:rsidR="0012165F"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t>El acceso a la información pública ambiental;</w:t>
      </w:r>
    </w:p>
    <w:p w14:paraId="0681BBBB" w14:textId="77777777" w:rsidR="0026381D"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t>El fortalecimiento de</w:t>
      </w:r>
      <w:r w:rsidR="0012165F" w:rsidRPr="00672AFA">
        <w:rPr>
          <w:rFonts w:eastAsia="Arial Unicode MS"/>
          <w:sz w:val="22"/>
          <w:szCs w:val="22"/>
          <w:lang w:val="es-CL"/>
        </w:rPr>
        <w:t xml:space="preserve"> la acción de</w:t>
      </w:r>
      <w:r w:rsidRPr="00672AFA">
        <w:rPr>
          <w:rFonts w:eastAsia="Arial Unicode MS"/>
          <w:sz w:val="22"/>
          <w:szCs w:val="22"/>
          <w:lang w:val="es-CL"/>
        </w:rPr>
        <w:t xml:space="preserve"> las instituciones de medios </w:t>
      </w:r>
      <w:r w:rsidR="0012165F" w:rsidRPr="00672AFA">
        <w:rPr>
          <w:rFonts w:eastAsia="Arial Unicode MS"/>
          <w:sz w:val="22"/>
          <w:szCs w:val="22"/>
          <w:lang w:val="es-CL"/>
        </w:rPr>
        <w:t>de cara al cam</w:t>
      </w:r>
      <w:r w:rsidR="0026381D" w:rsidRPr="00672AFA">
        <w:rPr>
          <w:rFonts w:eastAsia="Arial Unicode MS"/>
          <w:sz w:val="22"/>
          <w:szCs w:val="22"/>
          <w:lang w:val="es-CL"/>
        </w:rPr>
        <w:t>bio climático, la preparación y la</w:t>
      </w:r>
      <w:r w:rsidRPr="00672AFA">
        <w:rPr>
          <w:rFonts w:eastAsia="Arial Unicode MS"/>
          <w:sz w:val="22"/>
          <w:szCs w:val="22"/>
          <w:lang w:val="es-CL"/>
        </w:rPr>
        <w:t xml:space="preserve"> respuesta ante catástrofes;</w:t>
      </w:r>
    </w:p>
    <w:p w14:paraId="65F1D3CD" w14:textId="77777777" w:rsidR="0073403B"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t>Un</w:t>
      </w:r>
      <w:r w:rsidR="0073403B" w:rsidRPr="00672AFA">
        <w:rPr>
          <w:rFonts w:eastAsia="Arial Unicode MS"/>
          <w:sz w:val="22"/>
          <w:szCs w:val="22"/>
          <w:lang w:val="es-CL"/>
        </w:rPr>
        <w:t>a</w:t>
      </w:r>
      <w:r w:rsidRPr="00672AFA">
        <w:rPr>
          <w:rFonts w:eastAsia="Arial Unicode MS"/>
          <w:sz w:val="22"/>
          <w:szCs w:val="22"/>
          <w:lang w:val="es-CL"/>
        </w:rPr>
        <w:t xml:space="preserve"> gobernanza de las plataformas digitales basad</w:t>
      </w:r>
      <w:r w:rsidR="0073403B" w:rsidRPr="00672AFA">
        <w:rPr>
          <w:rFonts w:eastAsia="Arial Unicode MS"/>
          <w:sz w:val="22"/>
          <w:szCs w:val="22"/>
          <w:lang w:val="es-CL"/>
        </w:rPr>
        <w:t>a</w:t>
      </w:r>
      <w:r w:rsidRPr="00672AFA">
        <w:rPr>
          <w:rFonts w:eastAsia="Arial Unicode MS"/>
          <w:sz w:val="22"/>
          <w:szCs w:val="22"/>
          <w:lang w:val="es-CL"/>
        </w:rPr>
        <w:t xml:space="preserve"> en los derechos humanos y en la participación de múltiples partes interesadas</w:t>
      </w:r>
      <w:r w:rsidR="0073403B" w:rsidRPr="00672AFA">
        <w:rPr>
          <w:rFonts w:eastAsia="Arial Unicode MS"/>
          <w:sz w:val="22"/>
          <w:szCs w:val="22"/>
          <w:lang w:val="es-CL"/>
        </w:rPr>
        <w:t>;</w:t>
      </w:r>
    </w:p>
    <w:p w14:paraId="009E7CC7" w14:textId="7A60E062" w:rsidR="00962B9E" w:rsidRPr="00672AFA" w:rsidRDefault="00D67418" w:rsidP="00D67418">
      <w:pPr>
        <w:pStyle w:val="ListParagraph"/>
        <w:numPr>
          <w:ilvl w:val="0"/>
          <w:numId w:val="39"/>
        </w:numPr>
        <w:jc w:val="both"/>
        <w:rPr>
          <w:rFonts w:eastAsia="Arial Unicode MS"/>
          <w:sz w:val="22"/>
          <w:szCs w:val="22"/>
          <w:lang w:val="es-CL"/>
        </w:rPr>
      </w:pPr>
      <w:r w:rsidRPr="00672AFA">
        <w:rPr>
          <w:rFonts w:eastAsia="Arial Unicode MS"/>
          <w:sz w:val="22"/>
          <w:szCs w:val="22"/>
          <w:lang w:val="es-CL"/>
        </w:rPr>
        <w:t>Capacidades de alfabetización mediática e informacional que permitan a las personas reconocer y valorar, así como defender y exigir</w:t>
      </w:r>
      <w:r w:rsidR="00F9717B" w:rsidRPr="00672AFA">
        <w:rPr>
          <w:rFonts w:eastAsia="Arial Unicode MS"/>
          <w:sz w:val="22"/>
          <w:szCs w:val="22"/>
          <w:lang w:val="es-CL"/>
        </w:rPr>
        <w:t xml:space="preserve">, </w:t>
      </w:r>
      <w:r w:rsidRPr="00672AFA">
        <w:rPr>
          <w:rFonts w:eastAsia="Arial Unicode MS"/>
          <w:sz w:val="22"/>
          <w:szCs w:val="22"/>
          <w:lang w:val="es-CL"/>
        </w:rPr>
        <w:t>el periodismo como parte vital de la información como bien público.</w:t>
      </w:r>
    </w:p>
    <w:p w14:paraId="4B2A7EA7" w14:textId="2287F5D3" w:rsidR="0073403B" w:rsidRPr="00672AFA" w:rsidRDefault="00F9717B" w:rsidP="0073403B">
      <w:pPr>
        <w:jc w:val="both"/>
        <w:rPr>
          <w:sz w:val="22"/>
          <w:szCs w:val="20"/>
          <w:lang w:val="es-CL"/>
        </w:rPr>
      </w:pPr>
      <w:r w:rsidRPr="00672AFA">
        <w:rPr>
          <w:sz w:val="22"/>
          <w:szCs w:val="20"/>
          <w:lang w:val="es-CL"/>
        </w:rPr>
        <w:t xml:space="preserve">Uno de los objetivos clave de la Hoja de Ruta es mejorar el apoyo y la defensa jurídica de las y los periodistas, especialmente en el </w:t>
      </w:r>
      <w:r w:rsidR="009B0CCD" w:rsidRPr="00672AFA">
        <w:rPr>
          <w:sz w:val="22"/>
          <w:szCs w:val="20"/>
          <w:lang w:val="es-CL"/>
        </w:rPr>
        <w:t>contexto del combate contra</w:t>
      </w:r>
      <w:r w:rsidRPr="00672AFA">
        <w:rPr>
          <w:sz w:val="22"/>
          <w:szCs w:val="20"/>
          <w:lang w:val="es-CL"/>
        </w:rPr>
        <w:t xml:space="preserve"> las Demandas Estratégicas contra la Participación Pública (</w:t>
      </w:r>
      <w:proofErr w:type="spellStart"/>
      <w:r w:rsidRPr="00672AFA">
        <w:rPr>
          <w:sz w:val="22"/>
          <w:szCs w:val="20"/>
          <w:lang w:val="es-CL"/>
        </w:rPr>
        <w:t>SLAPPs</w:t>
      </w:r>
      <w:proofErr w:type="spellEnd"/>
      <w:r w:rsidR="009B0CCD" w:rsidRPr="00672AFA">
        <w:rPr>
          <w:sz w:val="22"/>
          <w:szCs w:val="20"/>
          <w:lang w:val="es-CL"/>
        </w:rPr>
        <w:t>, por sus siglas en inglés</w:t>
      </w:r>
      <w:r w:rsidRPr="00672AFA">
        <w:rPr>
          <w:sz w:val="22"/>
          <w:szCs w:val="20"/>
          <w:lang w:val="es-CL"/>
        </w:rPr>
        <w:t xml:space="preserve">). Esto incluye el apoyo a </w:t>
      </w:r>
      <w:r w:rsidR="009B0CCD" w:rsidRPr="00672AFA">
        <w:rPr>
          <w:sz w:val="22"/>
          <w:szCs w:val="20"/>
          <w:lang w:val="es-CL"/>
        </w:rPr>
        <w:t xml:space="preserve">las y </w:t>
      </w:r>
      <w:r w:rsidRPr="00672AFA">
        <w:rPr>
          <w:sz w:val="22"/>
          <w:szCs w:val="20"/>
          <w:lang w:val="es-CL"/>
        </w:rPr>
        <w:t xml:space="preserve">los profesionales del </w:t>
      </w:r>
      <w:r w:rsidR="009B0CCD" w:rsidRPr="00672AFA">
        <w:rPr>
          <w:sz w:val="22"/>
          <w:szCs w:val="20"/>
          <w:lang w:val="es-CL"/>
        </w:rPr>
        <w:t>D</w:t>
      </w:r>
      <w:r w:rsidRPr="00672AFA">
        <w:rPr>
          <w:sz w:val="22"/>
          <w:szCs w:val="20"/>
          <w:lang w:val="es-CL"/>
        </w:rPr>
        <w:t>erecho, las organizaciones de la sociedad civil</w:t>
      </w:r>
      <w:r w:rsidR="009B0CCD" w:rsidRPr="00672AFA">
        <w:rPr>
          <w:sz w:val="22"/>
          <w:szCs w:val="20"/>
          <w:lang w:val="es-CL"/>
        </w:rPr>
        <w:t>,</w:t>
      </w:r>
      <w:r w:rsidRPr="00672AFA">
        <w:rPr>
          <w:sz w:val="22"/>
          <w:szCs w:val="20"/>
          <w:lang w:val="es-CL"/>
        </w:rPr>
        <w:t xml:space="preserve"> y </w:t>
      </w:r>
      <w:r w:rsidR="009B0CCD" w:rsidRPr="00672AFA">
        <w:rPr>
          <w:sz w:val="22"/>
          <w:szCs w:val="20"/>
          <w:lang w:val="es-CL"/>
        </w:rPr>
        <w:t xml:space="preserve">las y </w:t>
      </w:r>
      <w:r w:rsidRPr="00672AFA">
        <w:rPr>
          <w:sz w:val="22"/>
          <w:szCs w:val="20"/>
          <w:lang w:val="es-CL"/>
        </w:rPr>
        <w:t>los periodistas de investigación que se dedican a abordar cuestiones medioambientales, incluido el cambio climático.</w:t>
      </w:r>
    </w:p>
    <w:p w14:paraId="6B8E86AC" w14:textId="41B21511" w:rsidR="00F9717B" w:rsidRPr="00672AFA" w:rsidRDefault="00DE5D89" w:rsidP="00A67011">
      <w:pPr>
        <w:jc w:val="both"/>
        <w:rPr>
          <w:rFonts w:eastAsia="Arial Unicode MS"/>
          <w:sz w:val="22"/>
          <w:szCs w:val="22"/>
          <w:lang w:val="es-CL"/>
        </w:rPr>
      </w:pPr>
      <w:r w:rsidRPr="00672AFA">
        <w:rPr>
          <w:rFonts w:eastAsia="Arial Unicode MS"/>
          <w:sz w:val="22"/>
          <w:szCs w:val="22"/>
          <w:lang w:val="es-CL"/>
        </w:rPr>
        <w:t xml:space="preserve">Otro de los objetivos de la Hoja de Ruta es apoyar a </w:t>
      </w:r>
      <w:r w:rsidR="00F74FB0" w:rsidRPr="00672AFA">
        <w:rPr>
          <w:rFonts w:eastAsia="Arial Unicode MS"/>
          <w:sz w:val="22"/>
          <w:szCs w:val="22"/>
          <w:lang w:val="es-CL"/>
        </w:rPr>
        <w:t xml:space="preserve">las y </w:t>
      </w:r>
      <w:r w:rsidRPr="00672AFA">
        <w:rPr>
          <w:rFonts w:eastAsia="Arial Unicode MS"/>
          <w:sz w:val="22"/>
          <w:szCs w:val="22"/>
          <w:lang w:val="es-CL"/>
        </w:rPr>
        <w:t xml:space="preserve">los periodistas medioambientales </w:t>
      </w:r>
      <w:r w:rsidR="001546EB" w:rsidRPr="00672AFA">
        <w:rPr>
          <w:rFonts w:eastAsia="Arial Unicode MS"/>
          <w:sz w:val="22"/>
          <w:szCs w:val="22"/>
          <w:lang w:val="es-CL"/>
        </w:rPr>
        <w:t>a través del financiamiento</w:t>
      </w:r>
      <w:r w:rsidRPr="00672AFA">
        <w:rPr>
          <w:rFonts w:eastAsia="Arial Unicode MS"/>
          <w:sz w:val="22"/>
          <w:szCs w:val="22"/>
          <w:lang w:val="es-CL"/>
        </w:rPr>
        <w:t xml:space="preserve"> del periodismo de investigación </w:t>
      </w:r>
      <w:r w:rsidR="001546EB" w:rsidRPr="00672AFA">
        <w:rPr>
          <w:rFonts w:eastAsia="Arial Unicode MS"/>
          <w:sz w:val="22"/>
          <w:szCs w:val="22"/>
          <w:lang w:val="es-CL"/>
        </w:rPr>
        <w:t>enfocado</w:t>
      </w:r>
      <w:r w:rsidRPr="00672AFA">
        <w:rPr>
          <w:rFonts w:eastAsia="Arial Unicode MS"/>
          <w:sz w:val="22"/>
          <w:szCs w:val="22"/>
          <w:lang w:val="es-CL"/>
        </w:rPr>
        <w:t xml:space="preserve"> en los delitos cometidos </w:t>
      </w:r>
      <w:r w:rsidR="001546EB" w:rsidRPr="00672AFA">
        <w:rPr>
          <w:rFonts w:eastAsia="Arial Unicode MS"/>
          <w:sz w:val="22"/>
          <w:szCs w:val="22"/>
          <w:lang w:val="es-CL"/>
        </w:rPr>
        <w:t xml:space="preserve">en contra de ellas y </w:t>
      </w:r>
      <w:r w:rsidRPr="00672AFA">
        <w:rPr>
          <w:rFonts w:eastAsia="Arial Unicode MS"/>
          <w:sz w:val="22"/>
          <w:szCs w:val="22"/>
          <w:lang w:val="es-CL"/>
        </w:rPr>
        <w:t xml:space="preserve">ellos, y </w:t>
      </w:r>
      <w:r w:rsidR="00657EF7" w:rsidRPr="00672AFA">
        <w:rPr>
          <w:rFonts w:eastAsia="Arial Unicode MS"/>
          <w:sz w:val="22"/>
          <w:szCs w:val="22"/>
          <w:lang w:val="es-CL"/>
        </w:rPr>
        <w:t>fortalecer</w:t>
      </w:r>
      <w:r w:rsidRPr="00672AFA">
        <w:rPr>
          <w:rFonts w:eastAsia="Arial Unicode MS"/>
          <w:sz w:val="22"/>
          <w:szCs w:val="22"/>
          <w:lang w:val="es-CL"/>
        </w:rPr>
        <w:t xml:space="preserve"> la </w:t>
      </w:r>
      <w:r w:rsidR="001546EB" w:rsidRPr="00672AFA">
        <w:rPr>
          <w:rFonts w:eastAsia="Arial Unicode MS"/>
          <w:sz w:val="22"/>
          <w:szCs w:val="22"/>
          <w:lang w:val="es-CL"/>
        </w:rPr>
        <w:t xml:space="preserve">ejecución </w:t>
      </w:r>
      <w:r w:rsidRPr="00672AFA">
        <w:rPr>
          <w:rFonts w:eastAsia="Arial Unicode MS"/>
          <w:sz w:val="22"/>
          <w:szCs w:val="22"/>
          <w:lang w:val="es-CL"/>
        </w:rPr>
        <w:t xml:space="preserve">del Plan de Acción de la ONU </w:t>
      </w:r>
      <w:r w:rsidR="00A67011" w:rsidRPr="00672AFA">
        <w:rPr>
          <w:rFonts w:eastAsia="Arial Unicode MS"/>
          <w:sz w:val="22"/>
          <w:szCs w:val="22"/>
          <w:lang w:val="es-CL"/>
        </w:rPr>
        <w:t>a través del abordaje de aquellos a</w:t>
      </w:r>
      <w:r w:rsidRPr="00672AFA">
        <w:rPr>
          <w:rFonts w:eastAsia="Arial Unicode MS"/>
          <w:sz w:val="22"/>
          <w:szCs w:val="22"/>
          <w:lang w:val="es-CL"/>
        </w:rPr>
        <w:t xml:space="preserve">spectos específicos de la violencia contra </w:t>
      </w:r>
      <w:r w:rsidR="00A67011" w:rsidRPr="00672AFA">
        <w:rPr>
          <w:rFonts w:eastAsia="Arial Unicode MS"/>
          <w:sz w:val="22"/>
          <w:szCs w:val="22"/>
          <w:lang w:val="es-CL"/>
        </w:rPr>
        <w:t xml:space="preserve">las y </w:t>
      </w:r>
      <w:r w:rsidRPr="00672AFA">
        <w:rPr>
          <w:rFonts w:eastAsia="Arial Unicode MS"/>
          <w:sz w:val="22"/>
          <w:szCs w:val="22"/>
          <w:lang w:val="es-CL"/>
        </w:rPr>
        <w:t>los periodistas y los medios de comunicación que informan sobre cuestiones medioambientales.</w:t>
      </w:r>
    </w:p>
    <w:p w14:paraId="787C6BAD" w14:textId="266D6D23" w:rsidR="00BC1DBD" w:rsidRPr="00672AFA" w:rsidRDefault="00BC1DBD" w:rsidP="00F94C7D">
      <w:pPr>
        <w:jc w:val="both"/>
        <w:rPr>
          <w:b/>
          <w:bCs/>
          <w:sz w:val="22"/>
          <w:szCs w:val="20"/>
          <w:lang w:val="es-CL"/>
        </w:rPr>
      </w:pPr>
      <w:r w:rsidRPr="00672AFA">
        <w:rPr>
          <w:b/>
          <w:bCs/>
          <w:sz w:val="22"/>
          <w:szCs w:val="20"/>
          <w:lang w:val="es-CL"/>
        </w:rPr>
        <w:t>El objetivo de esta Convocatoria Temática de Propuestas es proporcionar apoyo financiero a proyectos de alcance local, regional y mundial que, de conformidad con las normas internacionales, contribuyan a defender el periodismo medioambiental</w:t>
      </w:r>
      <w:r w:rsidR="00EF1201" w:rsidRPr="00672AFA">
        <w:rPr>
          <w:b/>
          <w:bCs/>
          <w:sz w:val="22"/>
          <w:szCs w:val="20"/>
          <w:lang w:val="es-CL"/>
        </w:rPr>
        <w:t>, ya sea</w:t>
      </w:r>
      <w:r w:rsidR="00394EE4" w:rsidRPr="00672AFA">
        <w:rPr>
          <w:b/>
          <w:bCs/>
          <w:sz w:val="22"/>
          <w:szCs w:val="20"/>
          <w:lang w:val="es-CL"/>
        </w:rPr>
        <w:t xml:space="preserve"> fortaleciendo </w:t>
      </w:r>
      <w:r w:rsidRPr="00672AFA">
        <w:rPr>
          <w:b/>
          <w:bCs/>
          <w:sz w:val="22"/>
          <w:szCs w:val="20"/>
          <w:lang w:val="es-CL"/>
        </w:rPr>
        <w:t xml:space="preserve">la protección jurídica de </w:t>
      </w:r>
      <w:r w:rsidR="00EF1201" w:rsidRPr="00672AFA">
        <w:rPr>
          <w:b/>
          <w:bCs/>
          <w:sz w:val="22"/>
          <w:szCs w:val="20"/>
          <w:lang w:val="es-CL"/>
        </w:rPr>
        <w:t xml:space="preserve">las y </w:t>
      </w:r>
      <w:r w:rsidRPr="00672AFA">
        <w:rPr>
          <w:b/>
          <w:bCs/>
          <w:sz w:val="22"/>
          <w:szCs w:val="20"/>
          <w:lang w:val="es-CL"/>
        </w:rPr>
        <w:t xml:space="preserve">los periodistas medioambientales y/o reduciendo la impunidad relacionada con los casos de violencia, amenazas y ataques contra </w:t>
      </w:r>
      <w:r w:rsidR="00EF1201" w:rsidRPr="00672AFA">
        <w:rPr>
          <w:b/>
          <w:bCs/>
          <w:sz w:val="22"/>
          <w:szCs w:val="20"/>
          <w:lang w:val="es-CL"/>
        </w:rPr>
        <w:t xml:space="preserve">ellas y </w:t>
      </w:r>
      <w:r w:rsidRPr="00672AFA">
        <w:rPr>
          <w:b/>
          <w:bCs/>
          <w:sz w:val="22"/>
          <w:szCs w:val="20"/>
          <w:lang w:val="es-CL"/>
        </w:rPr>
        <w:t>ellos</w:t>
      </w:r>
      <w:r w:rsidR="00613AB1" w:rsidRPr="00672AFA">
        <w:rPr>
          <w:b/>
          <w:bCs/>
          <w:sz w:val="22"/>
          <w:szCs w:val="20"/>
          <w:lang w:val="es-CL"/>
        </w:rPr>
        <w:t xml:space="preserve">, </w:t>
      </w:r>
      <w:r w:rsidR="001955ED" w:rsidRPr="00672AFA">
        <w:rPr>
          <w:b/>
          <w:bCs/>
          <w:sz w:val="22"/>
          <w:szCs w:val="20"/>
          <w:lang w:val="es-CL"/>
        </w:rPr>
        <w:t xml:space="preserve">contribuyendo así al avance </w:t>
      </w:r>
      <w:r w:rsidR="001955ED" w:rsidRPr="00672AFA">
        <w:rPr>
          <w:b/>
          <w:bCs/>
          <w:sz w:val="22"/>
          <w:szCs w:val="20"/>
          <w:u w:val="single"/>
          <w:lang w:val="es-CL"/>
        </w:rPr>
        <w:t xml:space="preserve">de </w:t>
      </w:r>
      <w:r w:rsidRPr="00672AFA">
        <w:rPr>
          <w:b/>
          <w:bCs/>
          <w:sz w:val="22"/>
          <w:szCs w:val="20"/>
          <w:u w:val="single"/>
          <w:lang w:val="es-CL"/>
        </w:rPr>
        <w:t>al menos uno</w:t>
      </w:r>
      <w:r w:rsidRPr="00672AFA">
        <w:rPr>
          <w:b/>
          <w:bCs/>
          <w:sz w:val="22"/>
          <w:szCs w:val="20"/>
          <w:lang w:val="es-CL"/>
        </w:rPr>
        <w:t xml:space="preserve"> de los siguientes resultados del GMDF:</w:t>
      </w:r>
    </w:p>
    <w:p w14:paraId="62F8696B" w14:textId="2EFB5F12" w:rsidR="00104C6F" w:rsidRPr="00672AFA" w:rsidRDefault="00437167" w:rsidP="00104C6F">
      <w:pPr>
        <w:pStyle w:val="FCsubtitle"/>
        <w:rPr>
          <w:b/>
          <w:bCs/>
          <w:sz w:val="22"/>
          <w:szCs w:val="22"/>
          <w:lang w:val="es-CL"/>
        </w:rPr>
      </w:pPr>
      <w:r w:rsidRPr="00672AFA">
        <w:rPr>
          <w:b/>
          <w:bCs/>
          <w:sz w:val="22"/>
          <w:szCs w:val="22"/>
          <w:lang w:val="es-CL"/>
        </w:rPr>
        <w:t>RESULTADO 2</w:t>
      </w:r>
    </w:p>
    <w:p w14:paraId="2C715EC5" w14:textId="73E397A2" w:rsidR="00590D0E" w:rsidRPr="00672AFA" w:rsidRDefault="00590D0E" w:rsidP="00104C6F">
      <w:pPr>
        <w:jc w:val="both"/>
        <w:rPr>
          <w:sz w:val="22"/>
          <w:szCs w:val="22"/>
          <w:lang w:val="es-CL"/>
        </w:rPr>
      </w:pPr>
      <w:r w:rsidRPr="00672AFA">
        <w:rPr>
          <w:sz w:val="22"/>
          <w:szCs w:val="22"/>
          <w:lang w:val="es-CL"/>
        </w:rPr>
        <w:t xml:space="preserve">En el marco del Resultado 2, el GMDF apoya proyectos destinados a garantizar el rápido acceso de los y las periodistas a la asistencia jurídica, </w:t>
      </w:r>
      <w:r w:rsidR="00C97916" w:rsidRPr="00672AFA">
        <w:rPr>
          <w:sz w:val="22"/>
          <w:szCs w:val="22"/>
          <w:lang w:val="es-CL"/>
        </w:rPr>
        <w:t xml:space="preserve">a </w:t>
      </w:r>
      <w:r w:rsidRPr="00672AFA">
        <w:rPr>
          <w:sz w:val="22"/>
          <w:szCs w:val="22"/>
          <w:lang w:val="es-CL"/>
        </w:rPr>
        <w:t xml:space="preserve">fortalecer su defensa </w:t>
      </w:r>
      <w:r w:rsidR="00E644FB" w:rsidRPr="00672AFA">
        <w:rPr>
          <w:sz w:val="22"/>
          <w:szCs w:val="22"/>
          <w:lang w:val="es-CL"/>
        </w:rPr>
        <w:t>y a</w:t>
      </w:r>
      <w:r w:rsidRPr="00672AFA">
        <w:rPr>
          <w:sz w:val="22"/>
          <w:szCs w:val="22"/>
          <w:lang w:val="es-CL"/>
        </w:rPr>
        <w:t xml:space="preserve"> incrementar su seguridad</w:t>
      </w:r>
      <w:r w:rsidR="00E644FB" w:rsidRPr="00672AFA">
        <w:rPr>
          <w:sz w:val="22"/>
          <w:szCs w:val="22"/>
          <w:lang w:val="es-CL"/>
        </w:rPr>
        <w:t>.</w:t>
      </w:r>
    </w:p>
    <w:p w14:paraId="2DB20070" w14:textId="0012A287" w:rsidR="00E644FB" w:rsidRPr="00672AFA" w:rsidRDefault="00290253" w:rsidP="00104C6F">
      <w:pPr>
        <w:jc w:val="both"/>
        <w:rPr>
          <w:sz w:val="22"/>
          <w:szCs w:val="22"/>
          <w:lang w:val="es-CL"/>
        </w:rPr>
      </w:pPr>
      <w:r w:rsidRPr="00672AFA">
        <w:rPr>
          <w:sz w:val="22"/>
          <w:szCs w:val="22"/>
          <w:lang w:val="es-CL"/>
        </w:rPr>
        <w:t>Los proyectos que contribuyen a promover el Resultado 2 pueden considerar diferentes actividades, incluyendo (entre otras):</w:t>
      </w:r>
    </w:p>
    <w:p w14:paraId="40C78F9B" w14:textId="7E9D605C" w:rsidR="00F0013E" w:rsidRPr="00672AFA" w:rsidRDefault="00F0013E" w:rsidP="00104C6F">
      <w:pPr>
        <w:pStyle w:val="ListParagraph"/>
        <w:numPr>
          <w:ilvl w:val="0"/>
          <w:numId w:val="4"/>
        </w:numPr>
        <w:spacing w:line="259" w:lineRule="auto"/>
        <w:jc w:val="both"/>
        <w:rPr>
          <w:sz w:val="22"/>
          <w:szCs w:val="22"/>
          <w:lang w:val="es-CL"/>
        </w:rPr>
      </w:pPr>
      <w:r w:rsidRPr="00672AFA">
        <w:rPr>
          <w:sz w:val="22"/>
          <w:szCs w:val="22"/>
          <w:lang w:val="es-CL"/>
        </w:rPr>
        <w:t xml:space="preserve">El establecimiento, puesta en marcha, y/o fortalecimiento de mecanismos (unidades jurídicas, equipos de protección jurídica, líneas de ayuda jurídica, plataformas de asistencia digital) que proporcionen una asistencia jurídica rápida, especializada y con perspectiva de género (incluido el asesoramiento jurídico, la representación legal, etc.) a periodistas y/o medios de comunicación enfrentados a ataques, amenazas, restricciones </w:t>
      </w:r>
      <w:r w:rsidRPr="00672AFA">
        <w:rPr>
          <w:sz w:val="22"/>
          <w:szCs w:val="22"/>
          <w:lang w:val="es-CL"/>
        </w:rPr>
        <w:lastRenderedPageBreak/>
        <w:t>excesivas o indebidas, y/o procedimientos judiciales relacionados con el reporteo de cuestiones medioambientales;</w:t>
      </w:r>
    </w:p>
    <w:p w14:paraId="48F6D1FB" w14:textId="45A39BF1" w:rsidR="001F6D42" w:rsidRPr="00672AFA" w:rsidRDefault="00C622B9" w:rsidP="00104C6F">
      <w:pPr>
        <w:pStyle w:val="ListParagraph"/>
        <w:numPr>
          <w:ilvl w:val="0"/>
          <w:numId w:val="4"/>
        </w:numPr>
        <w:spacing w:line="259" w:lineRule="auto"/>
        <w:jc w:val="both"/>
        <w:rPr>
          <w:sz w:val="22"/>
          <w:szCs w:val="22"/>
          <w:lang w:val="es-CL"/>
        </w:rPr>
      </w:pPr>
      <w:r w:rsidRPr="00672AFA">
        <w:rPr>
          <w:sz w:val="22"/>
          <w:szCs w:val="22"/>
          <w:lang w:val="es-CL"/>
        </w:rPr>
        <w:t xml:space="preserve">El fomento </w:t>
      </w:r>
      <w:r w:rsidR="001F6D42" w:rsidRPr="00672AFA">
        <w:rPr>
          <w:sz w:val="22"/>
          <w:szCs w:val="22"/>
          <w:lang w:val="es-CL"/>
        </w:rPr>
        <w:t>a la creación, el establecimiento y puesta en marcha de redes sostenibles de abogados de medios, organizaciones de asistencia jurídica u otras iniciativas destinadas a mejorar el acceso de las y los periodistas medioambientales a la asistencia jurídica especializada;</w:t>
      </w:r>
    </w:p>
    <w:p w14:paraId="77ED9DF6" w14:textId="49D121E3" w:rsidR="00F0013E" w:rsidRPr="00672AFA" w:rsidRDefault="00585CA4" w:rsidP="00104C6F">
      <w:pPr>
        <w:pStyle w:val="ListParagraph"/>
        <w:numPr>
          <w:ilvl w:val="0"/>
          <w:numId w:val="4"/>
        </w:numPr>
        <w:spacing w:line="259" w:lineRule="auto"/>
        <w:jc w:val="both"/>
        <w:rPr>
          <w:sz w:val="22"/>
          <w:szCs w:val="22"/>
          <w:lang w:val="es-CL"/>
        </w:rPr>
      </w:pPr>
      <w:r w:rsidRPr="00672AFA">
        <w:rPr>
          <w:sz w:val="22"/>
          <w:szCs w:val="22"/>
          <w:lang w:val="es-CL"/>
        </w:rPr>
        <w:t>La facilitación del acceso de los y las periodistas</w:t>
      </w:r>
      <w:r w:rsidR="003E57B7" w:rsidRPr="00672AFA">
        <w:rPr>
          <w:sz w:val="22"/>
          <w:szCs w:val="22"/>
          <w:lang w:val="es-CL"/>
        </w:rPr>
        <w:t xml:space="preserve"> medioambientales</w:t>
      </w:r>
      <w:r w:rsidRPr="00672AFA">
        <w:rPr>
          <w:sz w:val="22"/>
          <w:szCs w:val="22"/>
          <w:lang w:val="es-CL"/>
        </w:rPr>
        <w:t xml:space="preserve"> a información verificada y práctica para fortalecer su protección jurídica, teniendo en cuenta la </w:t>
      </w:r>
      <w:r w:rsidR="00552CB3" w:rsidRPr="00672AFA">
        <w:rPr>
          <w:sz w:val="22"/>
          <w:szCs w:val="22"/>
          <w:lang w:val="es-CL"/>
        </w:rPr>
        <w:t>dimensión de género</w:t>
      </w:r>
      <w:r w:rsidRPr="00672AFA">
        <w:rPr>
          <w:sz w:val="22"/>
          <w:szCs w:val="22"/>
          <w:lang w:val="es-CL"/>
        </w:rPr>
        <w:t xml:space="preserve"> </w:t>
      </w:r>
      <w:r w:rsidR="00552CB3" w:rsidRPr="00672AFA">
        <w:rPr>
          <w:sz w:val="22"/>
          <w:szCs w:val="22"/>
          <w:lang w:val="es-CL"/>
        </w:rPr>
        <w:t>d</w:t>
      </w:r>
      <w:r w:rsidR="003E4DA6" w:rsidRPr="00672AFA">
        <w:rPr>
          <w:sz w:val="22"/>
          <w:szCs w:val="22"/>
          <w:lang w:val="es-CL"/>
        </w:rPr>
        <w:t>e</w:t>
      </w:r>
      <w:r w:rsidRPr="00672AFA">
        <w:rPr>
          <w:sz w:val="22"/>
          <w:szCs w:val="22"/>
          <w:lang w:val="es-CL"/>
        </w:rPr>
        <w:t xml:space="preserve"> las amenazas/ataques contra </w:t>
      </w:r>
      <w:r w:rsidR="003E4DA6" w:rsidRPr="00672AFA">
        <w:rPr>
          <w:sz w:val="22"/>
          <w:szCs w:val="22"/>
          <w:lang w:val="es-CL"/>
        </w:rPr>
        <w:t xml:space="preserve">ellas y </w:t>
      </w:r>
      <w:r w:rsidRPr="00672AFA">
        <w:rPr>
          <w:sz w:val="22"/>
          <w:szCs w:val="22"/>
          <w:lang w:val="es-CL"/>
        </w:rPr>
        <w:t>ellos, las particularidades del marco jurídico y del entorno mediático local</w:t>
      </w:r>
      <w:r w:rsidR="009060E4" w:rsidRPr="00672AFA">
        <w:rPr>
          <w:sz w:val="22"/>
          <w:szCs w:val="22"/>
          <w:lang w:val="es-CL"/>
        </w:rPr>
        <w:t>, y los riesgos y retos específicos a los que se enfrentan debido a la naturaleza</w:t>
      </w:r>
      <w:r w:rsidR="00DF0A16" w:rsidRPr="00672AFA">
        <w:rPr>
          <w:sz w:val="22"/>
          <w:szCs w:val="22"/>
          <w:lang w:val="es-CL"/>
        </w:rPr>
        <w:t xml:space="preserve"> compleja</w:t>
      </w:r>
      <w:r w:rsidR="009060E4" w:rsidRPr="00672AFA">
        <w:rPr>
          <w:sz w:val="22"/>
          <w:szCs w:val="22"/>
          <w:lang w:val="es-CL"/>
        </w:rPr>
        <w:t xml:space="preserve"> de su trabajo;</w:t>
      </w:r>
    </w:p>
    <w:p w14:paraId="53C91C99" w14:textId="7F6D801C" w:rsidR="008B1263" w:rsidRPr="00672AFA" w:rsidRDefault="008B1263" w:rsidP="00104C6F">
      <w:pPr>
        <w:pStyle w:val="ListParagraph"/>
        <w:numPr>
          <w:ilvl w:val="0"/>
          <w:numId w:val="4"/>
        </w:numPr>
        <w:spacing w:line="259" w:lineRule="auto"/>
        <w:jc w:val="both"/>
        <w:rPr>
          <w:sz w:val="22"/>
          <w:szCs w:val="22"/>
          <w:lang w:val="es-CL"/>
        </w:rPr>
      </w:pPr>
      <w:r w:rsidRPr="00672AFA">
        <w:rPr>
          <w:sz w:val="22"/>
          <w:szCs w:val="22"/>
          <w:lang w:val="es-CL"/>
        </w:rPr>
        <w:t>El establecimiento y la puesta en marcha de</w:t>
      </w:r>
      <w:r w:rsidR="00851AF9" w:rsidRPr="00672AFA">
        <w:rPr>
          <w:sz w:val="22"/>
          <w:szCs w:val="22"/>
          <w:lang w:val="es-CL"/>
        </w:rPr>
        <w:t xml:space="preserve"> mecanismos de alerta temprana para</w:t>
      </w:r>
      <w:r w:rsidRPr="00672AFA">
        <w:rPr>
          <w:sz w:val="22"/>
          <w:szCs w:val="22"/>
          <w:lang w:val="es-CL"/>
        </w:rPr>
        <w:t xml:space="preserve"> identificar a los o las periodistas en necesidad de defensa jurídica</w:t>
      </w:r>
      <w:r w:rsidR="00027ED1" w:rsidRPr="00672AFA">
        <w:rPr>
          <w:sz w:val="22"/>
          <w:szCs w:val="22"/>
          <w:lang w:val="es-CL"/>
        </w:rPr>
        <w:t>,</w:t>
      </w:r>
      <w:r w:rsidRPr="00672AFA">
        <w:rPr>
          <w:sz w:val="22"/>
          <w:szCs w:val="22"/>
          <w:lang w:val="es-CL"/>
        </w:rPr>
        <w:t xml:space="preserve"> y alertar</w:t>
      </w:r>
      <w:r w:rsidR="00027ED1" w:rsidRPr="00672AFA">
        <w:rPr>
          <w:sz w:val="22"/>
          <w:szCs w:val="22"/>
          <w:lang w:val="es-CL"/>
        </w:rPr>
        <w:t xml:space="preserve"> activamente</w:t>
      </w:r>
      <w:r w:rsidRPr="00672AFA">
        <w:rPr>
          <w:sz w:val="22"/>
          <w:szCs w:val="22"/>
          <w:lang w:val="es-CL"/>
        </w:rPr>
        <w:t xml:space="preserve"> a las fuerzas judiciales y de seguridad encargadas de </w:t>
      </w:r>
      <w:r w:rsidR="00027ED1" w:rsidRPr="00672AFA">
        <w:rPr>
          <w:sz w:val="22"/>
          <w:szCs w:val="22"/>
          <w:lang w:val="es-CL"/>
        </w:rPr>
        <w:t>su</w:t>
      </w:r>
      <w:r w:rsidRPr="00672AFA">
        <w:rPr>
          <w:sz w:val="22"/>
          <w:szCs w:val="22"/>
          <w:lang w:val="es-CL"/>
        </w:rPr>
        <w:t xml:space="preserve"> protección</w:t>
      </w:r>
      <w:r w:rsidR="00027ED1" w:rsidRPr="00672AFA">
        <w:rPr>
          <w:sz w:val="22"/>
          <w:szCs w:val="22"/>
          <w:lang w:val="es-CL"/>
        </w:rPr>
        <w:t xml:space="preserve"> sobre las amenazas/ataques contra ellas y ellos;</w:t>
      </w:r>
    </w:p>
    <w:p w14:paraId="376B046F" w14:textId="03C0D3CC" w:rsidR="00027ED1" w:rsidRPr="00672AFA" w:rsidRDefault="006C65E4" w:rsidP="00104C6F">
      <w:pPr>
        <w:pStyle w:val="ListParagraph"/>
        <w:numPr>
          <w:ilvl w:val="0"/>
          <w:numId w:val="4"/>
        </w:numPr>
        <w:spacing w:line="259" w:lineRule="auto"/>
        <w:jc w:val="both"/>
        <w:rPr>
          <w:sz w:val="22"/>
          <w:szCs w:val="22"/>
          <w:lang w:val="es-CL"/>
        </w:rPr>
      </w:pPr>
      <w:r w:rsidRPr="00672AFA">
        <w:rPr>
          <w:sz w:val="22"/>
          <w:szCs w:val="22"/>
          <w:lang w:val="es-CL"/>
        </w:rPr>
        <w:t>El establecimiento, puesta en marcha y coordinación de redes de apoyo entre pares que faciliten el contacto de periodistas medioambientales en necesidad de asistencia jurídica con organizaciones que presten servicios jurídicos a los y las periodistas, de manera de contribuir efectivamente a la protección jurídica de estos/as últimos/as.</w:t>
      </w:r>
    </w:p>
    <w:p w14:paraId="677BBECA" w14:textId="77777777" w:rsidR="00E84E8D" w:rsidRPr="00672AFA" w:rsidRDefault="00E84E8D" w:rsidP="00E84E8D">
      <w:pPr>
        <w:pStyle w:val="ListParagraph"/>
        <w:spacing w:line="259" w:lineRule="auto"/>
        <w:jc w:val="both"/>
        <w:rPr>
          <w:sz w:val="20"/>
          <w:szCs w:val="20"/>
          <w:lang w:val="es-CL"/>
        </w:rPr>
      </w:pPr>
    </w:p>
    <w:p w14:paraId="0EE79D63" w14:textId="347C0BE6" w:rsidR="00E84E8D" w:rsidRPr="00672AFA" w:rsidRDefault="00D822BA" w:rsidP="00E84E8D">
      <w:pPr>
        <w:pStyle w:val="FCsubtitle"/>
        <w:rPr>
          <w:b/>
          <w:bCs/>
          <w:sz w:val="22"/>
          <w:szCs w:val="16"/>
          <w:lang w:val="es-CL"/>
        </w:rPr>
      </w:pPr>
      <w:r w:rsidRPr="00672AFA">
        <w:rPr>
          <w:b/>
          <w:bCs/>
          <w:sz w:val="22"/>
          <w:szCs w:val="16"/>
          <w:lang w:val="es-CL"/>
        </w:rPr>
        <w:t>RESULTADO</w:t>
      </w:r>
      <w:r w:rsidR="00F25C8A" w:rsidRPr="00672AFA">
        <w:rPr>
          <w:b/>
          <w:bCs/>
          <w:sz w:val="22"/>
          <w:szCs w:val="16"/>
          <w:lang w:val="es-CL"/>
        </w:rPr>
        <w:t xml:space="preserve"> 3</w:t>
      </w:r>
    </w:p>
    <w:p w14:paraId="37309372" w14:textId="4227D434" w:rsidR="005A5B42" w:rsidRPr="00672AFA" w:rsidRDefault="005A5B42" w:rsidP="00E84E8D">
      <w:pPr>
        <w:jc w:val="both"/>
        <w:rPr>
          <w:sz w:val="22"/>
          <w:szCs w:val="22"/>
          <w:lang w:val="es-CL"/>
        </w:rPr>
      </w:pPr>
      <w:r w:rsidRPr="00672AFA">
        <w:rPr>
          <w:sz w:val="22"/>
          <w:szCs w:val="22"/>
          <w:lang w:val="es-CL"/>
        </w:rPr>
        <w:t>En el marco del Resultado 3, el Fondo apoya el periodismo de investigación que contribuye a: a) reducir la impunidad de los crímenes contra periodistas medioambientales y b) a incrementar la seguridad de las/los que realizan esta línea de trabajo, contribuyendo a que el sistema judicial rinda cuentas por su labor o continuando un trabajo de investigación que corre el riesgo de ser censurado cuando periodistas son atacados</w:t>
      </w:r>
      <w:r w:rsidR="00AA7BBA" w:rsidRPr="00672AFA">
        <w:rPr>
          <w:sz w:val="22"/>
          <w:szCs w:val="22"/>
          <w:lang w:val="es-CL"/>
        </w:rPr>
        <w:t>/as</w:t>
      </w:r>
      <w:r w:rsidRPr="00672AFA">
        <w:rPr>
          <w:sz w:val="22"/>
          <w:szCs w:val="22"/>
          <w:lang w:val="es-CL"/>
        </w:rPr>
        <w:t>, encarcelados</w:t>
      </w:r>
      <w:r w:rsidR="00AA7BBA" w:rsidRPr="00672AFA">
        <w:rPr>
          <w:sz w:val="22"/>
          <w:szCs w:val="22"/>
          <w:lang w:val="es-CL"/>
        </w:rPr>
        <w:t>/as</w:t>
      </w:r>
      <w:r w:rsidRPr="00672AFA">
        <w:rPr>
          <w:sz w:val="22"/>
          <w:szCs w:val="22"/>
          <w:lang w:val="es-CL"/>
        </w:rPr>
        <w:t xml:space="preserve"> o asesinados</w:t>
      </w:r>
      <w:r w:rsidR="00AA7BBA" w:rsidRPr="00672AFA">
        <w:rPr>
          <w:sz w:val="22"/>
          <w:szCs w:val="22"/>
          <w:lang w:val="es-CL"/>
        </w:rPr>
        <w:t>/as</w:t>
      </w:r>
      <w:r w:rsidRPr="00672AFA">
        <w:rPr>
          <w:sz w:val="22"/>
          <w:szCs w:val="22"/>
          <w:lang w:val="es-CL"/>
        </w:rPr>
        <w:t>.</w:t>
      </w:r>
    </w:p>
    <w:p w14:paraId="097561A5" w14:textId="69C00D19" w:rsidR="005E7894" w:rsidRPr="00672AFA" w:rsidRDefault="005E7894" w:rsidP="005E7894">
      <w:pPr>
        <w:jc w:val="both"/>
        <w:rPr>
          <w:sz w:val="22"/>
          <w:szCs w:val="22"/>
          <w:lang w:val="es-CL"/>
        </w:rPr>
      </w:pPr>
      <w:r w:rsidRPr="00672AFA">
        <w:rPr>
          <w:sz w:val="22"/>
          <w:szCs w:val="22"/>
          <w:lang w:val="es-CL"/>
        </w:rPr>
        <w:t>Los proyectos que contribuyen a promover el Resultado 3 pueden considerar diferentes actividades, incluyendo (entre otras):</w:t>
      </w:r>
    </w:p>
    <w:p w14:paraId="2352230E" w14:textId="46326D7F" w:rsidR="000F72EC" w:rsidRPr="00672AFA" w:rsidRDefault="000F72EC" w:rsidP="00E84E8D">
      <w:pPr>
        <w:pStyle w:val="ListParagraph"/>
        <w:numPr>
          <w:ilvl w:val="0"/>
          <w:numId w:val="6"/>
        </w:numPr>
        <w:spacing w:line="259" w:lineRule="auto"/>
        <w:jc w:val="both"/>
        <w:rPr>
          <w:sz w:val="22"/>
          <w:szCs w:val="22"/>
          <w:lang w:val="es-CL"/>
        </w:rPr>
      </w:pPr>
      <w:r w:rsidRPr="00672AFA">
        <w:rPr>
          <w:sz w:val="22"/>
          <w:szCs w:val="22"/>
          <w:lang w:val="es-CL"/>
        </w:rPr>
        <w:t>Llevar a cabo investigaciones periodísticas en profundidad sobre casos (concretos) de violencia contra periodistas medioambientales</w:t>
      </w:r>
      <w:r w:rsidR="00392C1E" w:rsidRPr="00672AFA">
        <w:rPr>
          <w:sz w:val="22"/>
          <w:szCs w:val="22"/>
          <w:lang w:val="es-CL"/>
        </w:rPr>
        <w:t>,</w:t>
      </w:r>
      <w:r w:rsidRPr="00672AFA">
        <w:rPr>
          <w:sz w:val="22"/>
          <w:szCs w:val="22"/>
          <w:lang w:val="es-CL"/>
        </w:rPr>
        <w:t xml:space="preserve"> con el objeto de garantizar el seguimiento judicial y exigir responsabilidades a los autores y responsables;</w:t>
      </w:r>
    </w:p>
    <w:p w14:paraId="76827295" w14:textId="2D870471" w:rsidR="00433C53" w:rsidRPr="00672AFA" w:rsidRDefault="00433C53" w:rsidP="00E84E8D">
      <w:pPr>
        <w:pStyle w:val="ListParagraph"/>
        <w:numPr>
          <w:ilvl w:val="0"/>
          <w:numId w:val="6"/>
        </w:numPr>
        <w:spacing w:line="259" w:lineRule="auto"/>
        <w:jc w:val="both"/>
        <w:rPr>
          <w:sz w:val="22"/>
          <w:szCs w:val="22"/>
          <w:lang w:val="es-CL"/>
        </w:rPr>
      </w:pPr>
      <w:r w:rsidRPr="00672AFA">
        <w:rPr>
          <w:sz w:val="22"/>
          <w:szCs w:val="22"/>
          <w:lang w:val="es-CL"/>
        </w:rPr>
        <w:t>Continuar el trabajo de investigación que corre el riesgo de ser interrumpido o censurado cuando periodistas medioambientales son atacados/as, asesinados/as, amenazados/as, encarcelados/as arbitrariamente, o cuando se les ha disuadido o impedido de cualquier otra forma que sigan llevándolo a cabo, sacando a la luz estas historias y difundiéndolas ampliamente ("Proyectos Arizona");</w:t>
      </w:r>
    </w:p>
    <w:p w14:paraId="7B5004BD" w14:textId="71CE62EF" w:rsidR="00346667" w:rsidRPr="00672AFA" w:rsidRDefault="00346667" w:rsidP="00E84E8D">
      <w:pPr>
        <w:pStyle w:val="ListParagraph"/>
        <w:numPr>
          <w:ilvl w:val="0"/>
          <w:numId w:val="6"/>
        </w:numPr>
        <w:spacing w:line="259" w:lineRule="auto"/>
        <w:jc w:val="both"/>
        <w:rPr>
          <w:sz w:val="22"/>
          <w:szCs w:val="22"/>
          <w:lang w:val="es-CL"/>
        </w:rPr>
      </w:pPr>
      <w:r w:rsidRPr="00672AFA">
        <w:rPr>
          <w:sz w:val="22"/>
          <w:szCs w:val="22"/>
          <w:lang w:val="es-CL"/>
        </w:rPr>
        <w:t>Crear, poner en marcha y coordinar el trabajo de redes formales o informales de periodistas de investigación o iniciativas destinadas a investigar casos de violencia, amenazas y ataques contra reporteros medioambientales;</w:t>
      </w:r>
    </w:p>
    <w:p w14:paraId="24107A56" w14:textId="7D2D52B8" w:rsidR="00996A9E" w:rsidRPr="00672AFA" w:rsidRDefault="00943DC9" w:rsidP="00A71C4E">
      <w:pPr>
        <w:pStyle w:val="ListParagraph"/>
        <w:numPr>
          <w:ilvl w:val="0"/>
          <w:numId w:val="6"/>
        </w:numPr>
        <w:spacing w:line="259" w:lineRule="auto"/>
        <w:jc w:val="both"/>
        <w:rPr>
          <w:sz w:val="22"/>
          <w:szCs w:val="22"/>
          <w:lang w:val="es-CL"/>
        </w:rPr>
      </w:pPr>
      <w:r w:rsidRPr="00672AFA">
        <w:rPr>
          <w:sz w:val="22"/>
          <w:szCs w:val="22"/>
          <w:lang w:val="es-CL"/>
        </w:rPr>
        <w:t xml:space="preserve">Asegurar el seguimiento, la documentación y la amplia exposición de casos de amenazas y/o agresiones contra periodistas </w:t>
      </w:r>
      <w:r w:rsidR="002F02ED" w:rsidRPr="00672AFA">
        <w:rPr>
          <w:sz w:val="22"/>
          <w:szCs w:val="22"/>
          <w:lang w:val="es-CL"/>
        </w:rPr>
        <w:t xml:space="preserve">medioambientales, creando conciencia alrededor del trabajo de investigación que corre el riesgo </w:t>
      </w:r>
      <w:r w:rsidR="002B1521" w:rsidRPr="00672AFA">
        <w:rPr>
          <w:sz w:val="22"/>
          <w:szCs w:val="22"/>
          <w:lang w:val="es-CL"/>
        </w:rPr>
        <w:t xml:space="preserve">de ser interrumpido o censurado como consecuencia de ello, y contribuyendo activamente a garantizar tanto el seguimiento judicial como la rendición de cuentas en estos casos. </w:t>
      </w:r>
    </w:p>
    <w:p w14:paraId="76E3B99C" w14:textId="77DC4812" w:rsidR="00996A9E" w:rsidRPr="00672AFA" w:rsidRDefault="005567F1" w:rsidP="00996A9E">
      <w:pPr>
        <w:pStyle w:val="FCsubtitle"/>
        <w:rPr>
          <w:b/>
          <w:bCs/>
          <w:sz w:val="22"/>
          <w:szCs w:val="16"/>
          <w:lang w:val="es-CL"/>
        </w:rPr>
      </w:pPr>
      <w:r w:rsidRPr="00672AFA">
        <w:rPr>
          <w:b/>
          <w:bCs/>
          <w:sz w:val="22"/>
          <w:szCs w:val="16"/>
          <w:lang w:val="es-CL"/>
        </w:rPr>
        <w:lastRenderedPageBreak/>
        <w:t>RESULTADO 4</w:t>
      </w:r>
    </w:p>
    <w:p w14:paraId="0D8F1020" w14:textId="4D7421D1" w:rsidR="00C543ED" w:rsidRPr="00672AFA" w:rsidRDefault="00C543ED" w:rsidP="00996A9E">
      <w:pPr>
        <w:jc w:val="both"/>
        <w:rPr>
          <w:sz w:val="22"/>
          <w:szCs w:val="22"/>
          <w:lang w:val="es-CL"/>
        </w:rPr>
      </w:pPr>
      <w:r w:rsidRPr="00672AFA">
        <w:rPr>
          <w:sz w:val="22"/>
          <w:szCs w:val="22"/>
          <w:lang w:val="es-CL"/>
        </w:rPr>
        <w:t>En el marco del Resultado 4, el GMDF apoya el litigio estratégico para mejorar la protección jurídica de las y los periodistas medioambientales.</w:t>
      </w:r>
    </w:p>
    <w:p w14:paraId="3DD59B6D" w14:textId="2D569231" w:rsidR="00810780" w:rsidRPr="00672AFA" w:rsidRDefault="00810780" w:rsidP="00996A9E">
      <w:pPr>
        <w:jc w:val="both"/>
        <w:rPr>
          <w:sz w:val="22"/>
          <w:szCs w:val="22"/>
          <w:lang w:val="es-CL"/>
        </w:rPr>
      </w:pPr>
      <w:r w:rsidRPr="00672AFA">
        <w:rPr>
          <w:sz w:val="22"/>
          <w:szCs w:val="22"/>
          <w:lang w:val="es-CL"/>
        </w:rPr>
        <w:t xml:space="preserve">El litigio estratégico consiste en identificar y emprender procedimientos legales en casos con un potencial estratégico significativo ante tribunales nacionales, regionales y/o internacionales, </w:t>
      </w:r>
      <w:r w:rsidR="00877E54" w:rsidRPr="00672AFA">
        <w:rPr>
          <w:sz w:val="22"/>
          <w:szCs w:val="22"/>
          <w:lang w:val="es-CL"/>
        </w:rPr>
        <w:t xml:space="preserve">de conformidad con las normas internacionales de derechos humanos, </w:t>
      </w:r>
      <w:r w:rsidRPr="00672AFA">
        <w:rPr>
          <w:sz w:val="22"/>
          <w:szCs w:val="22"/>
          <w:lang w:val="es-CL"/>
        </w:rPr>
        <w:t xml:space="preserve">como parte de una estrategia para </w:t>
      </w:r>
      <w:r w:rsidR="00BD6F6A" w:rsidRPr="00672AFA">
        <w:rPr>
          <w:sz w:val="22"/>
          <w:szCs w:val="22"/>
          <w:lang w:val="es-CL"/>
        </w:rPr>
        <w:t>fortalecer la protección jurídica de las y los periodistas medioambientales</w:t>
      </w:r>
      <w:r w:rsidRPr="00672AFA">
        <w:rPr>
          <w:sz w:val="22"/>
          <w:szCs w:val="22"/>
          <w:lang w:val="es-CL"/>
        </w:rPr>
        <w:t>. Consiste en seleccionar y llevar un caso ante un tribunal con el objetivo de provocar un cambio más amplio y sistémico, con un impacto más allá del caso individual</w:t>
      </w:r>
      <w:r w:rsidR="00BD6F6A" w:rsidRPr="00672AFA">
        <w:rPr>
          <w:sz w:val="22"/>
          <w:szCs w:val="22"/>
          <w:lang w:val="es-CL"/>
        </w:rPr>
        <w:t xml:space="preserve">, </w:t>
      </w:r>
      <w:r w:rsidR="006B62F4" w:rsidRPr="00672AFA">
        <w:rPr>
          <w:sz w:val="22"/>
          <w:szCs w:val="22"/>
          <w:lang w:val="es-CL"/>
        </w:rPr>
        <w:t xml:space="preserve">con el objeto de contribuir a: </w:t>
      </w:r>
    </w:p>
    <w:p w14:paraId="774F4FCA" w14:textId="449A9923" w:rsidR="006B62F4" w:rsidRPr="00672AFA" w:rsidRDefault="00982174" w:rsidP="00996A9E">
      <w:pPr>
        <w:pStyle w:val="ListParagraph"/>
        <w:numPr>
          <w:ilvl w:val="0"/>
          <w:numId w:val="7"/>
        </w:numPr>
        <w:spacing w:line="259" w:lineRule="auto"/>
        <w:jc w:val="both"/>
        <w:rPr>
          <w:sz w:val="22"/>
          <w:szCs w:val="22"/>
          <w:lang w:val="es-CL"/>
        </w:rPr>
      </w:pPr>
      <w:r w:rsidRPr="00672AFA">
        <w:rPr>
          <w:sz w:val="22"/>
          <w:szCs w:val="22"/>
          <w:lang w:val="es-CL"/>
        </w:rPr>
        <w:t xml:space="preserve">Crear una jurisprudencia progresista mediante el establecimiento de precedentes legales innovadores de cara a desafíos clave y emergentes enfrentados por las y los periodistas medioambientales, </w:t>
      </w:r>
      <w:r w:rsidR="00CA74CF" w:rsidRPr="00672AFA">
        <w:rPr>
          <w:sz w:val="22"/>
          <w:szCs w:val="22"/>
          <w:lang w:val="es-CL"/>
        </w:rPr>
        <w:t>de conformidad con las normas internacionales de derechos humanos;</w:t>
      </w:r>
    </w:p>
    <w:p w14:paraId="3421D84B" w14:textId="58DF9E56" w:rsidR="005A0979" w:rsidRPr="00672AFA" w:rsidRDefault="005A0979" w:rsidP="00996A9E">
      <w:pPr>
        <w:pStyle w:val="ListParagraph"/>
        <w:numPr>
          <w:ilvl w:val="0"/>
          <w:numId w:val="7"/>
        </w:numPr>
        <w:spacing w:line="259" w:lineRule="auto"/>
        <w:jc w:val="both"/>
        <w:rPr>
          <w:sz w:val="22"/>
          <w:szCs w:val="22"/>
          <w:lang w:val="es-CL"/>
        </w:rPr>
      </w:pPr>
      <w:r w:rsidRPr="00672AFA">
        <w:rPr>
          <w:sz w:val="22"/>
          <w:szCs w:val="22"/>
          <w:lang w:val="es-CL"/>
        </w:rPr>
        <w:t>Garantizar que la legislación nacional y las normas internacionales de derechos humanos sobre la libertad de expresión y la seguridad de los y las periodistas</w:t>
      </w:r>
      <w:r w:rsidR="00EF168B" w:rsidRPr="00672AFA">
        <w:rPr>
          <w:sz w:val="22"/>
          <w:szCs w:val="22"/>
          <w:lang w:val="es-CL"/>
        </w:rPr>
        <w:t xml:space="preserve"> medioambientales</w:t>
      </w:r>
      <w:r w:rsidRPr="00672AFA">
        <w:rPr>
          <w:sz w:val="22"/>
          <w:szCs w:val="22"/>
          <w:lang w:val="es-CL"/>
        </w:rPr>
        <w:t xml:space="preserve"> se interpreten y apliquen correctamente</w:t>
      </w:r>
      <w:r w:rsidR="00EF168B" w:rsidRPr="00672AFA">
        <w:rPr>
          <w:sz w:val="22"/>
          <w:szCs w:val="22"/>
          <w:lang w:val="es-CL"/>
        </w:rPr>
        <w:t>;</w:t>
      </w:r>
    </w:p>
    <w:p w14:paraId="2949275C" w14:textId="3BF306E5" w:rsidR="007D6381" w:rsidRPr="00672AFA" w:rsidRDefault="007D6381" w:rsidP="00996A9E">
      <w:pPr>
        <w:pStyle w:val="ListParagraph"/>
        <w:numPr>
          <w:ilvl w:val="0"/>
          <w:numId w:val="7"/>
        </w:numPr>
        <w:spacing w:line="259" w:lineRule="auto"/>
        <w:jc w:val="both"/>
        <w:rPr>
          <w:sz w:val="22"/>
          <w:szCs w:val="22"/>
          <w:lang w:val="es-CL"/>
        </w:rPr>
      </w:pPr>
      <w:r w:rsidRPr="00672AFA">
        <w:rPr>
          <w:sz w:val="22"/>
          <w:szCs w:val="22"/>
          <w:lang w:val="es-CL"/>
        </w:rPr>
        <w:t>Impulsar o promover reformas en la legislación, las políticas y las prácticas institucionales nacionales y regionales, en conformidad con los estándares internacionales en materia de derechos humanos</w:t>
      </w:r>
      <w:r w:rsidR="000E7985" w:rsidRPr="00672AFA">
        <w:rPr>
          <w:sz w:val="22"/>
          <w:szCs w:val="22"/>
          <w:lang w:val="es-CL"/>
        </w:rPr>
        <w:t xml:space="preserve">, </w:t>
      </w:r>
      <w:r w:rsidR="00422163" w:rsidRPr="00672AFA">
        <w:rPr>
          <w:sz w:val="22"/>
          <w:szCs w:val="22"/>
          <w:lang w:val="es-CL"/>
        </w:rPr>
        <w:t>que puedan contribuir a mejorar la protección de las y los periodistas medioambientales;</w:t>
      </w:r>
    </w:p>
    <w:p w14:paraId="08976FA5" w14:textId="4AAF242B" w:rsidR="00530C11" w:rsidRPr="00672AFA" w:rsidRDefault="004B6D31" w:rsidP="00556BE2">
      <w:pPr>
        <w:pStyle w:val="ListParagraph"/>
        <w:numPr>
          <w:ilvl w:val="0"/>
          <w:numId w:val="7"/>
        </w:numPr>
        <w:spacing w:line="259" w:lineRule="auto"/>
        <w:jc w:val="both"/>
        <w:rPr>
          <w:sz w:val="22"/>
          <w:szCs w:val="22"/>
          <w:lang w:val="es-CL"/>
        </w:rPr>
      </w:pPr>
      <w:r w:rsidRPr="00672AFA">
        <w:rPr>
          <w:sz w:val="22"/>
          <w:szCs w:val="22"/>
          <w:lang w:val="es-CL"/>
        </w:rPr>
        <w:t xml:space="preserve">Buscar medidas de reparación y resarcimiento en casos relacionados con periodistas y/o medios de comunicación víctimas de amenazas, agresiones, restricciones o presiones </w:t>
      </w:r>
      <w:proofErr w:type="gramStart"/>
      <w:r w:rsidRPr="00672AFA">
        <w:rPr>
          <w:sz w:val="22"/>
          <w:szCs w:val="22"/>
          <w:lang w:val="es-CL"/>
        </w:rPr>
        <w:t>en razón de</w:t>
      </w:r>
      <w:proofErr w:type="gramEnd"/>
      <w:r w:rsidRPr="00672AFA">
        <w:rPr>
          <w:sz w:val="22"/>
          <w:szCs w:val="22"/>
          <w:lang w:val="es-CL"/>
        </w:rPr>
        <w:t xml:space="preserve"> su reporteo de cuestiones medioambientales, de conformidad con las normas internacionales de derechos humanos.</w:t>
      </w:r>
    </w:p>
    <w:p w14:paraId="69F9C1C3" w14:textId="6C7778D9" w:rsidR="00530C11" w:rsidRPr="00672AFA" w:rsidRDefault="00530C11" w:rsidP="00556BE2">
      <w:pPr>
        <w:jc w:val="both"/>
        <w:rPr>
          <w:sz w:val="22"/>
          <w:szCs w:val="22"/>
          <w:lang w:val="es-CL"/>
        </w:rPr>
      </w:pPr>
      <w:r w:rsidRPr="00672AFA">
        <w:rPr>
          <w:sz w:val="22"/>
          <w:szCs w:val="22"/>
          <w:lang w:val="es-CL"/>
        </w:rPr>
        <w:t>Los proyectos que contribuyen a promover el Resultado 4 pueden considerar diferentes actividades, incluyendo (entre otras):</w:t>
      </w:r>
    </w:p>
    <w:p w14:paraId="3AE9CF0E" w14:textId="1F6B5C40" w:rsidR="00F17C82" w:rsidRPr="00672AFA" w:rsidRDefault="001E4897" w:rsidP="00614B82">
      <w:pPr>
        <w:pStyle w:val="ListParagraph"/>
        <w:numPr>
          <w:ilvl w:val="0"/>
          <w:numId w:val="9"/>
        </w:numPr>
        <w:jc w:val="both"/>
        <w:rPr>
          <w:sz w:val="22"/>
          <w:szCs w:val="22"/>
          <w:lang w:val="es-CL"/>
        </w:rPr>
      </w:pPr>
      <w:r w:rsidRPr="00672AFA">
        <w:rPr>
          <w:sz w:val="22"/>
          <w:szCs w:val="22"/>
          <w:lang w:val="es-CL"/>
        </w:rPr>
        <w:t>Participar en</w:t>
      </w:r>
      <w:r w:rsidR="008B5AA4" w:rsidRPr="00672AFA">
        <w:rPr>
          <w:sz w:val="22"/>
          <w:szCs w:val="22"/>
          <w:lang w:val="es-CL"/>
        </w:rPr>
        <w:t xml:space="preserve"> procedimientos jurídicos</w:t>
      </w:r>
      <w:r w:rsidRPr="00672AFA">
        <w:rPr>
          <w:sz w:val="22"/>
          <w:szCs w:val="22"/>
          <w:lang w:val="es-CL"/>
        </w:rPr>
        <w:t xml:space="preserve"> estratégicos relacionados con </w:t>
      </w:r>
      <w:r w:rsidR="00F17C82" w:rsidRPr="00672AFA">
        <w:rPr>
          <w:sz w:val="22"/>
          <w:szCs w:val="22"/>
          <w:lang w:val="es-CL"/>
        </w:rPr>
        <w:t>la investigación, el enjuiciamiento y la sanción de casos que impliquen violaciones contra periodistas</w:t>
      </w:r>
      <w:r w:rsidRPr="00672AFA">
        <w:rPr>
          <w:sz w:val="22"/>
          <w:szCs w:val="22"/>
          <w:lang w:val="es-CL"/>
        </w:rPr>
        <w:t xml:space="preserve"> medioambientales</w:t>
      </w:r>
      <w:r w:rsidR="00F17C82" w:rsidRPr="00672AFA">
        <w:rPr>
          <w:sz w:val="22"/>
          <w:szCs w:val="22"/>
          <w:lang w:val="es-CL"/>
        </w:rPr>
        <w:t xml:space="preserve"> ante tribunales nacionales, regionales y/o internacionales</w:t>
      </w:r>
      <w:r w:rsidR="00585501" w:rsidRPr="00672AFA">
        <w:rPr>
          <w:sz w:val="22"/>
          <w:szCs w:val="22"/>
          <w:lang w:val="es-CL"/>
        </w:rPr>
        <w:t>, con el objeto de conseguir lo</w:t>
      </w:r>
      <w:r w:rsidR="006E4380" w:rsidRPr="00672AFA">
        <w:rPr>
          <w:sz w:val="22"/>
          <w:szCs w:val="22"/>
          <w:lang w:val="es-CL"/>
        </w:rPr>
        <w:t>s resultados indicados aquí arriba (crear jurisprudencia progresista, impulsar o promover reformas</w:t>
      </w:r>
      <w:r w:rsidR="00CE7563" w:rsidRPr="00672AFA">
        <w:rPr>
          <w:sz w:val="22"/>
          <w:szCs w:val="22"/>
          <w:lang w:val="es-CL"/>
        </w:rPr>
        <w:t xml:space="preserve"> relacionadas con la legislación, las políticas y las prácticas, etc.)</w:t>
      </w:r>
      <w:r w:rsidR="00F17C82" w:rsidRPr="00672AFA">
        <w:rPr>
          <w:sz w:val="22"/>
          <w:szCs w:val="22"/>
          <w:lang w:val="es-CL"/>
        </w:rPr>
        <w:t>.</w:t>
      </w:r>
    </w:p>
    <w:p w14:paraId="3D78E1CA" w14:textId="4CF3C3D4" w:rsidR="004A743A" w:rsidRPr="00672AFA" w:rsidRDefault="004A743A" w:rsidP="00614B82">
      <w:pPr>
        <w:pStyle w:val="ListParagraph"/>
        <w:numPr>
          <w:ilvl w:val="0"/>
          <w:numId w:val="9"/>
        </w:numPr>
        <w:jc w:val="both"/>
        <w:rPr>
          <w:sz w:val="22"/>
          <w:szCs w:val="22"/>
          <w:lang w:val="es-CL"/>
        </w:rPr>
      </w:pPr>
      <w:r w:rsidRPr="00672AFA">
        <w:rPr>
          <w:sz w:val="22"/>
          <w:szCs w:val="22"/>
          <w:lang w:val="es-CL"/>
        </w:rPr>
        <w:t xml:space="preserve">Los casos que apoyen intervenciones a través de los mecanismos de procedimientos especiales de la ONU </w:t>
      </w:r>
      <w:r w:rsidR="00F0381A" w:rsidRPr="00672AFA">
        <w:rPr>
          <w:sz w:val="22"/>
          <w:szCs w:val="22"/>
          <w:lang w:val="es-CL"/>
        </w:rPr>
        <w:t xml:space="preserve">pertinentes </w:t>
      </w:r>
      <w:r w:rsidRPr="00672AFA">
        <w:rPr>
          <w:sz w:val="22"/>
          <w:szCs w:val="22"/>
          <w:lang w:val="es-CL"/>
        </w:rPr>
        <w:t>en respuesta a casos de violencia contra periodistas medioambientales también s</w:t>
      </w:r>
      <w:r w:rsidR="00F0381A" w:rsidRPr="00672AFA">
        <w:rPr>
          <w:sz w:val="22"/>
          <w:szCs w:val="22"/>
          <w:lang w:val="es-CL"/>
        </w:rPr>
        <w:t>on considerados como</w:t>
      </w:r>
      <w:r w:rsidRPr="00672AFA">
        <w:rPr>
          <w:sz w:val="22"/>
          <w:szCs w:val="22"/>
          <w:lang w:val="es-CL"/>
        </w:rPr>
        <w:t xml:space="preserve"> litigio estratégico </w:t>
      </w:r>
      <w:r w:rsidR="00F0381A" w:rsidRPr="00672AFA">
        <w:rPr>
          <w:sz w:val="22"/>
          <w:szCs w:val="22"/>
          <w:lang w:val="es-CL"/>
        </w:rPr>
        <w:t>par</w:t>
      </w:r>
      <w:r w:rsidRPr="00672AFA">
        <w:rPr>
          <w:sz w:val="22"/>
          <w:szCs w:val="22"/>
          <w:lang w:val="es-CL"/>
        </w:rPr>
        <w:t>a efectos de este Resultado;</w:t>
      </w:r>
    </w:p>
    <w:p w14:paraId="551BAC1C" w14:textId="7A332DC7" w:rsidR="00CB3DC9" w:rsidRPr="00672AFA" w:rsidRDefault="00CB3DC9" w:rsidP="00996A9E">
      <w:pPr>
        <w:pStyle w:val="ListParagraph"/>
        <w:numPr>
          <w:ilvl w:val="0"/>
          <w:numId w:val="9"/>
        </w:numPr>
        <w:jc w:val="both"/>
        <w:rPr>
          <w:sz w:val="22"/>
          <w:szCs w:val="22"/>
          <w:lang w:val="es-CL"/>
        </w:rPr>
      </w:pPr>
      <w:r w:rsidRPr="00672AFA">
        <w:rPr>
          <w:sz w:val="22"/>
          <w:szCs w:val="22"/>
          <w:lang w:val="es-CL"/>
        </w:rPr>
        <w:t xml:space="preserve">Preparar y presentar intervenciones de </w:t>
      </w:r>
      <w:proofErr w:type="spellStart"/>
      <w:r w:rsidRPr="00672AFA">
        <w:rPr>
          <w:i/>
          <w:iCs/>
          <w:sz w:val="22"/>
          <w:szCs w:val="22"/>
          <w:lang w:val="es-CL"/>
        </w:rPr>
        <w:t>amicus</w:t>
      </w:r>
      <w:proofErr w:type="spellEnd"/>
      <w:r w:rsidRPr="00672AFA">
        <w:rPr>
          <w:i/>
          <w:iCs/>
          <w:sz w:val="22"/>
          <w:szCs w:val="22"/>
          <w:lang w:val="es-CL"/>
        </w:rPr>
        <w:t xml:space="preserve"> </w:t>
      </w:r>
      <w:proofErr w:type="spellStart"/>
      <w:r w:rsidRPr="00672AFA">
        <w:rPr>
          <w:i/>
          <w:iCs/>
          <w:sz w:val="22"/>
          <w:szCs w:val="22"/>
          <w:lang w:val="es-CL"/>
        </w:rPr>
        <w:t>curiae</w:t>
      </w:r>
      <w:proofErr w:type="spellEnd"/>
      <w:r w:rsidRPr="00672AFA">
        <w:rPr>
          <w:sz w:val="22"/>
          <w:szCs w:val="22"/>
          <w:lang w:val="es-CL"/>
        </w:rPr>
        <w:t xml:space="preserve"> en </w:t>
      </w:r>
      <w:r w:rsidR="00F62C07" w:rsidRPr="00672AFA">
        <w:rPr>
          <w:sz w:val="22"/>
          <w:szCs w:val="22"/>
          <w:lang w:val="es-CL"/>
        </w:rPr>
        <w:t xml:space="preserve">el contexto de </w:t>
      </w:r>
      <w:r w:rsidRPr="00672AFA">
        <w:rPr>
          <w:sz w:val="22"/>
          <w:szCs w:val="22"/>
          <w:lang w:val="es-CL"/>
        </w:rPr>
        <w:t xml:space="preserve">casos de litigio estratégico </w:t>
      </w:r>
      <w:r w:rsidR="00F62C07" w:rsidRPr="00672AFA">
        <w:rPr>
          <w:sz w:val="22"/>
          <w:szCs w:val="22"/>
          <w:lang w:val="es-CL"/>
        </w:rPr>
        <w:t xml:space="preserve">relacionados con periodistas y/o medios de comunicación enfrentados a amenazas, ataques, </w:t>
      </w:r>
      <w:r w:rsidR="00887285" w:rsidRPr="00672AFA">
        <w:rPr>
          <w:sz w:val="22"/>
          <w:szCs w:val="22"/>
          <w:lang w:val="es-CL"/>
        </w:rPr>
        <w:t>restricciones indebidas o excesivas, o presiones en relación con la cobertura de cuestiones medioambientales, de conformidad con las normas internacionales de derechos humanos;</w:t>
      </w:r>
    </w:p>
    <w:p w14:paraId="5246F340" w14:textId="06CB4D13" w:rsidR="00A24A4D" w:rsidRPr="00672AFA" w:rsidRDefault="00A85348" w:rsidP="00A56C79">
      <w:pPr>
        <w:pStyle w:val="ListParagraph"/>
        <w:numPr>
          <w:ilvl w:val="0"/>
          <w:numId w:val="9"/>
        </w:numPr>
        <w:jc w:val="both"/>
        <w:rPr>
          <w:sz w:val="22"/>
          <w:szCs w:val="22"/>
          <w:lang w:val="es-CL"/>
        </w:rPr>
      </w:pPr>
      <w:r w:rsidRPr="00672AFA">
        <w:rPr>
          <w:sz w:val="22"/>
          <w:szCs w:val="22"/>
          <w:lang w:val="es-CL"/>
        </w:rPr>
        <w:lastRenderedPageBreak/>
        <w:t>Facilitar, promover o reforzar la colaboración jurídica entre expertos locales, regionales e internacionales para la proporción de orientación jurídica experta en casos con potencial estratégic</w:t>
      </w:r>
      <w:r w:rsidR="00CF41DA" w:rsidRPr="00672AFA">
        <w:rPr>
          <w:sz w:val="22"/>
          <w:szCs w:val="22"/>
          <w:lang w:val="es-CL"/>
        </w:rPr>
        <w:t>o relacionados con periodistas medioambientales y</w:t>
      </w:r>
      <w:r w:rsidR="00CB5D2A" w:rsidRPr="00672AFA">
        <w:rPr>
          <w:sz w:val="22"/>
          <w:szCs w:val="22"/>
          <w:lang w:val="es-CL"/>
        </w:rPr>
        <w:t xml:space="preserve"> el apoyo a medidas para salvaguardar el derecho a la libertad de expresión y la libertad de prensa.</w:t>
      </w:r>
    </w:p>
    <w:p w14:paraId="4A156EEF" w14:textId="60E8C0D7" w:rsidR="001446C0" w:rsidRPr="00672AFA" w:rsidRDefault="00A56C79" w:rsidP="001446C0">
      <w:pPr>
        <w:jc w:val="both"/>
        <w:rPr>
          <w:rFonts w:eastAsiaTheme="minorHAnsi"/>
          <w:b/>
          <w:bCs/>
          <w:color w:val="FFFFFF" w:themeColor="background1"/>
          <w:kern w:val="0"/>
          <w:sz w:val="22"/>
          <w:szCs w:val="16"/>
          <w:shd w:val="clear" w:color="auto" w:fill="C5192D"/>
          <w:lang w:val="es-CL" w:eastAsia="en-US"/>
          <w14:ligatures w14:val="none"/>
        </w:rPr>
      </w:pPr>
      <w:r w:rsidRPr="00672AFA">
        <w:rPr>
          <w:rFonts w:eastAsiaTheme="minorHAnsi"/>
          <w:b/>
          <w:bCs/>
          <w:color w:val="FFFFFF" w:themeColor="background1"/>
          <w:kern w:val="0"/>
          <w:sz w:val="22"/>
          <w:szCs w:val="16"/>
          <w:shd w:val="clear" w:color="auto" w:fill="C5192D"/>
          <w:lang w:val="es-CL" w:eastAsia="en-US"/>
          <w14:ligatures w14:val="none"/>
        </w:rPr>
        <w:t>INFORMACIÓN IMPORTANTE</w:t>
      </w:r>
      <w:r w:rsidR="001446C0" w:rsidRPr="00672AFA">
        <w:rPr>
          <w:rFonts w:eastAsiaTheme="minorHAnsi"/>
          <w:b/>
          <w:bCs/>
          <w:color w:val="FFFFFF" w:themeColor="background1"/>
          <w:kern w:val="0"/>
          <w:sz w:val="22"/>
          <w:szCs w:val="16"/>
          <w:shd w:val="clear" w:color="auto" w:fill="C5192D"/>
          <w:lang w:val="es-CL" w:eastAsia="en-US"/>
          <w14:ligatures w14:val="none"/>
        </w:rPr>
        <w:t>:</w:t>
      </w:r>
    </w:p>
    <w:p w14:paraId="7275C5BE" w14:textId="288D1A60" w:rsidR="00554362" w:rsidRPr="00672AFA" w:rsidRDefault="00554362" w:rsidP="001446C0">
      <w:pPr>
        <w:pStyle w:val="ListParagraph"/>
        <w:numPr>
          <w:ilvl w:val="0"/>
          <w:numId w:val="11"/>
        </w:numPr>
        <w:jc w:val="both"/>
        <w:rPr>
          <w:sz w:val="22"/>
          <w:szCs w:val="22"/>
          <w:lang w:val="es-CL"/>
        </w:rPr>
      </w:pPr>
      <w:r w:rsidRPr="00672AFA">
        <w:rPr>
          <w:sz w:val="22"/>
          <w:szCs w:val="22"/>
          <w:lang w:val="es-CL"/>
        </w:rPr>
        <w:t>Todos los proyectos deben contribuir directamente al avance de al menos uno de los Resultados cubiertos por esta Convocatoria (Resultado 2, Resultado 3, Resultado 4);</w:t>
      </w:r>
    </w:p>
    <w:p w14:paraId="5D05AE2D" w14:textId="0842AD39" w:rsidR="00994A4A" w:rsidRPr="00672AFA" w:rsidRDefault="00994A4A" w:rsidP="001446C0">
      <w:pPr>
        <w:pStyle w:val="ListParagraph"/>
        <w:numPr>
          <w:ilvl w:val="0"/>
          <w:numId w:val="11"/>
        </w:numPr>
        <w:jc w:val="both"/>
        <w:rPr>
          <w:sz w:val="22"/>
          <w:szCs w:val="22"/>
          <w:lang w:val="es-CL"/>
        </w:rPr>
      </w:pPr>
      <w:r w:rsidRPr="00672AFA">
        <w:rPr>
          <w:sz w:val="22"/>
          <w:szCs w:val="22"/>
          <w:lang w:val="es-CL"/>
        </w:rPr>
        <w:t xml:space="preserve">El Resultado 1 del GMDF </w:t>
      </w:r>
      <w:r w:rsidRPr="00672AFA">
        <w:rPr>
          <w:sz w:val="22"/>
          <w:szCs w:val="22"/>
          <w:u w:val="single"/>
          <w:lang w:val="es-CL"/>
        </w:rPr>
        <w:t>no</w:t>
      </w:r>
      <w:r w:rsidRPr="00672AFA">
        <w:rPr>
          <w:sz w:val="22"/>
          <w:szCs w:val="22"/>
          <w:lang w:val="es-CL"/>
        </w:rPr>
        <w:t xml:space="preserve"> forma parte de esta Convocatoria;</w:t>
      </w:r>
    </w:p>
    <w:p w14:paraId="485F2878" w14:textId="4393A23D" w:rsidR="00CC0629" w:rsidRPr="00672AFA" w:rsidRDefault="00CC0629" w:rsidP="001446C0">
      <w:pPr>
        <w:pStyle w:val="ListParagraph"/>
        <w:numPr>
          <w:ilvl w:val="0"/>
          <w:numId w:val="11"/>
        </w:numPr>
        <w:jc w:val="both"/>
        <w:rPr>
          <w:sz w:val="22"/>
          <w:szCs w:val="22"/>
          <w:lang w:val="es-CL"/>
        </w:rPr>
      </w:pPr>
      <w:r w:rsidRPr="00672AFA">
        <w:rPr>
          <w:sz w:val="22"/>
          <w:szCs w:val="22"/>
          <w:lang w:val="es-CL"/>
        </w:rPr>
        <w:t xml:space="preserve">La propuesta de asociación debe </w:t>
      </w:r>
      <w:r w:rsidR="00394EE4" w:rsidRPr="00672AFA">
        <w:rPr>
          <w:sz w:val="22"/>
          <w:szCs w:val="22"/>
          <w:lang w:val="es-CL"/>
        </w:rPr>
        <w:t>encontrarse</w:t>
      </w:r>
      <w:r w:rsidRPr="00672AFA">
        <w:rPr>
          <w:sz w:val="22"/>
          <w:szCs w:val="22"/>
          <w:lang w:val="es-CL"/>
        </w:rPr>
        <w:t xml:space="preserve"> alineada con el enfoque temático de esta Convocatoria de </w:t>
      </w:r>
      <w:r w:rsidR="00394EE4" w:rsidRPr="00672AFA">
        <w:rPr>
          <w:sz w:val="22"/>
          <w:szCs w:val="22"/>
          <w:lang w:val="es-CL"/>
        </w:rPr>
        <w:t>Propuestas</w:t>
      </w:r>
      <w:r w:rsidRPr="00672AFA">
        <w:rPr>
          <w:sz w:val="22"/>
          <w:szCs w:val="22"/>
          <w:lang w:val="es-CL"/>
        </w:rPr>
        <w:t xml:space="preserve"> (</w:t>
      </w:r>
      <w:r w:rsidR="00394EE4" w:rsidRPr="00672AFA">
        <w:rPr>
          <w:sz w:val="22"/>
          <w:szCs w:val="22"/>
          <w:lang w:val="es-CL"/>
        </w:rPr>
        <w:t>fortalecer</w:t>
      </w:r>
      <w:r w:rsidRPr="00672AFA">
        <w:rPr>
          <w:sz w:val="22"/>
          <w:szCs w:val="22"/>
          <w:lang w:val="es-CL"/>
        </w:rPr>
        <w:t xml:space="preserve"> la protección </w:t>
      </w:r>
      <w:r w:rsidR="00394EE4" w:rsidRPr="00672AFA">
        <w:rPr>
          <w:sz w:val="22"/>
          <w:szCs w:val="22"/>
          <w:lang w:val="es-CL"/>
        </w:rPr>
        <w:t>jurídica</w:t>
      </w:r>
      <w:r w:rsidRPr="00672AFA">
        <w:rPr>
          <w:sz w:val="22"/>
          <w:szCs w:val="22"/>
          <w:lang w:val="es-CL"/>
        </w:rPr>
        <w:t xml:space="preserve"> de los periodistas medioambientales y/o reducir la impunidad relacionada con los casos de violencia, amenazas y ataques contra </w:t>
      </w:r>
      <w:r w:rsidR="002C4607" w:rsidRPr="00672AFA">
        <w:rPr>
          <w:sz w:val="22"/>
          <w:szCs w:val="22"/>
          <w:lang w:val="es-CL"/>
        </w:rPr>
        <w:t xml:space="preserve">ellas y </w:t>
      </w:r>
      <w:r w:rsidRPr="00672AFA">
        <w:rPr>
          <w:sz w:val="22"/>
          <w:szCs w:val="22"/>
          <w:lang w:val="es-CL"/>
        </w:rPr>
        <w:t>ellos);</w:t>
      </w:r>
    </w:p>
    <w:p w14:paraId="12285648" w14:textId="5E5C69D9" w:rsidR="00250B05" w:rsidRPr="00672AFA" w:rsidRDefault="00250B05" w:rsidP="001446C0">
      <w:pPr>
        <w:pStyle w:val="ListParagraph"/>
        <w:numPr>
          <w:ilvl w:val="0"/>
          <w:numId w:val="11"/>
        </w:numPr>
        <w:jc w:val="both"/>
        <w:rPr>
          <w:sz w:val="22"/>
          <w:szCs w:val="22"/>
          <w:lang w:val="es-CL"/>
        </w:rPr>
      </w:pPr>
      <w:r w:rsidRPr="00672AFA">
        <w:rPr>
          <w:sz w:val="22"/>
          <w:szCs w:val="22"/>
          <w:lang w:val="es-CL"/>
        </w:rPr>
        <w:t xml:space="preserve">Las actividades de </w:t>
      </w:r>
      <w:r w:rsidR="008019BC">
        <w:rPr>
          <w:sz w:val="22"/>
          <w:szCs w:val="22"/>
          <w:lang w:val="es-CL"/>
        </w:rPr>
        <w:t>abogacía</w:t>
      </w:r>
      <w:r w:rsidRPr="00672AFA">
        <w:rPr>
          <w:sz w:val="22"/>
          <w:szCs w:val="22"/>
          <w:lang w:val="es-CL"/>
        </w:rPr>
        <w:t xml:space="preserve"> y de sensibilización </w:t>
      </w:r>
      <w:r w:rsidRPr="00672AFA">
        <w:rPr>
          <w:sz w:val="22"/>
          <w:szCs w:val="22"/>
          <w:u w:val="single"/>
          <w:lang w:val="es-CL"/>
        </w:rPr>
        <w:t>no</w:t>
      </w:r>
      <w:r w:rsidRPr="00672AFA">
        <w:rPr>
          <w:sz w:val="22"/>
          <w:szCs w:val="22"/>
          <w:lang w:val="es-CL"/>
        </w:rPr>
        <w:t xml:space="preserve"> son prioritarias en el marco del GMDF, pero (sólo) pueden </w:t>
      </w:r>
      <w:r w:rsidR="00E1521F">
        <w:rPr>
          <w:sz w:val="22"/>
          <w:szCs w:val="22"/>
          <w:lang w:val="es-CL"/>
        </w:rPr>
        <w:t>ser apoyadas</w:t>
      </w:r>
      <w:r w:rsidRPr="00672AFA">
        <w:rPr>
          <w:sz w:val="22"/>
          <w:szCs w:val="22"/>
          <w:lang w:val="es-CL"/>
        </w:rPr>
        <w:t xml:space="preserve"> como actividades complementarias a la acción principal o como parte de la estrategia de comunicación y visibilidad de un proyecto.</w:t>
      </w:r>
    </w:p>
    <w:p w14:paraId="7597E634" w14:textId="7D3CF877" w:rsidR="00A7451A" w:rsidRPr="00672AFA" w:rsidRDefault="00A7451A" w:rsidP="00A7451A">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915EFE"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 </w:t>
      </w:r>
      <w:r w:rsidR="0058741F"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CRITERIOS DE ADMISIBILIDAD Y ELEGIBILIDAD</w:t>
      </w:r>
    </w:p>
    <w:p w14:paraId="75FBEA9C" w14:textId="103DD3A1" w:rsidR="003E54AC" w:rsidRPr="00672AFA" w:rsidRDefault="003E54AC" w:rsidP="00A560FA">
      <w:pPr>
        <w:jc w:val="both"/>
        <w:rPr>
          <w:b/>
          <w:bCs/>
          <w:sz w:val="22"/>
          <w:szCs w:val="22"/>
          <w:lang w:val="es-CL"/>
        </w:rPr>
      </w:pPr>
      <w:r w:rsidRPr="00672AFA">
        <w:rPr>
          <w:b/>
          <w:bCs/>
          <w:sz w:val="22"/>
          <w:szCs w:val="22"/>
          <w:lang w:val="es-CL"/>
        </w:rPr>
        <w:t>Sólo se evaluarán en profundidad las propuestas que cumplan los criterios de admisibilidad y elegibilidad.</w:t>
      </w:r>
    </w:p>
    <w:p w14:paraId="0EC19CB6" w14:textId="3CA2E309" w:rsidR="00A81733" w:rsidRPr="00672AFA" w:rsidRDefault="00A81733" w:rsidP="00A81733">
      <w:pPr>
        <w:jc w:val="both"/>
        <w:rPr>
          <w:b/>
          <w:bCs/>
          <w:sz w:val="22"/>
          <w:szCs w:val="22"/>
          <w:lang w:val="es-CL"/>
        </w:rPr>
      </w:pPr>
      <w:r w:rsidRPr="00672AFA">
        <w:rPr>
          <w:b/>
          <w:bCs/>
          <w:sz w:val="22"/>
          <w:szCs w:val="22"/>
          <w:highlight w:val="lightGray"/>
          <w:lang w:val="es-CL"/>
        </w:rPr>
        <w:t>3.1.</w:t>
      </w:r>
      <w:r w:rsidRPr="00672AFA">
        <w:rPr>
          <w:b/>
          <w:bCs/>
          <w:sz w:val="22"/>
          <w:szCs w:val="22"/>
          <w:highlight w:val="lightGray"/>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ADMIS</w:t>
      </w:r>
      <w:r w:rsidR="00715D03" w:rsidRPr="00672AFA">
        <w:rPr>
          <w:b/>
          <w:bCs/>
          <w:sz w:val="22"/>
          <w:szCs w:val="22"/>
          <w:highlight w:val="lightGray"/>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IBILIDAD</w:t>
      </w:r>
    </w:p>
    <w:p w14:paraId="4287393B" w14:textId="77777777" w:rsidR="000F59BC" w:rsidRPr="00672AFA" w:rsidRDefault="000F59BC" w:rsidP="00A81733">
      <w:pPr>
        <w:jc w:val="both"/>
        <w:rPr>
          <w:sz w:val="22"/>
          <w:szCs w:val="22"/>
          <w:lang w:val="es-CL"/>
        </w:rPr>
      </w:pPr>
      <w:r w:rsidRPr="00672AFA">
        <w:rPr>
          <w:sz w:val="22"/>
          <w:szCs w:val="22"/>
          <w:lang w:val="es-CL"/>
        </w:rPr>
        <w:t xml:space="preserve">Las condiciones de admisibilidad son las siguientes: </w:t>
      </w:r>
    </w:p>
    <w:p w14:paraId="1CEF0676" w14:textId="34EA2E46" w:rsidR="00002F96" w:rsidRPr="00672AFA" w:rsidRDefault="000F59BC" w:rsidP="000F59BC">
      <w:pPr>
        <w:pStyle w:val="ListParagraph"/>
        <w:numPr>
          <w:ilvl w:val="0"/>
          <w:numId w:val="40"/>
        </w:numPr>
        <w:jc w:val="both"/>
        <w:rPr>
          <w:sz w:val="22"/>
          <w:szCs w:val="22"/>
          <w:lang w:val="es-CL"/>
        </w:rPr>
      </w:pPr>
      <w:r w:rsidRPr="00672AFA">
        <w:rPr>
          <w:sz w:val="22"/>
          <w:szCs w:val="22"/>
          <w:lang w:val="es-CL"/>
        </w:rPr>
        <w:t>La propuesta (</w:t>
      </w:r>
      <w:r w:rsidR="00002F96" w:rsidRPr="00672AFA">
        <w:rPr>
          <w:sz w:val="22"/>
          <w:szCs w:val="22"/>
          <w:lang w:val="es-CL"/>
        </w:rPr>
        <w:t xml:space="preserve">Formulario de Candidatura </w:t>
      </w:r>
      <w:r w:rsidRPr="00672AFA">
        <w:rPr>
          <w:sz w:val="22"/>
          <w:szCs w:val="22"/>
          <w:lang w:val="es-CL"/>
        </w:rPr>
        <w:t xml:space="preserve">y </w:t>
      </w:r>
      <w:r w:rsidR="00002F96" w:rsidRPr="00672AFA">
        <w:rPr>
          <w:sz w:val="22"/>
          <w:szCs w:val="22"/>
          <w:lang w:val="es-CL"/>
        </w:rPr>
        <w:t>P</w:t>
      </w:r>
      <w:r w:rsidRPr="00672AFA">
        <w:rPr>
          <w:sz w:val="22"/>
          <w:szCs w:val="22"/>
          <w:lang w:val="es-CL"/>
        </w:rPr>
        <w:t xml:space="preserve">resupuesto) y los documentos justificativos deben ser enviados por correo electrónico a </w:t>
      </w:r>
      <w:hyperlink r:id="rId16" w:history="1">
        <w:r w:rsidR="00002F96" w:rsidRPr="00672AFA">
          <w:rPr>
            <w:rStyle w:val="Hyperlink"/>
            <w:sz w:val="22"/>
            <w:szCs w:val="22"/>
            <w:lang w:val="es-CL"/>
          </w:rPr>
          <w:t>gmdf@unesco.org</w:t>
        </w:r>
      </w:hyperlink>
      <w:r w:rsidR="00002F96" w:rsidRPr="00672AFA">
        <w:rPr>
          <w:sz w:val="22"/>
          <w:szCs w:val="22"/>
          <w:lang w:val="es-CL"/>
        </w:rPr>
        <w:t xml:space="preserve"> antes de la </w:t>
      </w:r>
      <w:r w:rsidR="00002F96" w:rsidRPr="00672AFA">
        <w:rPr>
          <w:b/>
          <w:bCs/>
          <w:sz w:val="22"/>
          <w:szCs w:val="22"/>
          <w:lang w:val="es-CL"/>
        </w:rPr>
        <w:t xml:space="preserve">fecha límite </w:t>
      </w:r>
      <w:r w:rsidR="00002F96" w:rsidRPr="00672AFA">
        <w:rPr>
          <w:sz w:val="22"/>
          <w:szCs w:val="22"/>
          <w:lang w:val="es-CL"/>
        </w:rPr>
        <w:t>(viernes 18 de octubre de 2024, 23:59 GMT+2);</w:t>
      </w:r>
    </w:p>
    <w:p w14:paraId="4ED34D3D" w14:textId="77777777" w:rsidR="00002F96" w:rsidRPr="00672AFA" w:rsidRDefault="000F59BC" w:rsidP="000F59BC">
      <w:pPr>
        <w:pStyle w:val="ListParagraph"/>
        <w:numPr>
          <w:ilvl w:val="0"/>
          <w:numId w:val="40"/>
        </w:numPr>
        <w:jc w:val="both"/>
        <w:rPr>
          <w:sz w:val="22"/>
          <w:szCs w:val="22"/>
          <w:lang w:val="es-CL"/>
        </w:rPr>
      </w:pPr>
      <w:r w:rsidRPr="00672AFA">
        <w:rPr>
          <w:sz w:val="22"/>
          <w:szCs w:val="22"/>
          <w:lang w:val="es-CL"/>
        </w:rPr>
        <w:t xml:space="preserve">La propuesta debe </w:t>
      </w:r>
      <w:r w:rsidRPr="00672AFA">
        <w:rPr>
          <w:b/>
          <w:bCs/>
          <w:sz w:val="22"/>
          <w:szCs w:val="22"/>
          <w:lang w:val="es-CL"/>
        </w:rPr>
        <w:t>estar completa y ser enviada en un formato adecuado</w:t>
      </w:r>
      <w:r w:rsidRPr="00672AFA">
        <w:rPr>
          <w:sz w:val="22"/>
          <w:szCs w:val="22"/>
          <w:lang w:val="es-CL"/>
        </w:rPr>
        <w:t xml:space="preserve"> (más información sobre los formularios, documentos y formato requeridos en la Sección VII</w:t>
      </w:r>
      <w:r w:rsidR="00002F96" w:rsidRPr="00672AFA">
        <w:rPr>
          <w:sz w:val="22"/>
          <w:szCs w:val="22"/>
          <w:lang w:val="es-CL"/>
        </w:rPr>
        <w:t xml:space="preserve"> abajo</w:t>
      </w:r>
      <w:r w:rsidRPr="00672AFA">
        <w:rPr>
          <w:sz w:val="22"/>
          <w:szCs w:val="22"/>
          <w:lang w:val="es-CL"/>
        </w:rPr>
        <w:t xml:space="preserve">). </w:t>
      </w:r>
    </w:p>
    <w:p w14:paraId="68897852" w14:textId="009500CC" w:rsidR="000F59BC" w:rsidRPr="00672AFA" w:rsidRDefault="000F59BC" w:rsidP="000F59BC">
      <w:pPr>
        <w:pStyle w:val="ListParagraph"/>
        <w:numPr>
          <w:ilvl w:val="0"/>
          <w:numId w:val="40"/>
        </w:numPr>
        <w:jc w:val="both"/>
        <w:rPr>
          <w:sz w:val="22"/>
          <w:szCs w:val="22"/>
          <w:lang w:val="es-CL"/>
        </w:rPr>
      </w:pPr>
      <w:r w:rsidRPr="00672AFA">
        <w:rPr>
          <w:sz w:val="22"/>
          <w:szCs w:val="22"/>
          <w:lang w:val="es-CL"/>
        </w:rPr>
        <w:t xml:space="preserve">La propuesta y los documentos justificativos deben </w:t>
      </w:r>
      <w:r w:rsidRPr="00672AFA">
        <w:rPr>
          <w:b/>
          <w:bCs/>
          <w:sz w:val="22"/>
          <w:szCs w:val="22"/>
          <w:lang w:val="es-CL"/>
        </w:rPr>
        <w:t xml:space="preserve">ser firmados y </w:t>
      </w:r>
      <w:r w:rsidR="00002F96" w:rsidRPr="00672AFA">
        <w:rPr>
          <w:b/>
          <w:bCs/>
          <w:sz w:val="22"/>
          <w:szCs w:val="22"/>
          <w:lang w:val="es-CL"/>
        </w:rPr>
        <w:t>fechados</w:t>
      </w:r>
      <w:r w:rsidRPr="00672AFA">
        <w:rPr>
          <w:sz w:val="22"/>
          <w:szCs w:val="22"/>
          <w:lang w:val="es-CL"/>
        </w:rPr>
        <w:t>, cuando así sea necesario, por el representante autorizado de la organización</w:t>
      </w:r>
      <w:r w:rsidR="00D02EA2" w:rsidRPr="00672AFA">
        <w:rPr>
          <w:sz w:val="22"/>
          <w:szCs w:val="22"/>
          <w:lang w:val="es-CL"/>
        </w:rPr>
        <w:t xml:space="preserve"> candidata</w:t>
      </w:r>
      <w:r w:rsidRPr="00672AFA">
        <w:rPr>
          <w:sz w:val="22"/>
          <w:szCs w:val="22"/>
          <w:lang w:val="es-CL"/>
        </w:rPr>
        <w:t>.</w:t>
      </w:r>
    </w:p>
    <w:p w14:paraId="2DA9A08B" w14:textId="77777777" w:rsidR="00473AF0" w:rsidRPr="00672AFA" w:rsidRDefault="00473AF0" w:rsidP="007E4E38">
      <w:pPr>
        <w:pStyle w:val="ListParagraph"/>
        <w:spacing w:after="0" w:line="259" w:lineRule="auto"/>
        <w:jc w:val="both"/>
        <w:rPr>
          <w:sz w:val="22"/>
          <w:szCs w:val="22"/>
          <w:lang w:val="es-CL"/>
        </w:rPr>
      </w:pPr>
    </w:p>
    <w:p w14:paraId="615C75D5" w14:textId="6A5A595D" w:rsidR="00473AF0" w:rsidRPr="00672AFA" w:rsidRDefault="00473AF0" w:rsidP="00473AF0">
      <w:pPr>
        <w:jc w:val="both"/>
        <w:rPr>
          <w:b/>
          <w:bCs/>
          <w:sz w:val="22"/>
          <w:szCs w:val="22"/>
          <w:lang w:val="es-CL"/>
        </w:rPr>
      </w:pPr>
      <w:r w:rsidRPr="00672AFA">
        <w:rPr>
          <w:b/>
          <w:bCs/>
          <w:sz w:val="22"/>
          <w:szCs w:val="22"/>
          <w:highlight w:val="lightGray"/>
          <w:lang w:val="es-CL"/>
        </w:rPr>
        <w:t>3.2.</w:t>
      </w:r>
      <w:r w:rsidRPr="00672AFA">
        <w:rPr>
          <w:b/>
          <w:bCs/>
          <w:sz w:val="22"/>
          <w:szCs w:val="22"/>
          <w:highlight w:val="lightGray"/>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EL</w:t>
      </w:r>
      <w:r w:rsidR="0068237B" w:rsidRPr="00672AFA">
        <w:rPr>
          <w:b/>
          <w:bCs/>
          <w:sz w:val="22"/>
          <w:szCs w:val="22"/>
          <w:highlight w:val="lightGray"/>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EGIBILIDAD</w:t>
      </w:r>
    </w:p>
    <w:p w14:paraId="051B74BB" w14:textId="2BC7BD19" w:rsidR="00A81733" w:rsidRPr="00672AFA" w:rsidRDefault="004B47E6" w:rsidP="00473AF0">
      <w:pPr>
        <w:jc w:val="both"/>
        <w:rPr>
          <w:sz w:val="22"/>
          <w:szCs w:val="22"/>
          <w:lang w:val="es-CL"/>
        </w:rPr>
      </w:pPr>
      <w:r w:rsidRPr="00672AFA">
        <w:rPr>
          <w:sz w:val="22"/>
          <w:szCs w:val="22"/>
          <w:lang w:val="es-CL"/>
        </w:rPr>
        <w:t>Las condiciones de elegibilidad son las siguientes:</w:t>
      </w:r>
    </w:p>
    <w:p w14:paraId="481C78CD" w14:textId="7497BFD5" w:rsidR="00D83217" w:rsidRPr="00672AFA" w:rsidRDefault="00D83217" w:rsidP="00D83217">
      <w:pPr>
        <w:jc w:val="both"/>
        <w:rPr>
          <w:b/>
          <w:bCs/>
          <w:sz w:val="22"/>
          <w:szCs w:val="22"/>
          <w:lang w:val="es-CL"/>
        </w:rPr>
      </w:pPr>
      <w:r w:rsidRPr="00672AFA">
        <w:rPr>
          <w:b/>
          <w:bCs/>
          <w:sz w:val="22"/>
          <w:szCs w:val="22"/>
          <w:highlight w:val="lightGray"/>
          <w:lang w:val="es-CL"/>
        </w:rPr>
        <w:t xml:space="preserve">3.2.1. </w:t>
      </w:r>
      <w:r w:rsidR="000523C7" w:rsidRPr="00672AFA">
        <w:rPr>
          <w:b/>
          <w:bCs/>
          <w:sz w:val="22"/>
          <w:szCs w:val="22"/>
          <w:highlight w:val="lightGray"/>
          <w:lang w:val="es-CL"/>
        </w:rPr>
        <w:t>CANDIDATOS ELEGIBLES</w:t>
      </w:r>
    </w:p>
    <w:p w14:paraId="1344BD01" w14:textId="5BDC8F70" w:rsidR="00B10BE9" w:rsidRPr="00672AFA" w:rsidRDefault="00ED7E79" w:rsidP="00B10BE9">
      <w:pPr>
        <w:jc w:val="both"/>
        <w:rPr>
          <w:sz w:val="22"/>
          <w:szCs w:val="22"/>
          <w:lang w:val="es-CL"/>
        </w:rPr>
      </w:pPr>
      <w:r w:rsidRPr="00672AFA">
        <w:rPr>
          <w:sz w:val="22"/>
          <w:szCs w:val="22"/>
          <w:lang w:val="es-CL"/>
        </w:rPr>
        <w:t xml:space="preserve">Los candidatos a socios ejecutores deben cumplir con los siguientes criterios: </w:t>
      </w:r>
    </w:p>
    <w:p w14:paraId="0659180C" w14:textId="77777777" w:rsidR="00ED7E79" w:rsidRPr="00672AFA" w:rsidRDefault="00ED7E79" w:rsidP="00B10BE9">
      <w:pPr>
        <w:jc w:val="both"/>
        <w:rPr>
          <w:sz w:val="22"/>
          <w:szCs w:val="22"/>
          <w:lang w:val="es-CL"/>
        </w:rPr>
      </w:pPr>
    </w:p>
    <w:p w14:paraId="4F13804A" w14:textId="528AB8CD" w:rsidR="00B10BE9" w:rsidRPr="00672AFA" w:rsidRDefault="006809C4" w:rsidP="00B10BE9">
      <w:pPr>
        <w:pStyle w:val="ListParagraph"/>
        <w:numPr>
          <w:ilvl w:val="0"/>
          <w:numId w:val="12"/>
        </w:numPr>
        <w:spacing w:line="259" w:lineRule="auto"/>
        <w:jc w:val="both"/>
        <w:rPr>
          <w:sz w:val="22"/>
          <w:szCs w:val="22"/>
          <w:lang w:val="es-CL"/>
        </w:rPr>
      </w:pPr>
      <w:r w:rsidRPr="00672AFA">
        <w:rPr>
          <w:b/>
          <w:bCs/>
          <w:sz w:val="22"/>
          <w:szCs w:val="22"/>
          <w:u w:val="single"/>
          <w:lang w:val="es-CL"/>
        </w:rPr>
        <w:t>Estatuto Jurídico</w:t>
      </w:r>
      <w:r w:rsidR="00B10BE9" w:rsidRPr="00672AFA">
        <w:rPr>
          <w:b/>
          <w:bCs/>
          <w:sz w:val="22"/>
          <w:szCs w:val="22"/>
          <w:lang w:val="es-CL"/>
        </w:rPr>
        <w:t>:</w:t>
      </w:r>
    </w:p>
    <w:p w14:paraId="3CE009CB" w14:textId="2FE6D0D3" w:rsidR="0052564F" w:rsidRPr="00672AFA" w:rsidRDefault="006809C4" w:rsidP="0052564F">
      <w:pPr>
        <w:jc w:val="both"/>
        <w:rPr>
          <w:sz w:val="22"/>
          <w:szCs w:val="22"/>
          <w:lang w:val="es-CL"/>
        </w:rPr>
      </w:pPr>
      <w:r w:rsidRPr="00672AFA">
        <w:rPr>
          <w:sz w:val="22"/>
          <w:szCs w:val="22"/>
          <w:lang w:val="es-CL"/>
        </w:rPr>
        <w:lastRenderedPageBreak/>
        <w:t xml:space="preserve">Esta </w:t>
      </w:r>
      <w:r w:rsidR="0052564F" w:rsidRPr="00672AFA">
        <w:rPr>
          <w:sz w:val="22"/>
          <w:szCs w:val="22"/>
          <w:lang w:val="es-CL"/>
        </w:rPr>
        <w:t xml:space="preserve">Convocatoria de Propuestas está abierta </w:t>
      </w:r>
      <w:r w:rsidR="0052564F" w:rsidRPr="00672AFA">
        <w:rPr>
          <w:b/>
          <w:bCs/>
          <w:sz w:val="22"/>
          <w:szCs w:val="22"/>
          <w:lang w:val="es-CL"/>
        </w:rPr>
        <w:t>únicamente a entidades sin fines de lucro</w:t>
      </w:r>
      <w:r w:rsidR="0052564F" w:rsidRPr="00672AFA">
        <w:rPr>
          <w:sz w:val="22"/>
          <w:szCs w:val="22"/>
          <w:lang w:val="es-CL"/>
        </w:rPr>
        <w:t xml:space="preserve"> (incluyendo organizaciones no gubernamentales, fundaciones,</w:t>
      </w:r>
      <w:r w:rsidR="00896A10" w:rsidRPr="00672AFA">
        <w:rPr>
          <w:sz w:val="22"/>
          <w:szCs w:val="22"/>
          <w:lang w:val="es-CL"/>
        </w:rPr>
        <w:t xml:space="preserve"> asociaciones de profesionales, instituciones académicas, y organizaciones intergubernamentales, entre otras)</w:t>
      </w:r>
      <w:r w:rsidR="0052564F" w:rsidRPr="00672AFA">
        <w:rPr>
          <w:sz w:val="22"/>
          <w:szCs w:val="22"/>
          <w:lang w:val="es-CL"/>
        </w:rPr>
        <w:t>.</w:t>
      </w:r>
      <w:r w:rsidR="006132AA" w:rsidRPr="00672AFA">
        <w:rPr>
          <w:sz w:val="22"/>
          <w:szCs w:val="22"/>
          <w:lang w:val="es-CL"/>
        </w:rPr>
        <w:t xml:space="preserve"> Según la definición del Sistema de Cuentas Nacionales elaborado por la División de Estadísticas de las Naciones Unidas, las instituciones sin ánimo de lucro son entidades jurídicas o sociales creadas con el fin de producir bienes y servicios cuyo estatus no les permite ser fuente de ingresos, beneficios u otras ganancias financieras para las unidades que las establecen, controlan o financian.</w:t>
      </w:r>
    </w:p>
    <w:p w14:paraId="425E47B2" w14:textId="77777777" w:rsidR="00E43DE4" w:rsidRPr="00672AFA" w:rsidRDefault="006132AA" w:rsidP="0052564F">
      <w:pPr>
        <w:jc w:val="both"/>
        <w:rPr>
          <w:sz w:val="22"/>
          <w:szCs w:val="22"/>
          <w:lang w:val="es-CL"/>
        </w:rPr>
      </w:pPr>
      <w:r w:rsidRPr="00672AFA">
        <w:rPr>
          <w:sz w:val="22"/>
          <w:szCs w:val="22"/>
          <w:lang w:val="es-CL"/>
        </w:rPr>
        <w:t>Las organizaciones candidatas deben haber estado</w:t>
      </w:r>
      <w:r w:rsidRPr="00672AFA">
        <w:rPr>
          <w:b/>
          <w:bCs/>
          <w:sz w:val="22"/>
          <w:szCs w:val="22"/>
          <w:lang w:val="es-CL"/>
        </w:rPr>
        <w:t xml:space="preserve"> activas y registradas como entidades sin fines de lucro durante dos años</w:t>
      </w:r>
      <w:r w:rsidR="00E43DE4" w:rsidRPr="00672AFA">
        <w:rPr>
          <w:b/>
          <w:bCs/>
          <w:sz w:val="22"/>
          <w:szCs w:val="22"/>
          <w:lang w:val="es-CL"/>
        </w:rPr>
        <w:t xml:space="preserve"> como mínimo</w:t>
      </w:r>
      <w:r w:rsidRPr="00672AFA">
        <w:rPr>
          <w:sz w:val="22"/>
          <w:szCs w:val="22"/>
          <w:lang w:val="es-CL"/>
        </w:rPr>
        <w:t xml:space="preserve">. </w:t>
      </w:r>
    </w:p>
    <w:p w14:paraId="229112DA" w14:textId="5ACCB6F2" w:rsidR="008334CB" w:rsidRPr="00672AFA" w:rsidRDefault="006132AA" w:rsidP="000D3A7E">
      <w:pPr>
        <w:jc w:val="both"/>
        <w:rPr>
          <w:sz w:val="22"/>
          <w:szCs w:val="22"/>
          <w:lang w:val="es-CL"/>
        </w:rPr>
      </w:pPr>
      <w:r w:rsidRPr="00672AFA">
        <w:rPr>
          <w:sz w:val="22"/>
          <w:szCs w:val="22"/>
          <w:lang w:val="es-CL"/>
        </w:rPr>
        <w:t xml:space="preserve">Las personas naturales, las empresas privadas, las entidades no constituidas jurídicamente y las organizaciones </w:t>
      </w:r>
      <w:r w:rsidR="00E43DE4" w:rsidRPr="00672AFA">
        <w:rPr>
          <w:sz w:val="22"/>
          <w:szCs w:val="22"/>
          <w:lang w:val="es-CL"/>
        </w:rPr>
        <w:t xml:space="preserve">sin fines de lucro </w:t>
      </w:r>
      <w:r w:rsidRPr="00672AFA">
        <w:rPr>
          <w:sz w:val="22"/>
          <w:szCs w:val="22"/>
          <w:lang w:val="es-CL"/>
        </w:rPr>
        <w:t>con menos de dos años de existencia legal/actividad no podrán optar a un financiamiento</w:t>
      </w:r>
      <w:r w:rsidR="000D3A7E" w:rsidRPr="00672AFA">
        <w:rPr>
          <w:sz w:val="22"/>
          <w:szCs w:val="22"/>
          <w:lang w:val="es-CL"/>
        </w:rPr>
        <w:t>.</w:t>
      </w:r>
    </w:p>
    <w:p w14:paraId="64101313" w14:textId="1CDE10DA" w:rsidR="008334CB" w:rsidRPr="00672AFA" w:rsidRDefault="00203755" w:rsidP="008334CB">
      <w:pPr>
        <w:pStyle w:val="ListParagraph"/>
        <w:numPr>
          <w:ilvl w:val="0"/>
          <w:numId w:val="12"/>
        </w:numPr>
        <w:spacing w:line="259" w:lineRule="auto"/>
        <w:jc w:val="both"/>
        <w:rPr>
          <w:sz w:val="22"/>
          <w:szCs w:val="22"/>
          <w:lang w:val="es-CL"/>
        </w:rPr>
      </w:pPr>
      <w:r w:rsidRPr="00672AFA">
        <w:rPr>
          <w:b/>
          <w:bCs/>
          <w:sz w:val="22"/>
          <w:szCs w:val="22"/>
          <w:u w:val="single"/>
          <w:lang w:val="es-CL"/>
        </w:rPr>
        <w:t>Elegibilidad General</w:t>
      </w:r>
      <w:r w:rsidR="008334CB" w:rsidRPr="00672AFA">
        <w:rPr>
          <w:b/>
          <w:bCs/>
          <w:sz w:val="22"/>
          <w:szCs w:val="22"/>
          <w:lang w:val="es-CL"/>
        </w:rPr>
        <w:t>:</w:t>
      </w:r>
    </w:p>
    <w:p w14:paraId="57B8B53D" w14:textId="77777777" w:rsidR="008334CB" w:rsidRPr="00672AFA" w:rsidRDefault="008334CB" w:rsidP="008334CB">
      <w:pPr>
        <w:pStyle w:val="ListParagraph"/>
        <w:spacing w:line="259" w:lineRule="auto"/>
        <w:jc w:val="both"/>
        <w:rPr>
          <w:sz w:val="22"/>
          <w:szCs w:val="22"/>
          <w:lang w:val="es-CL"/>
        </w:rPr>
      </w:pPr>
    </w:p>
    <w:p w14:paraId="465DFACE" w14:textId="77777777" w:rsidR="00AB5485" w:rsidRPr="00672AFA" w:rsidRDefault="00AB5485" w:rsidP="00C67E45">
      <w:pPr>
        <w:pStyle w:val="ListParagraph"/>
        <w:numPr>
          <w:ilvl w:val="0"/>
          <w:numId w:val="13"/>
        </w:numPr>
        <w:spacing w:line="259" w:lineRule="auto"/>
        <w:jc w:val="both"/>
        <w:rPr>
          <w:sz w:val="22"/>
          <w:szCs w:val="22"/>
          <w:lang w:val="es-CL"/>
        </w:rPr>
      </w:pPr>
      <w:r w:rsidRPr="00672AFA">
        <w:rPr>
          <w:sz w:val="22"/>
          <w:szCs w:val="22"/>
          <w:lang w:val="es-CL"/>
        </w:rPr>
        <w:t>Ser capaz de contribuir eficazmente a la consecución de los objetivos de la UNESCO, de conformidad con los principios proclamados en la Constitución de la UNESCO;</w:t>
      </w:r>
    </w:p>
    <w:p w14:paraId="42961883" w14:textId="39EEC937" w:rsidR="008334CB" w:rsidRPr="00672AFA" w:rsidRDefault="00AB5485" w:rsidP="00C67E45">
      <w:pPr>
        <w:pStyle w:val="ListParagraph"/>
        <w:numPr>
          <w:ilvl w:val="0"/>
          <w:numId w:val="13"/>
        </w:numPr>
        <w:spacing w:line="259" w:lineRule="auto"/>
        <w:jc w:val="both"/>
        <w:rPr>
          <w:sz w:val="22"/>
          <w:szCs w:val="22"/>
          <w:lang w:val="es-CL"/>
        </w:rPr>
      </w:pPr>
      <w:r w:rsidRPr="00672AFA">
        <w:rPr>
          <w:sz w:val="22"/>
          <w:szCs w:val="22"/>
          <w:lang w:val="es-CL"/>
        </w:rPr>
        <w:t>Demostrar un compromiso con la defensa y el respeto de los derechos humanos, la libertad de expresión y la igualdad de género;</w:t>
      </w:r>
    </w:p>
    <w:p w14:paraId="519370CA" w14:textId="27CE7896" w:rsidR="00AB5485" w:rsidRPr="00672AFA" w:rsidRDefault="00AB5485" w:rsidP="00C67E45">
      <w:pPr>
        <w:pStyle w:val="ListParagraph"/>
        <w:numPr>
          <w:ilvl w:val="0"/>
          <w:numId w:val="13"/>
        </w:numPr>
        <w:spacing w:line="259" w:lineRule="auto"/>
        <w:jc w:val="both"/>
        <w:rPr>
          <w:sz w:val="22"/>
          <w:szCs w:val="22"/>
          <w:lang w:val="es-CL"/>
        </w:rPr>
      </w:pPr>
      <w:r w:rsidRPr="00672AFA">
        <w:rPr>
          <w:sz w:val="22"/>
          <w:szCs w:val="22"/>
          <w:lang w:val="es-CL"/>
        </w:rPr>
        <w:t xml:space="preserve">Aportar un "valor agregado" en términos de contribución monetaria o en especie (esta última, cuantificada): </w:t>
      </w:r>
      <w:r w:rsidR="00741A7F" w:rsidRPr="00672AFA">
        <w:rPr>
          <w:sz w:val="22"/>
          <w:szCs w:val="22"/>
          <w:lang w:val="es-CL"/>
        </w:rPr>
        <w:t>las organizaciones candidatas</w:t>
      </w:r>
      <w:r w:rsidRPr="00672AFA">
        <w:rPr>
          <w:sz w:val="22"/>
          <w:szCs w:val="22"/>
          <w:lang w:val="es-CL"/>
        </w:rPr>
        <w:t xml:space="preserve"> deben ser capaces de contribuir con </w:t>
      </w:r>
      <w:r w:rsidRPr="00672AFA">
        <w:rPr>
          <w:sz w:val="22"/>
          <w:szCs w:val="22"/>
          <w:u w:val="single"/>
          <w:lang w:val="es-CL"/>
        </w:rPr>
        <w:t>al menos el cinco por ciento</w:t>
      </w:r>
      <w:r w:rsidRPr="00672AFA">
        <w:rPr>
          <w:sz w:val="22"/>
          <w:szCs w:val="22"/>
          <w:lang w:val="es-CL"/>
        </w:rPr>
        <w:t xml:space="preserve"> del presupuesto total del proyecto, </w:t>
      </w:r>
      <w:r w:rsidR="006836B6" w:rsidRPr="00672AFA">
        <w:rPr>
          <w:sz w:val="22"/>
          <w:szCs w:val="22"/>
          <w:lang w:val="es-CL"/>
        </w:rPr>
        <w:t xml:space="preserve">el que </w:t>
      </w:r>
      <w:r w:rsidRPr="00672AFA">
        <w:rPr>
          <w:sz w:val="22"/>
          <w:szCs w:val="22"/>
          <w:lang w:val="es-CL"/>
        </w:rPr>
        <w:t>debe incluir los cost</w:t>
      </w:r>
      <w:r w:rsidR="006836B6" w:rsidRPr="00672AFA">
        <w:rPr>
          <w:sz w:val="22"/>
          <w:szCs w:val="22"/>
          <w:lang w:val="es-CL"/>
        </w:rPr>
        <w:t>o</w:t>
      </w:r>
      <w:r w:rsidRPr="00672AFA">
        <w:rPr>
          <w:sz w:val="22"/>
          <w:szCs w:val="22"/>
          <w:lang w:val="es-CL"/>
        </w:rPr>
        <w:t xml:space="preserve">s directos </w:t>
      </w:r>
      <w:r w:rsidR="006836B6" w:rsidRPr="00672AFA">
        <w:rPr>
          <w:sz w:val="22"/>
          <w:szCs w:val="22"/>
          <w:lang w:val="es-CL"/>
        </w:rPr>
        <w:t xml:space="preserve">necesarios </w:t>
      </w:r>
      <w:r w:rsidRPr="00672AFA">
        <w:rPr>
          <w:sz w:val="22"/>
          <w:szCs w:val="22"/>
          <w:lang w:val="es-CL"/>
        </w:rPr>
        <w:t>para la consecución de los objetivos de la acción (y no sólo los cost</w:t>
      </w:r>
      <w:r w:rsidR="00BF1842" w:rsidRPr="00672AFA">
        <w:rPr>
          <w:sz w:val="22"/>
          <w:szCs w:val="22"/>
          <w:lang w:val="es-CL"/>
        </w:rPr>
        <w:t>o</w:t>
      </w:r>
      <w:r w:rsidRPr="00672AFA">
        <w:rPr>
          <w:sz w:val="22"/>
          <w:szCs w:val="22"/>
          <w:lang w:val="es-CL"/>
        </w:rPr>
        <w:t xml:space="preserve">s relacionados con el funcionamiento general de </w:t>
      </w:r>
      <w:r w:rsidR="00BF1842" w:rsidRPr="00672AFA">
        <w:rPr>
          <w:sz w:val="22"/>
          <w:szCs w:val="22"/>
          <w:lang w:val="es-CL"/>
        </w:rPr>
        <w:t>la</w:t>
      </w:r>
      <w:r w:rsidRPr="00672AFA">
        <w:rPr>
          <w:sz w:val="22"/>
          <w:szCs w:val="22"/>
          <w:lang w:val="es-CL"/>
        </w:rPr>
        <w:t xml:space="preserve"> organización </w:t>
      </w:r>
      <w:r w:rsidR="00BF1842" w:rsidRPr="00672AFA">
        <w:rPr>
          <w:sz w:val="22"/>
          <w:szCs w:val="22"/>
          <w:lang w:val="es-CL"/>
        </w:rPr>
        <w:t>–</w:t>
      </w:r>
      <w:r w:rsidRPr="00672AFA">
        <w:rPr>
          <w:sz w:val="22"/>
          <w:szCs w:val="22"/>
          <w:lang w:val="es-CL"/>
        </w:rPr>
        <w:t xml:space="preserve"> véase "Cost</w:t>
      </w:r>
      <w:r w:rsidR="00BF1842" w:rsidRPr="00672AFA">
        <w:rPr>
          <w:sz w:val="22"/>
          <w:szCs w:val="22"/>
          <w:lang w:val="es-CL"/>
        </w:rPr>
        <w:t>o</w:t>
      </w:r>
      <w:r w:rsidRPr="00672AFA">
        <w:rPr>
          <w:sz w:val="22"/>
          <w:szCs w:val="22"/>
          <w:lang w:val="es-CL"/>
        </w:rPr>
        <w:t xml:space="preserve">s </w:t>
      </w:r>
      <w:r w:rsidR="00BF1842" w:rsidRPr="00672AFA">
        <w:rPr>
          <w:sz w:val="22"/>
          <w:szCs w:val="22"/>
          <w:lang w:val="es-CL"/>
        </w:rPr>
        <w:t>E</w:t>
      </w:r>
      <w:r w:rsidRPr="00672AFA">
        <w:rPr>
          <w:sz w:val="22"/>
          <w:szCs w:val="22"/>
          <w:lang w:val="es-CL"/>
        </w:rPr>
        <w:t>legibles" más abajo para más detall</w:t>
      </w:r>
      <w:r w:rsidR="00BF1842" w:rsidRPr="00672AFA">
        <w:rPr>
          <w:sz w:val="22"/>
          <w:szCs w:val="22"/>
          <w:lang w:val="es-CL"/>
        </w:rPr>
        <w:t>es</w:t>
      </w:r>
      <w:r w:rsidRPr="00672AFA">
        <w:rPr>
          <w:sz w:val="22"/>
          <w:szCs w:val="22"/>
          <w:lang w:val="es-CL"/>
        </w:rPr>
        <w:t>);</w:t>
      </w:r>
    </w:p>
    <w:p w14:paraId="4DEFF319" w14:textId="540A8B1E" w:rsidR="00243295" w:rsidRPr="00672AFA" w:rsidRDefault="00243295" w:rsidP="00C67E45">
      <w:pPr>
        <w:pStyle w:val="ListParagraph"/>
        <w:numPr>
          <w:ilvl w:val="0"/>
          <w:numId w:val="13"/>
        </w:numPr>
        <w:spacing w:line="259" w:lineRule="auto"/>
        <w:jc w:val="both"/>
        <w:rPr>
          <w:sz w:val="22"/>
          <w:szCs w:val="22"/>
          <w:lang w:val="es-CL"/>
        </w:rPr>
      </w:pPr>
      <w:r w:rsidRPr="00672AFA">
        <w:rPr>
          <w:sz w:val="22"/>
          <w:szCs w:val="22"/>
          <w:lang w:val="es-CL"/>
        </w:rPr>
        <w:t xml:space="preserve">No debe figurar en la </w:t>
      </w:r>
      <w:hyperlink r:id="rId17" w:history="1">
        <w:r w:rsidRPr="00672AFA">
          <w:rPr>
            <w:rStyle w:val="Hyperlink"/>
            <w:sz w:val="22"/>
            <w:szCs w:val="22"/>
            <w:lang w:val="es-CL"/>
          </w:rPr>
          <w:t>Lista Consolidada de Sanciones del Consejo de Seguridad de las Naciones Unidas</w:t>
        </w:r>
      </w:hyperlink>
      <w:r w:rsidRPr="00672AFA">
        <w:rPr>
          <w:sz w:val="22"/>
          <w:szCs w:val="22"/>
          <w:lang w:val="es-CL"/>
        </w:rPr>
        <w:t>, ni en la lista de inelegibilidad de proveedores del Mercado Mundial de las Naciones Unidas.</w:t>
      </w:r>
    </w:p>
    <w:p w14:paraId="688A3663" w14:textId="77777777" w:rsidR="00414B41" w:rsidRPr="00672AFA" w:rsidRDefault="00414B41" w:rsidP="00414B41">
      <w:pPr>
        <w:pStyle w:val="ListParagraph"/>
        <w:spacing w:line="259" w:lineRule="auto"/>
        <w:jc w:val="both"/>
        <w:rPr>
          <w:sz w:val="22"/>
          <w:szCs w:val="22"/>
          <w:lang w:val="es-CL"/>
        </w:rPr>
      </w:pPr>
    </w:p>
    <w:p w14:paraId="4E14D6F8" w14:textId="025C1523" w:rsidR="00B10BE9" w:rsidRPr="00672AFA" w:rsidRDefault="00B10BE9" w:rsidP="00B10BE9">
      <w:pPr>
        <w:pStyle w:val="ListParagraph"/>
        <w:numPr>
          <w:ilvl w:val="0"/>
          <w:numId w:val="12"/>
        </w:numPr>
        <w:spacing w:line="259" w:lineRule="auto"/>
        <w:jc w:val="both"/>
        <w:rPr>
          <w:sz w:val="22"/>
          <w:szCs w:val="22"/>
          <w:lang w:val="es-CL"/>
        </w:rPr>
      </w:pPr>
      <w:r w:rsidRPr="00672AFA">
        <w:rPr>
          <w:b/>
          <w:bCs/>
          <w:sz w:val="22"/>
          <w:szCs w:val="22"/>
          <w:u w:val="single"/>
          <w:lang w:val="es-CL"/>
        </w:rPr>
        <w:t>Capaci</w:t>
      </w:r>
      <w:r w:rsidR="00CC2D0E" w:rsidRPr="00672AFA">
        <w:rPr>
          <w:b/>
          <w:bCs/>
          <w:sz w:val="22"/>
          <w:szCs w:val="22"/>
          <w:u w:val="single"/>
          <w:lang w:val="es-CL"/>
        </w:rPr>
        <w:t>dad</w:t>
      </w:r>
      <w:r w:rsidRPr="00672AFA">
        <w:rPr>
          <w:b/>
          <w:bCs/>
          <w:sz w:val="22"/>
          <w:szCs w:val="22"/>
          <w:lang w:val="es-CL"/>
        </w:rPr>
        <w:t>:</w:t>
      </w:r>
    </w:p>
    <w:p w14:paraId="00855C67" w14:textId="77777777" w:rsidR="008334CB" w:rsidRPr="00672AFA" w:rsidRDefault="008334CB" w:rsidP="008334CB">
      <w:pPr>
        <w:pStyle w:val="ListParagraph"/>
        <w:spacing w:line="259" w:lineRule="auto"/>
        <w:jc w:val="both"/>
        <w:rPr>
          <w:sz w:val="22"/>
          <w:szCs w:val="22"/>
          <w:lang w:val="es-CL"/>
        </w:rPr>
      </w:pPr>
    </w:p>
    <w:p w14:paraId="0C4268D8" w14:textId="0EA60327" w:rsidR="00E71837" w:rsidRPr="00672AFA" w:rsidRDefault="002A0B98" w:rsidP="00B10BE9">
      <w:pPr>
        <w:pStyle w:val="ListParagraph"/>
        <w:numPr>
          <w:ilvl w:val="0"/>
          <w:numId w:val="13"/>
        </w:numPr>
        <w:spacing w:line="259" w:lineRule="auto"/>
        <w:jc w:val="both"/>
        <w:rPr>
          <w:sz w:val="22"/>
          <w:szCs w:val="22"/>
          <w:lang w:val="es-CL"/>
        </w:rPr>
      </w:pPr>
      <w:r w:rsidRPr="00672AFA">
        <w:rPr>
          <w:sz w:val="22"/>
          <w:szCs w:val="22"/>
          <w:lang w:val="es-CL"/>
        </w:rPr>
        <w:t xml:space="preserve">Contar con </w:t>
      </w:r>
      <w:r w:rsidR="00E71837" w:rsidRPr="00672AFA">
        <w:rPr>
          <w:sz w:val="22"/>
          <w:szCs w:val="22"/>
          <w:lang w:val="es-CL"/>
        </w:rPr>
        <w:t xml:space="preserve">una situación financiera sólida: </w:t>
      </w:r>
      <w:r w:rsidRPr="00672AFA">
        <w:rPr>
          <w:sz w:val="22"/>
          <w:szCs w:val="22"/>
          <w:lang w:val="es-CL"/>
        </w:rPr>
        <w:t>los candidatos</w:t>
      </w:r>
      <w:r w:rsidR="00E71837" w:rsidRPr="00672AFA">
        <w:rPr>
          <w:sz w:val="22"/>
          <w:szCs w:val="22"/>
          <w:lang w:val="es-CL"/>
        </w:rPr>
        <w:t xml:space="preserve"> deben demostrar que disponen de fuentes de financia</w:t>
      </w:r>
      <w:r w:rsidR="00F312D5" w:rsidRPr="00672AFA">
        <w:rPr>
          <w:sz w:val="22"/>
          <w:szCs w:val="22"/>
          <w:lang w:val="es-CL"/>
        </w:rPr>
        <w:t>miento</w:t>
      </w:r>
      <w:r w:rsidR="00E71837" w:rsidRPr="00672AFA">
        <w:rPr>
          <w:sz w:val="22"/>
          <w:szCs w:val="22"/>
          <w:lang w:val="es-CL"/>
        </w:rPr>
        <w:t xml:space="preserve"> estables y suficientes para mantener sus actividades durante todo el </w:t>
      </w:r>
      <w:r w:rsidR="00DF6713" w:rsidRPr="00672AFA">
        <w:rPr>
          <w:sz w:val="22"/>
          <w:szCs w:val="22"/>
          <w:lang w:val="es-CL"/>
        </w:rPr>
        <w:t>período</w:t>
      </w:r>
      <w:r w:rsidR="00E71837" w:rsidRPr="00672AFA">
        <w:rPr>
          <w:sz w:val="22"/>
          <w:szCs w:val="22"/>
          <w:lang w:val="es-CL"/>
        </w:rPr>
        <w:t xml:space="preserve"> del proyecto;</w:t>
      </w:r>
    </w:p>
    <w:p w14:paraId="6B387CDE" w14:textId="52858856" w:rsidR="00117C36" w:rsidRPr="00672AFA" w:rsidRDefault="00DF6713" w:rsidP="00B10BE9">
      <w:pPr>
        <w:pStyle w:val="ListParagraph"/>
        <w:numPr>
          <w:ilvl w:val="0"/>
          <w:numId w:val="13"/>
        </w:numPr>
        <w:spacing w:line="259" w:lineRule="auto"/>
        <w:jc w:val="both"/>
        <w:rPr>
          <w:sz w:val="22"/>
          <w:szCs w:val="22"/>
          <w:lang w:val="es-CL"/>
        </w:rPr>
      </w:pPr>
      <w:bookmarkStart w:id="0" w:name="_Hlk66714749"/>
      <w:r w:rsidRPr="00672AFA">
        <w:rPr>
          <w:sz w:val="22"/>
          <w:szCs w:val="22"/>
          <w:lang w:val="es-CL"/>
        </w:rPr>
        <w:t>Disponer de procedimientos de control interno adecuados</w:t>
      </w:r>
      <w:r w:rsidR="00240CFE" w:rsidRPr="00672AFA">
        <w:rPr>
          <w:sz w:val="22"/>
          <w:szCs w:val="22"/>
          <w:lang w:val="es-CL"/>
        </w:rPr>
        <w:t>;</w:t>
      </w:r>
    </w:p>
    <w:p w14:paraId="37C8DCE0" w14:textId="5020DE0F" w:rsidR="0061423C" w:rsidRPr="00672AFA" w:rsidRDefault="00DF6713" w:rsidP="00DF6713">
      <w:pPr>
        <w:pStyle w:val="ListParagraph"/>
        <w:numPr>
          <w:ilvl w:val="0"/>
          <w:numId w:val="13"/>
        </w:numPr>
        <w:spacing w:line="259" w:lineRule="auto"/>
        <w:jc w:val="both"/>
        <w:rPr>
          <w:sz w:val="22"/>
          <w:szCs w:val="22"/>
          <w:lang w:val="es-CL"/>
        </w:rPr>
      </w:pPr>
      <w:r w:rsidRPr="00672AFA">
        <w:rPr>
          <w:sz w:val="22"/>
          <w:szCs w:val="22"/>
          <w:lang w:val="es-CL"/>
        </w:rPr>
        <w:t>Demostrar que poseen instalaciones adecuadas y que tienen capacidad para gestionar el volumen de fondos y ejecutar las actividades acordadas de manera eficiente y eficaz, así como para participar en actividades de planificación, seguimiento y garantía;</w:t>
      </w:r>
    </w:p>
    <w:p w14:paraId="51E8CE73" w14:textId="61432F43" w:rsidR="00FE2401" w:rsidRPr="00672AFA" w:rsidRDefault="00FE2401" w:rsidP="00DF6713">
      <w:pPr>
        <w:pStyle w:val="ListParagraph"/>
        <w:numPr>
          <w:ilvl w:val="0"/>
          <w:numId w:val="13"/>
        </w:numPr>
        <w:spacing w:line="259" w:lineRule="auto"/>
        <w:jc w:val="both"/>
        <w:rPr>
          <w:sz w:val="22"/>
          <w:szCs w:val="22"/>
          <w:lang w:val="es-CL"/>
        </w:rPr>
      </w:pPr>
      <w:r w:rsidRPr="00672AFA">
        <w:rPr>
          <w:sz w:val="22"/>
          <w:szCs w:val="22"/>
          <w:lang w:val="es-CL"/>
        </w:rPr>
        <w:t>Demostrar su capacidad para operar en las áreas objetivo;</w:t>
      </w:r>
    </w:p>
    <w:p w14:paraId="2BB5F503" w14:textId="13BF7318" w:rsidR="00FE2401" w:rsidRPr="00672AFA" w:rsidRDefault="00FE2401" w:rsidP="00DF6713">
      <w:pPr>
        <w:pStyle w:val="ListParagraph"/>
        <w:numPr>
          <w:ilvl w:val="0"/>
          <w:numId w:val="13"/>
        </w:numPr>
        <w:spacing w:line="259" w:lineRule="auto"/>
        <w:jc w:val="both"/>
        <w:rPr>
          <w:sz w:val="22"/>
          <w:szCs w:val="22"/>
          <w:lang w:val="es-CL"/>
        </w:rPr>
      </w:pPr>
      <w:r w:rsidRPr="00672AFA">
        <w:rPr>
          <w:sz w:val="22"/>
          <w:szCs w:val="22"/>
          <w:lang w:val="es-CL"/>
        </w:rPr>
        <w:t xml:space="preserve">Demostrar competencias de gestión y de mantenimiento de registros, así como un personal permanente y </w:t>
      </w:r>
      <w:r w:rsidR="0042579F" w:rsidRPr="00672AFA">
        <w:rPr>
          <w:sz w:val="22"/>
          <w:szCs w:val="22"/>
          <w:lang w:val="es-CL"/>
        </w:rPr>
        <w:t>la habilidad</w:t>
      </w:r>
      <w:r w:rsidRPr="00672AFA">
        <w:rPr>
          <w:sz w:val="22"/>
          <w:szCs w:val="22"/>
          <w:lang w:val="es-CL"/>
        </w:rPr>
        <w:t xml:space="preserve"> </w:t>
      </w:r>
      <w:r w:rsidR="0042579F" w:rsidRPr="00672AFA">
        <w:rPr>
          <w:sz w:val="22"/>
          <w:szCs w:val="22"/>
          <w:lang w:val="es-CL"/>
        </w:rPr>
        <w:t>de</w:t>
      </w:r>
      <w:r w:rsidRPr="00672AFA">
        <w:rPr>
          <w:sz w:val="22"/>
          <w:szCs w:val="22"/>
          <w:lang w:val="es-CL"/>
        </w:rPr>
        <w:t xml:space="preserve"> gestionar y apoyar al personal </w:t>
      </w:r>
      <w:r w:rsidR="0042579F" w:rsidRPr="00672AFA">
        <w:rPr>
          <w:sz w:val="22"/>
          <w:szCs w:val="22"/>
          <w:lang w:val="es-CL"/>
        </w:rPr>
        <w:t>en</w:t>
      </w:r>
      <w:r w:rsidRPr="00672AFA">
        <w:rPr>
          <w:sz w:val="22"/>
          <w:szCs w:val="22"/>
          <w:lang w:val="es-CL"/>
        </w:rPr>
        <w:t xml:space="preserve"> terreno (cuando </w:t>
      </w:r>
      <w:r w:rsidR="0042579F" w:rsidRPr="00672AFA">
        <w:rPr>
          <w:sz w:val="22"/>
          <w:szCs w:val="22"/>
          <w:lang w:val="es-CL"/>
        </w:rPr>
        <w:t xml:space="preserve">fuere </w:t>
      </w:r>
      <w:r w:rsidRPr="00672AFA">
        <w:rPr>
          <w:sz w:val="22"/>
          <w:szCs w:val="22"/>
          <w:lang w:val="es-CL"/>
        </w:rPr>
        <w:t>proced</w:t>
      </w:r>
      <w:r w:rsidR="0042579F" w:rsidRPr="00672AFA">
        <w:rPr>
          <w:sz w:val="22"/>
          <w:szCs w:val="22"/>
          <w:lang w:val="es-CL"/>
        </w:rPr>
        <w:t>ente</w:t>
      </w:r>
      <w:r w:rsidRPr="00672AFA">
        <w:rPr>
          <w:sz w:val="22"/>
          <w:szCs w:val="22"/>
          <w:lang w:val="es-CL"/>
        </w:rPr>
        <w:t>).</w:t>
      </w:r>
    </w:p>
    <w:bookmarkEnd w:id="0"/>
    <w:p w14:paraId="25D57194" w14:textId="60DF476D" w:rsidR="00D341A2" w:rsidRPr="00672AFA" w:rsidRDefault="00D341A2" w:rsidP="00B10BE9">
      <w:pPr>
        <w:jc w:val="both"/>
        <w:rPr>
          <w:sz w:val="22"/>
          <w:szCs w:val="22"/>
          <w:lang w:val="es-CL"/>
        </w:rPr>
      </w:pPr>
      <w:r w:rsidRPr="00672AFA">
        <w:rPr>
          <w:sz w:val="22"/>
          <w:szCs w:val="22"/>
          <w:lang w:val="es-CL"/>
        </w:rPr>
        <w:lastRenderedPageBreak/>
        <w:t xml:space="preserve">Se dará preferencia a los proyectos diseñados y ejecutados predominantemente por </w:t>
      </w:r>
      <w:r w:rsidR="000F4D44" w:rsidRPr="00672AFA">
        <w:rPr>
          <w:sz w:val="22"/>
          <w:szCs w:val="22"/>
          <w:lang w:val="es-CL"/>
        </w:rPr>
        <w:t>organizaciones</w:t>
      </w:r>
      <w:r w:rsidRPr="00672AFA">
        <w:rPr>
          <w:sz w:val="22"/>
          <w:szCs w:val="22"/>
          <w:lang w:val="es-CL"/>
        </w:rPr>
        <w:t xml:space="preserve"> locales/de base, incluidos aquellos arraigados en comunidades indígenas.</w:t>
      </w:r>
    </w:p>
    <w:p w14:paraId="550567E1" w14:textId="475E5460" w:rsidR="00752727" w:rsidRPr="00672AFA" w:rsidRDefault="00752727" w:rsidP="00B10BE9">
      <w:pPr>
        <w:jc w:val="both"/>
        <w:rPr>
          <w:sz w:val="22"/>
          <w:szCs w:val="22"/>
          <w:lang w:val="es-CL"/>
        </w:rPr>
      </w:pPr>
      <w:r w:rsidRPr="00672AFA">
        <w:rPr>
          <w:sz w:val="22"/>
          <w:szCs w:val="22"/>
          <w:lang w:val="es-CL"/>
        </w:rPr>
        <w:t xml:space="preserve">Las iniciativas basadas en </w:t>
      </w:r>
      <w:r w:rsidR="00BB2B62" w:rsidRPr="00672AFA">
        <w:rPr>
          <w:sz w:val="22"/>
          <w:szCs w:val="22"/>
          <w:lang w:val="es-CL"/>
        </w:rPr>
        <w:t>la colaboración o coaliciones son altamente recomendadas, por cuanto la complejidad de</w:t>
      </w:r>
      <w:r w:rsidR="00BB2B62" w:rsidRPr="00672AFA">
        <w:rPr>
          <w:lang w:val="es-CL"/>
        </w:rPr>
        <w:t xml:space="preserve"> </w:t>
      </w:r>
      <w:r w:rsidR="00BB2B62" w:rsidRPr="00672AFA">
        <w:rPr>
          <w:sz w:val="22"/>
          <w:szCs w:val="22"/>
          <w:lang w:val="es-CL"/>
        </w:rPr>
        <w:t xml:space="preserve">las cuestiones relativas a la seguridad de los periodistas y la libertad de </w:t>
      </w:r>
      <w:r w:rsidR="00630F3E" w:rsidRPr="00672AFA">
        <w:rPr>
          <w:sz w:val="22"/>
          <w:szCs w:val="22"/>
          <w:lang w:val="es-CL"/>
        </w:rPr>
        <w:t xml:space="preserve">prensa –en particular aquéllas relacionadas con el reporteo de cuestiones medioambientales– </w:t>
      </w:r>
      <w:r w:rsidR="00064868" w:rsidRPr="00672AFA">
        <w:rPr>
          <w:sz w:val="22"/>
          <w:szCs w:val="22"/>
          <w:lang w:val="es-CL"/>
        </w:rPr>
        <w:t xml:space="preserve">exige la acción concertada de las partes interesadas. No obstante, </w:t>
      </w:r>
      <w:r w:rsidR="003D3C6B" w:rsidRPr="00672AFA">
        <w:rPr>
          <w:sz w:val="22"/>
          <w:szCs w:val="22"/>
          <w:lang w:val="es-CL"/>
        </w:rPr>
        <w:t xml:space="preserve">hay que tener cuenta que </w:t>
      </w:r>
      <w:r w:rsidR="00064868" w:rsidRPr="00672AFA">
        <w:rPr>
          <w:sz w:val="22"/>
          <w:szCs w:val="22"/>
          <w:lang w:val="es-CL"/>
        </w:rPr>
        <w:t>las propuestas de asociación sólo pueden ser presentadas por una</w:t>
      </w:r>
      <w:r w:rsidR="003D3C6B" w:rsidRPr="00672AFA">
        <w:rPr>
          <w:sz w:val="22"/>
          <w:szCs w:val="22"/>
          <w:lang w:val="es-CL"/>
        </w:rPr>
        <w:t xml:space="preserve"> sola</w:t>
      </w:r>
      <w:r w:rsidR="00064868" w:rsidRPr="00672AFA">
        <w:rPr>
          <w:sz w:val="22"/>
          <w:szCs w:val="22"/>
          <w:lang w:val="es-CL"/>
        </w:rPr>
        <w:t xml:space="preserve"> entidad (</w:t>
      </w:r>
      <w:r w:rsidR="003D3C6B" w:rsidRPr="00672AFA">
        <w:rPr>
          <w:sz w:val="22"/>
          <w:szCs w:val="22"/>
          <w:lang w:val="es-CL"/>
        </w:rPr>
        <w:t>el candidato principal</w:t>
      </w:r>
      <w:r w:rsidR="00064868" w:rsidRPr="00672AFA">
        <w:rPr>
          <w:sz w:val="22"/>
          <w:szCs w:val="22"/>
          <w:lang w:val="es-CL"/>
        </w:rPr>
        <w:t>),</w:t>
      </w:r>
      <w:r w:rsidR="003D3C6B" w:rsidRPr="00672AFA">
        <w:rPr>
          <w:sz w:val="22"/>
          <w:szCs w:val="22"/>
          <w:lang w:val="es-CL"/>
        </w:rPr>
        <w:t xml:space="preserve"> la</w:t>
      </w:r>
      <w:r w:rsidR="00064868" w:rsidRPr="00672AFA">
        <w:rPr>
          <w:sz w:val="22"/>
          <w:szCs w:val="22"/>
          <w:lang w:val="es-CL"/>
        </w:rPr>
        <w:t xml:space="preserve"> que será la contraparte de la UNESCO en el marco del </w:t>
      </w:r>
      <w:r w:rsidR="00AB2770" w:rsidRPr="00672AFA">
        <w:rPr>
          <w:sz w:val="22"/>
          <w:szCs w:val="22"/>
          <w:lang w:val="es-CL"/>
        </w:rPr>
        <w:t>contrato correspondiente</w:t>
      </w:r>
      <w:r w:rsidR="00064868" w:rsidRPr="00672AFA">
        <w:rPr>
          <w:sz w:val="22"/>
          <w:szCs w:val="22"/>
          <w:lang w:val="es-CL"/>
        </w:rPr>
        <w:t xml:space="preserve"> ("</w:t>
      </w:r>
      <w:r w:rsidR="003D3C6B" w:rsidRPr="00672AFA">
        <w:rPr>
          <w:sz w:val="22"/>
          <w:szCs w:val="22"/>
          <w:lang w:val="es-CL"/>
        </w:rPr>
        <w:t>Acuerdo de Socios Ejecutores</w:t>
      </w:r>
      <w:r w:rsidR="00064868" w:rsidRPr="00672AFA">
        <w:rPr>
          <w:sz w:val="22"/>
          <w:szCs w:val="22"/>
          <w:lang w:val="es-CL"/>
        </w:rPr>
        <w:t>").</w:t>
      </w:r>
    </w:p>
    <w:p w14:paraId="2AAE59B0" w14:textId="77777777" w:rsidR="001B4559" w:rsidRPr="00672AFA" w:rsidRDefault="00505491" w:rsidP="00B10BE9">
      <w:pPr>
        <w:jc w:val="both"/>
        <w:rPr>
          <w:sz w:val="22"/>
          <w:szCs w:val="22"/>
          <w:lang w:val="es-CL"/>
        </w:rPr>
      </w:pPr>
      <w:r w:rsidRPr="00672AFA">
        <w:rPr>
          <w:sz w:val="22"/>
          <w:szCs w:val="22"/>
          <w:lang w:val="es-CL"/>
        </w:rPr>
        <w:t xml:space="preserve">Las organizaciones a las que ya se les haya concedido un financiamiento en el marco de una de las Convocatorias de Propuestas anteriores del GMDF, del programa regular de la UNESCO o de otras modalidades extrapresupuestarias (como el </w:t>
      </w:r>
      <w:hyperlink r:id="rId18" w:history="1">
        <w:r w:rsidR="00220F32" w:rsidRPr="00672AFA">
          <w:rPr>
            <w:rStyle w:val="Hyperlink"/>
            <w:sz w:val="22"/>
            <w:szCs w:val="22"/>
            <w:lang w:val="es-CL"/>
          </w:rPr>
          <w:t>Programa Internacional para el Desarrollo de la Comunicación</w:t>
        </w:r>
      </w:hyperlink>
      <w:r w:rsidRPr="00672AFA">
        <w:rPr>
          <w:sz w:val="22"/>
          <w:szCs w:val="22"/>
          <w:lang w:val="es-CL"/>
        </w:rPr>
        <w:t xml:space="preserve"> o el </w:t>
      </w:r>
      <w:hyperlink r:id="rId19" w:history="1">
        <w:r w:rsidRPr="00672AFA">
          <w:rPr>
            <w:rStyle w:val="Hyperlink"/>
            <w:sz w:val="22"/>
            <w:szCs w:val="22"/>
            <w:lang w:val="es-CL"/>
          </w:rPr>
          <w:t>Programa de Donantes Múltiples para la Libertad de Expresión y la Seguridad de Periodistas</w:t>
        </w:r>
      </w:hyperlink>
      <w:r w:rsidRPr="00672AFA">
        <w:rPr>
          <w:sz w:val="22"/>
          <w:szCs w:val="22"/>
          <w:lang w:val="es-CL"/>
        </w:rPr>
        <w:t xml:space="preserve">) también pueden </w:t>
      </w:r>
      <w:r w:rsidR="00220F32" w:rsidRPr="00672AFA">
        <w:rPr>
          <w:sz w:val="22"/>
          <w:szCs w:val="22"/>
          <w:lang w:val="es-CL"/>
        </w:rPr>
        <w:t>ser candidatas a un</w:t>
      </w:r>
      <w:r w:rsidRPr="00672AFA">
        <w:rPr>
          <w:sz w:val="22"/>
          <w:szCs w:val="22"/>
          <w:lang w:val="es-CL"/>
        </w:rPr>
        <w:t xml:space="preserve"> financiamiento bajo el Fondo Mundial para la Defensa de los Medios, siempre y cuando éstas cumplan con los requisitos enumerados anteriormente. </w:t>
      </w:r>
    </w:p>
    <w:p w14:paraId="356BD0E2" w14:textId="733070D7" w:rsidR="00B10BE9" w:rsidRPr="00672AFA" w:rsidRDefault="00505491" w:rsidP="008C7D9D">
      <w:pPr>
        <w:jc w:val="both"/>
        <w:rPr>
          <w:sz w:val="22"/>
          <w:szCs w:val="22"/>
          <w:lang w:val="es-CL"/>
        </w:rPr>
      </w:pPr>
      <w:r w:rsidRPr="00672AFA">
        <w:rPr>
          <w:sz w:val="22"/>
          <w:szCs w:val="22"/>
          <w:lang w:val="es-CL"/>
        </w:rPr>
        <w:t>Cada</w:t>
      </w:r>
      <w:r w:rsidR="00B842ED" w:rsidRPr="00672AFA">
        <w:rPr>
          <w:sz w:val="22"/>
          <w:szCs w:val="22"/>
          <w:lang w:val="es-CL"/>
        </w:rPr>
        <w:t xml:space="preserve"> organización</w:t>
      </w:r>
      <w:r w:rsidRPr="00672AFA">
        <w:rPr>
          <w:sz w:val="22"/>
          <w:szCs w:val="22"/>
          <w:lang w:val="es-CL"/>
        </w:rPr>
        <w:t xml:space="preserve"> candidata podrá presentar sólo una propuesta de </w:t>
      </w:r>
      <w:r w:rsidR="00B842ED" w:rsidRPr="00672AFA">
        <w:rPr>
          <w:sz w:val="22"/>
          <w:szCs w:val="22"/>
          <w:lang w:val="es-CL"/>
        </w:rPr>
        <w:t>asociación</w:t>
      </w:r>
      <w:r w:rsidR="001B4559" w:rsidRPr="00672AFA">
        <w:rPr>
          <w:sz w:val="22"/>
          <w:szCs w:val="22"/>
          <w:lang w:val="es-CL"/>
        </w:rPr>
        <w:t xml:space="preserve"> bajo esta </w:t>
      </w:r>
      <w:r w:rsidR="008C7D9D" w:rsidRPr="00672AFA">
        <w:rPr>
          <w:sz w:val="22"/>
          <w:szCs w:val="22"/>
          <w:lang w:val="es-CL"/>
        </w:rPr>
        <w:t>Convocatoria</w:t>
      </w:r>
      <w:r w:rsidR="001B4559" w:rsidRPr="00672AFA">
        <w:rPr>
          <w:sz w:val="22"/>
          <w:szCs w:val="22"/>
          <w:lang w:val="es-CL"/>
        </w:rPr>
        <w:t xml:space="preserve"> de Propuestas</w:t>
      </w:r>
      <w:r w:rsidRPr="00672AFA">
        <w:rPr>
          <w:sz w:val="22"/>
          <w:szCs w:val="22"/>
          <w:lang w:val="es-CL"/>
        </w:rPr>
        <w:t xml:space="preserve">, </w:t>
      </w:r>
      <w:proofErr w:type="gramStart"/>
      <w:r w:rsidRPr="00672AFA">
        <w:rPr>
          <w:sz w:val="22"/>
          <w:szCs w:val="22"/>
          <w:lang w:val="es-CL"/>
        </w:rPr>
        <w:t>y</w:t>
      </w:r>
      <w:proofErr w:type="gramEnd"/>
      <w:r w:rsidRPr="00672AFA">
        <w:rPr>
          <w:sz w:val="22"/>
          <w:szCs w:val="22"/>
          <w:lang w:val="es-CL"/>
        </w:rPr>
        <w:t xml:space="preserve"> por tanto, </w:t>
      </w:r>
      <w:r w:rsidR="008C7D9D" w:rsidRPr="00672AFA">
        <w:rPr>
          <w:sz w:val="22"/>
          <w:szCs w:val="22"/>
          <w:lang w:val="es-CL"/>
        </w:rPr>
        <w:t xml:space="preserve">no </w:t>
      </w:r>
      <w:r w:rsidR="00B842ED" w:rsidRPr="00672AFA">
        <w:rPr>
          <w:sz w:val="22"/>
          <w:szCs w:val="22"/>
          <w:lang w:val="es-CL"/>
        </w:rPr>
        <w:t xml:space="preserve">podrá ser seleccionada </w:t>
      </w:r>
      <w:r w:rsidR="008C7D9D" w:rsidRPr="00672AFA">
        <w:rPr>
          <w:sz w:val="22"/>
          <w:szCs w:val="22"/>
          <w:lang w:val="es-CL"/>
        </w:rPr>
        <w:t>pa</w:t>
      </w:r>
      <w:r w:rsidR="00B842ED" w:rsidRPr="00672AFA">
        <w:rPr>
          <w:sz w:val="22"/>
          <w:szCs w:val="22"/>
          <w:lang w:val="es-CL"/>
        </w:rPr>
        <w:t>ra</w:t>
      </w:r>
      <w:r w:rsidRPr="00672AFA">
        <w:rPr>
          <w:sz w:val="22"/>
          <w:szCs w:val="22"/>
          <w:lang w:val="es-CL"/>
        </w:rPr>
        <w:t xml:space="preserve"> más de una subvención</w:t>
      </w:r>
      <w:r w:rsidR="008C7D9D" w:rsidRPr="00672AFA">
        <w:rPr>
          <w:sz w:val="22"/>
          <w:szCs w:val="22"/>
          <w:lang w:val="es-CL"/>
        </w:rPr>
        <w:t>.</w:t>
      </w:r>
    </w:p>
    <w:p w14:paraId="65658397" w14:textId="204C1E04" w:rsidR="00E95AFA" w:rsidRPr="00672AFA" w:rsidRDefault="00E95AFA" w:rsidP="00E95AFA">
      <w:pPr>
        <w:jc w:val="both"/>
        <w:rPr>
          <w:b/>
          <w:bCs/>
          <w:sz w:val="22"/>
          <w:szCs w:val="22"/>
          <w:lang w:val="es-CL"/>
        </w:rPr>
      </w:pPr>
      <w:r w:rsidRPr="00672AFA">
        <w:rPr>
          <w:b/>
          <w:bCs/>
          <w:sz w:val="22"/>
          <w:szCs w:val="22"/>
          <w:highlight w:val="lightGray"/>
          <w:lang w:val="es-CL"/>
        </w:rPr>
        <w:t xml:space="preserve">3.2.2. </w:t>
      </w:r>
      <w:r w:rsidR="0027044F" w:rsidRPr="00672AFA">
        <w:rPr>
          <w:b/>
          <w:bCs/>
          <w:sz w:val="22"/>
          <w:szCs w:val="22"/>
          <w:highlight w:val="lightGray"/>
          <w:lang w:val="es-CL"/>
        </w:rPr>
        <w:t>PROPUESTAS DE ASOCIACIÓN ELEGIBLES</w:t>
      </w:r>
    </w:p>
    <w:p w14:paraId="02761A64" w14:textId="29032FDB" w:rsidR="00E95AFA" w:rsidRPr="00672AFA" w:rsidRDefault="006912D1" w:rsidP="00E95AFA">
      <w:pPr>
        <w:jc w:val="both"/>
        <w:rPr>
          <w:b/>
          <w:bCs/>
          <w:sz w:val="22"/>
          <w:szCs w:val="22"/>
          <w:u w:val="single"/>
          <w:lang w:val="es-CL"/>
        </w:rPr>
      </w:pPr>
      <w:r w:rsidRPr="00672AFA">
        <w:rPr>
          <w:b/>
          <w:bCs/>
          <w:sz w:val="22"/>
          <w:szCs w:val="22"/>
          <w:u w:val="single"/>
          <w:lang w:val="es-CL"/>
        </w:rPr>
        <w:t xml:space="preserve">REQUISITOS </w:t>
      </w:r>
      <w:r w:rsidR="00456741" w:rsidRPr="00672AFA">
        <w:rPr>
          <w:b/>
          <w:bCs/>
          <w:sz w:val="22"/>
          <w:szCs w:val="22"/>
          <w:u w:val="single"/>
          <w:lang w:val="es-CL"/>
        </w:rPr>
        <w:t>BÁSICOS</w:t>
      </w:r>
    </w:p>
    <w:p w14:paraId="60B3F8B8" w14:textId="3FA81632" w:rsidR="00F072FD" w:rsidRPr="00672AFA" w:rsidRDefault="00E272B7" w:rsidP="00B30063">
      <w:pPr>
        <w:jc w:val="both"/>
        <w:rPr>
          <w:sz w:val="22"/>
          <w:szCs w:val="22"/>
          <w:lang w:val="es-CL"/>
        </w:rPr>
      </w:pPr>
      <w:r w:rsidRPr="00672AFA">
        <w:rPr>
          <w:b/>
          <w:bCs/>
          <w:sz w:val="22"/>
          <w:szCs w:val="22"/>
          <w:lang w:val="es-CL"/>
        </w:rPr>
        <w:t xml:space="preserve">1. </w:t>
      </w:r>
      <w:r w:rsidR="006912D1" w:rsidRPr="00672AFA">
        <w:rPr>
          <w:b/>
          <w:bCs/>
          <w:sz w:val="22"/>
          <w:szCs w:val="22"/>
          <w:u w:val="single"/>
          <w:lang w:val="es-CL"/>
        </w:rPr>
        <w:t>Propuesta Técnica</w:t>
      </w:r>
      <w:r w:rsidR="00973602" w:rsidRPr="00672AFA">
        <w:rPr>
          <w:b/>
          <w:bCs/>
          <w:sz w:val="22"/>
          <w:szCs w:val="22"/>
          <w:u w:val="single"/>
          <w:lang w:val="es-CL"/>
        </w:rPr>
        <w:t xml:space="preserve"> (</w:t>
      </w:r>
      <w:r w:rsidR="006912D1" w:rsidRPr="00672AFA">
        <w:rPr>
          <w:b/>
          <w:bCs/>
          <w:sz w:val="22"/>
          <w:szCs w:val="22"/>
          <w:u w:val="single"/>
          <w:lang w:val="es-CL"/>
        </w:rPr>
        <w:t>Formulario de Candidatura</w:t>
      </w:r>
      <w:r w:rsidR="00BD7FDD" w:rsidRPr="00672AFA">
        <w:rPr>
          <w:b/>
          <w:bCs/>
          <w:sz w:val="22"/>
          <w:szCs w:val="22"/>
          <w:u w:val="single"/>
          <w:lang w:val="es-CL"/>
        </w:rPr>
        <w:t>)</w:t>
      </w:r>
      <w:r w:rsidR="003B550D" w:rsidRPr="00672AFA">
        <w:rPr>
          <w:b/>
          <w:bCs/>
          <w:sz w:val="22"/>
          <w:szCs w:val="22"/>
          <w:lang w:val="es-CL"/>
        </w:rPr>
        <w:t>:</w:t>
      </w:r>
      <w:r w:rsidR="00B30063" w:rsidRPr="00672AFA">
        <w:rPr>
          <w:b/>
          <w:bCs/>
          <w:sz w:val="22"/>
          <w:szCs w:val="22"/>
          <w:lang w:val="es-CL"/>
        </w:rPr>
        <w:t xml:space="preserve"> </w:t>
      </w:r>
      <w:r w:rsidR="00456741" w:rsidRPr="00672AFA">
        <w:rPr>
          <w:sz w:val="22"/>
          <w:szCs w:val="22"/>
          <w:lang w:val="es-CL"/>
        </w:rPr>
        <w:t xml:space="preserve">Para que una propuesta de asociación sea admisible, las organizaciones candidatas </w:t>
      </w:r>
      <w:r w:rsidR="005C40E4" w:rsidRPr="00672AFA">
        <w:rPr>
          <w:sz w:val="22"/>
          <w:szCs w:val="22"/>
          <w:lang w:val="es-CL"/>
        </w:rPr>
        <w:t>deben completar</w:t>
      </w:r>
      <w:r w:rsidR="00456741" w:rsidRPr="00672AFA">
        <w:rPr>
          <w:sz w:val="22"/>
          <w:szCs w:val="22"/>
          <w:lang w:val="es-CL"/>
        </w:rPr>
        <w:t xml:space="preserve"> íntegramente todas las secciones del </w:t>
      </w:r>
      <w:r w:rsidR="005C40E4" w:rsidRPr="00672AFA">
        <w:rPr>
          <w:sz w:val="22"/>
          <w:szCs w:val="22"/>
          <w:lang w:val="es-CL"/>
        </w:rPr>
        <w:t>Formulario de Candidatura</w:t>
      </w:r>
      <w:r w:rsidR="00456741" w:rsidRPr="00672AFA">
        <w:rPr>
          <w:sz w:val="22"/>
          <w:szCs w:val="22"/>
          <w:lang w:val="es-CL"/>
        </w:rPr>
        <w:t xml:space="preserve"> (</w:t>
      </w:r>
      <w:r w:rsidR="005C40E4" w:rsidRPr="00672AFA">
        <w:rPr>
          <w:sz w:val="22"/>
          <w:szCs w:val="22"/>
          <w:lang w:val="es-CL"/>
        </w:rPr>
        <w:t>A</w:t>
      </w:r>
      <w:r w:rsidR="00456741" w:rsidRPr="00672AFA">
        <w:rPr>
          <w:sz w:val="22"/>
          <w:szCs w:val="22"/>
          <w:lang w:val="es-CL"/>
        </w:rPr>
        <w:t>nexo 3).</w:t>
      </w:r>
    </w:p>
    <w:p w14:paraId="7A99CD53" w14:textId="324634F3" w:rsidR="003A56BF" w:rsidRPr="00672AFA" w:rsidRDefault="003A56BF" w:rsidP="00B30063">
      <w:pPr>
        <w:jc w:val="both"/>
        <w:rPr>
          <w:sz w:val="22"/>
          <w:szCs w:val="22"/>
          <w:lang w:val="es-CL"/>
        </w:rPr>
      </w:pPr>
      <w:r w:rsidRPr="00672AFA">
        <w:rPr>
          <w:sz w:val="22"/>
          <w:szCs w:val="22"/>
          <w:lang w:val="es-CL"/>
        </w:rPr>
        <w:t>Las propuestas de asociación deben cumplir los siguientes criterios:</w:t>
      </w:r>
    </w:p>
    <w:p w14:paraId="4482F795" w14:textId="7538DE74" w:rsidR="00E86722" w:rsidRPr="00672AFA" w:rsidRDefault="009E717C" w:rsidP="00F072FD">
      <w:pPr>
        <w:pStyle w:val="ListParagraph"/>
        <w:numPr>
          <w:ilvl w:val="0"/>
          <w:numId w:val="14"/>
        </w:numPr>
        <w:jc w:val="both"/>
        <w:rPr>
          <w:sz w:val="22"/>
          <w:szCs w:val="22"/>
          <w:lang w:val="es-CL"/>
        </w:rPr>
      </w:pPr>
      <w:r w:rsidRPr="00672AFA">
        <w:rPr>
          <w:i/>
          <w:iCs/>
          <w:sz w:val="22"/>
          <w:szCs w:val="22"/>
          <w:lang w:val="es-CL"/>
        </w:rPr>
        <w:t>Conformidad con los Resultados del GMDF</w:t>
      </w:r>
      <w:r w:rsidR="00684B4C" w:rsidRPr="00672AFA">
        <w:rPr>
          <w:i/>
          <w:iCs/>
          <w:sz w:val="22"/>
          <w:szCs w:val="22"/>
          <w:lang w:val="es-CL"/>
        </w:rPr>
        <w:t>:</w:t>
      </w:r>
      <w:r w:rsidR="003F0F6D" w:rsidRPr="00672AFA">
        <w:rPr>
          <w:b/>
          <w:bCs/>
          <w:sz w:val="22"/>
          <w:szCs w:val="22"/>
          <w:lang w:val="es-CL"/>
        </w:rPr>
        <w:t xml:space="preserve"> </w:t>
      </w:r>
      <w:r w:rsidR="006E7280" w:rsidRPr="00672AFA">
        <w:rPr>
          <w:sz w:val="22"/>
          <w:szCs w:val="22"/>
          <w:lang w:val="es-CL"/>
        </w:rPr>
        <w:t>Los objetivos de</w:t>
      </w:r>
      <w:r w:rsidR="00773F2F" w:rsidRPr="00672AFA">
        <w:rPr>
          <w:sz w:val="22"/>
          <w:szCs w:val="22"/>
          <w:lang w:val="es-CL"/>
        </w:rPr>
        <w:t xml:space="preserve"> la acción propuesta deben contribuir al avance de al menos uno de los Resultados del GMDF cubiertos por esta Convocatoria. </w:t>
      </w:r>
    </w:p>
    <w:p w14:paraId="6C431A59" w14:textId="77777777" w:rsidR="002F2F8B" w:rsidRPr="00672AFA" w:rsidRDefault="002F2F8B" w:rsidP="002F2F8B">
      <w:pPr>
        <w:pStyle w:val="ListParagraph"/>
        <w:jc w:val="both"/>
        <w:rPr>
          <w:sz w:val="22"/>
          <w:szCs w:val="22"/>
          <w:lang w:val="es-CL"/>
        </w:rPr>
      </w:pPr>
    </w:p>
    <w:p w14:paraId="7FEFCFCB" w14:textId="47851711" w:rsidR="00276C4D" w:rsidRPr="00672AFA" w:rsidRDefault="00AA7B4F" w:rsidP="0034788A">
      <w:pPr>
        <w:pStyle w:val="ListParagraph"/>
        <w:numPr>
          <w:ilvl w:val="0"/>
          <w:numId w:val="14"/>
        </w:numPr>
        <w:jc w:val="both"/>
        <w:rPr>
          <w:sz w:val="22"/>
          <w:szCs w:val="22"/>
          <w:lang w:val="es-CL"/>
        </w:rPr>
      </w:pPr>
      <w:r w:rsidRPr="00672AFA">
        <w:rPr>
          <w:i/>
          <w:iCs/>
          <w:sz w:val="22"/>
          <w:szCs w:val="22"/>
          <w:lang w:val="es-CL"/>
        </w:rPr>
        <w:t xml:space="preserve">Enfoque </w:t>
      </w:r>
      <w:r w:rsidR="00D45188" w:rsidRPr="00672AFA">
        <w:rPr>
          <w:i/>
          <w:iCs/>
          <w:sz w:val="22"/>
          <w:szCs w:val="22"/>
          <w:lang w:val="es-CL"/>
        </w:rPr>
        <w:t>temático</w:t>
      </w:r>
      <w:r w:rsidR="00684B4C" w:rsidRPr="00672AFA">
        <w:rPr>
          <w:i/>
          <w:iCs/>
          <w:sz w:val="22"/>
          <w:szCs w:val="22"/>
          <w:lang w:val="es-CL"/>
        </w:rPr>
        <w:t>:</w:t>
      </w:r>
      <w:r w:rsidR="002F2F8B" w:rsidRPr="00672AFA">
        <w:rPr>
          <w:b/>
          <w:bCs/>
          <w:sz w:val="22"/>
          <w:szCs w:val="22"/>
          <w:lang w:val="es-CL"/>
        </w:rPr>
        <w:t xml:space="preserve"> </w:t>
      </w:r>
      <w:r w:rsidRPr="00672AFA">
        <w:rPr>
          <w:sz w:val="22"/>
          <w:szCs w:val="22"/>
          <w:lang w:val="es-CL"/>
        </w:rPr>
        <w:t xml:space="preserve">La propuesta de </w:t>
      </w:r>
      <w:r w:rsidR="00D45188" w:rsidRPr="00672AFA">
        <w:rPr>
          <w:sz w:val="22"/>
          <w:szCs w:val="22"/>
          <w:lang w:val="es-CL"/>
        </w:rPr>
        <w:t>asociación</w:t>
      </w:r>
      <w:r w:rsidRPr="00672AFA">
        <w:rPr>
          <w:sz w:val="22"/>
          <w:szCs w:val="22"/>
          <w:lang w:val="es-CL"/>
        </w:rPr>
        <w:t xml:space="preserve"> debe </w:t>
      </w:r>
      <w:r w:rsidR="009A7928" w:rsidRPr="00672AFA">
        <w:rPr>
          <w:sz w:val="22"/>
          <w:szCs w:val="22"/>
          <w:lang w:val="es-CL"/>
        </w:rPr>
        <w:t xml:space="preserve">estar alineada con el enfoque </w:t>
      </w:r>
      <w:r w:rsidR="00D45188" w:rsidRPr="00672AFA">
        <w:rPr>
          <w:sz w:val="22"/>
          <w:szCs w:val="22"/>
          <w:lang w:val="es-CL"/>
        </w:rPr>
        <w:t>temático</w:t>
      </w:r>
      <w:r w:rsidR="009A7928" w:rsidRPr="00672AFA">
        <w:rPr>
          <w:sz w:val="22"/>
          <w:szCs w:val="22"/>
          <w:lang w:val="es-CL"/>
        </w:rPr>
        <w:t xml:space="preserve"> de esta Convocatoria de Propuestas (fortalecer la </w:t>
      </w:r>
      <w:r w:rsidR="00D45188" w:rsidRPr="00672AFA">
        <w:rPr>
          <w:sz w:val="22"/>
          <w:szCs w:val="22"/>
          <w:lang w:val="es-CL"/>
        </w:rPr>
        <w:t>protección</w:t>
      </w:r>
      <w:r w:rsidR="009A7928" w:rsidRPr="00672AFA">
        <w:rPr>
          <w:sz w:val="22"/>
          <w:szCs w:val="22"/>
          <w:lang w:val="es-CL"/>
        </w:rPr>
        <w:t xml:space="preserve"> </w:t>
      </w:r>
      <w:r w:rsidR="00D45188" w:rsidRPr="00672AFA">
        <w:rPr>
          <w:sz w:val="22"/>
          <w:szCs w:val="22"/>
          <w:lang w:val="es-CL"/>
        </w:rPr>
        <w:t>jurídica</w:t>
      </w:r>
      <w:r w:rsidR="009A7928" w:rsidRPr="00672AFA">
        <w:rPr>
          <w:sz w:val="22"/>
          <w:szCs w:val="22"/>
          <w:lang w:val="es-CL"/>
        </w:rPr>
        <w:t xml:space="preserve"> de periodistas medioambientales y/o reducir la impunidad en casos de violencia, amenazas, y ataques contra </w:t>
      </w:r>
      <w:r w:rsidR="00D45188" w:rsidRPr="00672AFA">
        <w:rPr>
          <w:sz w:val="22"/>
          <w:szCs w:val="22"/>
          <w:lang w:val="es-CL"/>
        </w:rPr>
        <w:t>ellas y ellos).</w:t>
      </w:r>
    </w:p>
    <w:p w14:paraId="4D18130B" w14:textId="77777777" w:rsidR="0034788A" w:rsidRPr="00672AFA" w:rsidRDefault="0034788A" w:rsidP="0034788A">
      <w:pPr>
        <w:pStyle w:val="ListParagraph"/>
        <w:jc w:val="both"/>
        <w:rPr>
          <w:sz w:val="22"/>
          <w:szCs w:val="22"/>
          <w:lang w:val="es-CL"/>
        </w:rPr>
      </w:pPr>
    </w:p>
    <w:p w14:paraId="44C63CCA" w14:textId="5127430C" w:rsidR="003B6360" w:rsidRPr="00672AFA" w:rsidRDefault="00DF55ED" w:rsidP="003B6360">
      <w:pPr>
        <w:pStyle w:val="ListParagraph"/>
        <w:numPr>
          <w:ilvl w:val="0"/>
          <w:numId w:val="14"/>
        </w:numPr>
        <w:jc w:val="both"/>
        <w:rPr>
          <w:sz w:val="22"/>
          <w:szCs w:val="22"/>
          <w:lang w:val="es-CL"/>
        </w:rPr>
      </w:pPr>
      <w:r w:rsidRPr="00672AFA">
        <w:rPr>
          <w:i/>
          <w:iCs/>
          <w:sz w:val="22"/>
          <w:szCs w:val="22"/>
          <w:lang w:val="es-CL"/>
        </w:rPr>
        <w:t>Objetivos del proyecto</w:t>
      </w:r>
      <w:r w:rsidR="0063621D" w:rsidRPr="00672AFA">
        <w:rPr>
          <w:i/>
          <w:iCs/>
          <w:sz w:val="22"/>
          <w:szCs w:val="22"/>
          <w:lang w:val="es-CL"/>
        </w:rPr>
        <w:t xml:space="preserve"> </w:t>
      </w:r>
      <w:r w:rsidR="007A2340" w:rsidRPr="00672AFA">
        <w:rPr>
          <w:i/>
          <w:iCs/>
          <w:sz w:val="22"/>
          <w:szCs w:val="22"/>
          <w:lang w:val="es-CL"/>
        </w:rPr>
        <w:t>S.M.A.R.T.</w:t>
      </w:r>
      <w:r w:rsidR="0063621D" w:rsidRPr="00672AFA">
        <w:rPr>
          <w:i/>
          <w:iCs/>
          <w:sz w:val="22"/>
          <w:szCs w:val="22"/>
          <w:lang w:val="es-CL"/>
        </w:rPr>
        <w:t xml:space="preserve"> y </w:t>
      </w:r>
      <w:r w:rsidR="00255084" w:rsidRPr="00672AFA">
        <w:rPr>
          <w:i/>
          <w:iCs/>
          <w:sz w:val="22"/>
          <w:szCs w:val="22"/>
          <w:lang w:val="es-CL"/>
        </w:rPr>
        <w:t>Factibles</w:t>
      </w:r>
      <w:r w:rsidR="0063621D" w:rsidRPr="00672AFA">
        <w:rPr>
          <w:i/>
          <w:iCs/>
          <w:sz w:val="22"/>
          <w:szCs w:val="22"/>
          <w:lang w:val="es-CL"/>
        </w:rPr>
        <w:t>:</w:t>
      </w:r>
      <w:r w:rsidR="007A2340" w:rsidRPr="00672AFA">
        <w:rPr>
          <w:i/>
          <w:iCs/>
          <w:sz w:val="22"/>
          <w:szCs w:val="22"/>
          <w:lang w:val="es-CL"/>
        </w:rPr>
        <w:t xml:space="preserve"> and </w:t>
      </w:r>
      <w:proofErr w:type="spellStart"/>
      <w:r w:rsidR="00E65E3C" w:rsidRPr="00672AFA">
        <w:rPr>
          <w:i/>
          <w:iCs/>
          <w:sz w:val="22"/>
          <w:szCs w:val="22"/>
          <w:lang w:val="es-CL"/>
        </w:rPr>
        <w:t>Feasible</w:t>
      </w:r>
      <w:proofErr w:type="spellEnd"/>
      <w:r w:rsidR="00E65E3C" w:rsidRPr="00672AFA">
        <w:rPr>
          <w:i/>
          <w:iCs/>
          <w:sz w:val="22"/>
          <w:szCs w:val="22"/>
          <w:lang w:val="es-CL"/>
        </w:rPr>
        <w:t xml:space="preserve"> Project </w:t>
      </w:r>
      <w:proofErr w:type="spellStart"/>
      <w:r w:rsidR="00E65E3C" w:rsidRPr="00672AFA">
        <w:rPr>
          <w:i/>
          <w:iCs/>
          <w:sz w:val="22"/>
          <w:szCs w:val="22"/>
          <w:lang w:val="es-CL"/>
        </w:rPr>
        <w:t>Objectives</w:t>
      </w:r>
      <w:proofErr w:type="spellEnd"/>
      <w:r w:rsidR="00E65E3C" w:rsidRPr="00672AFA">
        <w:rPr>
          <w:i/>
          <w:iCs/>
          <w:sz w:val="22"/>
          <w:szCs w:val="22"/>
          <w:lang w:val="es-CL"/>
        </w:rPr>
        <w:t>:</w:t>
      </w:r>
      <w:r w:rsidR="007A2340" w:rsidRPr="00672AFA">
        <w:rPr>
          <w:i/>
          <w:iCs/>
          <w:sz w:val="22"/>
          <w:szCs w:val="22"/>
          <w:lang w:val="es-CL"/>
        </w:rPr>
        <w:t xml:space="preserve"> </w:t>
      </w:r>
      <w:r w:rsidR="00255084" w:rsidRPr="00672AFA">
        <w:rPr>
          <w:sz w:val="22"/>
          <w:szCs w:val="22"/>
          <w:lang w:val="es-CL"/>
        </w:rPr>
        <w:t>Los objetivos de la acción deben ser S.M.A.R.T. y factibles desde el punto de vista operativo, técnico y financiero</w:t>
      </w:r>
      <w:r w:rsidR="00F75DE1" w:rsidRPr="00672AFA">
        <w:rPr>
          <w:rStyle w:val="FootnoteReference"/>
          <w:sz w:val="22"/>
          <w:szCs w:val="22"/>
          <w:lang w:val="es-CL"/>
        </w:rPr>
        <w:footnoteReference w:id="1"/>
      </w:r>
      <w:r w:rsidR="00255084" w:rsidRPr="00672AFA">
        <w:rPr>
          <w:sz w:val="22"/>
          <w:szCs w:val="22"/>
          <w:lang w:val="es-CL"/>
        </w:rPr>
        <w:t xml:space="preserve">. Las modalidades de </w:t>
      </w:r>
      <w:proofErr w:type="spellStart"/>
      <w:r w:rsidR="00255084" w:rsidRPr="00672AFA">
        <w:rPr>
          <w:sz w:val="22"/>
          <w:szCs w:val="22"/>
          <w:lang w:val="es-CL"/>
        </w:rPr>
        <w:t>ejecuión</w:t>
      </w:r>
      <w:proofErr w:type="spellEnd"/>
      <w:r w:rsidR="00255084" w:rsidRPr="00672AFA">
        <w:rPr>
          <w:sz w:val="22"/>
          <w:szCs w:val="22"/>
          <w:lang w:val="es-CL"/>
        </w:rPr>
        <w:t xml:space="preserve"> propuestas deben contribuir de manera eficaz y eficiente al logro de los objetivos de la acción.</w:t>
      </w:r>
    </w:p>
    <w:p w14:paraId="274D5FB0" w14:textId="77777777" w:rsidR="003B6360" w:rsidRPr="00672AFA" w:rsidRDefault="003B6360" w:rsidP="003B6360">
      <w:pPr>
        <w:pStyle w:val="ListParagraph"/>
        <w:jc w:val="both"/>
        <w:rPr>
          <w:sz w:val="22"/>
          <w:szCs w:val="22"/>
          <w:lang w:val="es-CL"/>
        </w:rPr>
      </w:pPr>
    </w:p>
    <w:p w14:paraId="1A2BBBF3" w14:textId="3F324254" w:rsidR="00D0004F" w:rsidRPr="00672AFA" w:rsidRDefault="00BA3F77" w:rsidP="00625693">
      <w:pPr>
        <w:pStyle w:val="ListParagraph"/>
        <w:numPr>
          <w:ilvl w:val="0"/>
          <w:numId w:val="17"/>
        </w:numPr>
        <w:jc w:val="both"/>
        <w:rPr>
          <w:sz w:val="22"/>
          <w:szCs w:val="22"/>
          <w:lang w:val="es-CL"/>
        </w:rPr>
      </w:pPr>
      <w:r w:rsidRPr="00672AFA">
        <w:rPr>
          <w:i/>
          <w:iCs/>
          <w:sz w:val="22"/>
          <w:szCs w:val="22"/>
          <w:lang w:val="es-CL"/>
        </w:rPr>
        <w:t>Enfoque basado en los Derechos Humanos</w:t>
      </w:r>
      <w:r w:rsidR="00112C6C" w:rsidRPr="00672AFA">
        <w:rPr>
          <w:i/>
          <w:iCs/>
          <w:sz w:val="22"/>
          <w:szCs w:val="22"/>
          <w:lang w:val="es-CL"/>
        </w:rPr>
        <w:t xml:space="preserve">: </w:t>
      </w:r>
      <w:r w:rsidR="00D0004F" w:rsidRPr="00672AFA">
        <w:rPr>
          <w:sz w:val="22"/>
          <w:szCs w:val="22"/>
          <w:lang w:val="es-CL"/>
        </w:rPr>
        <w:t>Las acciones propuestas deben desarrollarse y ejecutarse sobre la base de un enfoque basado en los derechos humanos</w:t>
      </w:r>
      <w:r w:rsidR="009020D0" w:rsidRPr="00672AFA">
        <w:rPr>
          <w:sz w:val="22"/>
          <w:szCs w:val="22"/>
          <w:lang w:val="es-CL"/>
        </w:rPr>
        <w:t>, lo que significa que</w:t>
      </w:r>
      <w:r w:rsidR="00D0004F" w:rsidRPr="00672AFA">
        <w:rPr>
          <w:sz w:val="22"/>
          <w:szCs w:val="22"/>
          <w:lang w:val="es-CL"/>
        </w:rPr>
        <w:t xml:space="preserve"> deben estructurarse sobre la base de las normas internacionales de derechos humanos y estar dirigidas a promover y proteger los derechos humanos, y deben garantizar la participación de los más marginados, excluidos o discriminados.</w:t>
      </w:r>
    </w:p>
    <w:p w14:paraId="78D6190D" w14:textId="77777777" w:rsidR="00085EA2" w:rsidRPr="00672AFA" w:rsidRDefault="00085EA2" w:rsidP="00085EA2">
      <w:pPr>
        <w:pStyle w:val="ListParagraph"/>
        <w:jc w:val="both"/>
        <w:rPr>
          <w:i/>
          <w:iCs/>
          <w:sz w:val="22"/>
          <w:szCs w:val="22"/>
          <w:lang w:val="es-CL"/>
        </w:rPr>
      </w:pPr>
    </w:p>
    <w:p w14:paraId="797FFD4C" w14:textId="0FF8E20A" w:rsidR="00684B4C" w:rsidRPr="00672AFA" w:rsidRDefault="00DD013E" w:rsidP="00504604">
      <w:pPr>
        <w:pStyle w:val="ListParagraph"/>
        <w:jc w:val="both"/>
        <w:rPr>
          <w:sz w:val="22"/>
          <w:szCs w:val="22"/>
          <w:lang w:val="es-CL"/>
        </w:rPr>
      </w:pPr>
      <w:r w:rsidRPr="00672AFA">
        <w:rPr>
          <w:sz w:val="22"/>
          <w:szCs w:val="22"/>
          <w:lang w:val="es-CL"/>
        </w:rPr>
        <w:t xml:space="preserve">Todos los proyectos que reciban un financiamiento parcial o total del GMDF deberán atenerse a las normas internacionales sobre libertad de expresión y seguridad de los y las periodistas (según lo establecido en la DUDH y el PIDCP, </w:t>
      </w:r>
      <w:r w:rsidR="00F3675E" w:rsidRPr="00672AFA">
        <w:rPr>
          <w:sz w:val="22"/>
          <w:szCs w:val="22"/>
          <w:lang w:val="es-CL"/>
        </w:rPr>
        <w:t>y</w:t>
      </w:r>
      <w:r w:rsidRPr="00672AFA">
        <w:rPr>
          <w:sz w:val="22"/>
          <w:szCs w:val="22"/>
          <w:lang w:val="es-CL"/>
        </w:rPr>
        <w:t xml:space="preserve"> en las resoluciones pertinentes de la ONU y </w:t>
      </w:r>
      <w:r w:rsidR="00F3675E" w:rsidRPr="00672AFA">
        <w:rPr>
          <w:sz w:val="22"/>
          <w:szCs w:val="22"/>
          <w:lang w:val="es-CL"/>
        </w:rPr>
        <w:t xml:space="preserve">de </w:t>
      </w:r>
      <w:r w:rsidRPr="00672AFA">
        <w:rPr>
          <w:sz w:val="22"/>
          <w:szCs w:val="22"/>
          <w:lang w:val="es-CL"/>
        </w:rPr>
        <w:t xml:space="preserve">los organismos regionales de derechos humanos), y deberá </w:t>
      </w:r>
      <w:r w:rsidR="00F3675E" w:rsidRPr="00672AFA">
        <w:rPr>
          <w:sz w:val="22"/>
          <w:szCs w:val="22"/>
          <w:lang w:val="es-CL"/>
        </w:rPr>
        <w:t xml:space="preserve">conformarse </w:t>
      </w:r>
      <w:r w:rsidRPr="00672AFA">
        <w:rPr>
          <w:sz w:val="22"/>
          <w:szCs w:val="22"/>
          <w:lang w:val="es-CL"/>
        </w:rPr>
        <w:t>con el Plan de Acción de la ONU sobre la Seguridad de los y las Periodistas y la Cuestión de la Impunidad.</w:t>
      </w:r>
    </w:p>
    <w:p w14:paraId="1047D64A" w14:textId="77777777" w:rsidR="00504604" w:rsidRPr="00672AFA" w:rsidRDefault="00504604" w:rsidP="00504604">
      <w:pPr>
        <w:pStyle w:val="ListParagraph"/>
        <w:jc w:val="both"/>
        <w:rPr>
          <w:sz w:val="22"/>
          <w:szCs w:val="22"/>
          <w:lang w:val="es-CL"/>
        </w:rPr>
      </w:pPr>
    </w:p>
    <w:p w14:paraId="4C3EE6BC" w14:textId="4A3F0E7C" w:rsidR="00D23D95" w:rsidRPr="00672AFA" w:rsidRDefault="00504604" w:rsidP="00D23D95">
      <w:pPr>
        <w:pStyle w:val="ListParagraph"/>
        <w:numPr>
          <w:ilvl w:val="0"/>
          <w:numId w:val="17"/>
        </w:numPr>
        <w:jc w:val="both"/>
        <w:rPr>
          <w:sz w:val="22"/>
          <w:szCs w:val="22"/>
          <w:lang w:val="es-CL"/>
        </w:rPr>
      </w:pPr>
      <w:r w:rsidRPr="00672AFA">
        <w:rPr>
          <w:i/>
          <w:iCs/>
          <w:sz w:val="22"/>
          <w:szCs w:val="22"/>
          <w:lang w:val="es-CL"/>
        </w:rPr>
        <w:t>Igualdad de Género:</w:t>
      </w:r>
      <w:r w:rsidR="00CE1DE8" w:rsidRPr="00672AFA">
        <w:rPr>
          <w:i/>
          <w:iCs/>
          <w:sz w:val="22"/>
          <w:szCs w:val="22"/>
          <w:lang w:val="es-CL"/>
        </w:rPr>
        <w:t xml:space="preserve"> </w:t>
      </w:r>
      <w:r w:rsidR="00D23D95" w:rsidRPr="00672AFA">
        <w:rPr>
          <w:sz w:val="22"/>
          <w:szCs w:val="22"/>
          <w:lang w:val="es-CL"/>
        </w:rPr>
        <w:t>Todas las propuestas de asociación que busquen financiamiento del GMDF deberán incorporar una perspectiva de género en todo el desarrollo y la ejecución de la acción propuesta.</w:t>
      </w:r>
    </w:p>
    <w:p w14:paraId="732C2913" w14:textId="77777777" w:rsidR="00655F68" w:rsidRPr="00672AFA" w:rsidRDefault="00655F68" w:rsidP="00655F68">
      <w:pPr>
        <w:pStyle w:val="ListParagraph"/>
        <w:jc w:val="both"/>
        <w:rPr>
          <w:i/>
          <w:iCs/>
          <w:sz w:val="22"/>
          <w:szCs w:val="22"/>
          <w:lang w:val="es-CL"/>
        </w:rPr>
      </w:pPr>
    </w:p>
    <w:p w14:paraId="3AC6D934" w14:textId="7BC43A73" w:rsidR="003C1761" w:rsidRPr="00672AFA" w:rsidRDefault="00655F68" w:rsidP="003C1761">
      <w:pPr>
        <w:pStyle w:val="ListParagraph"/>
        <w:jc w:val="both"/>
        <w:rPr>
          <w:sz w:val="22"/>
          <w:szCs w:val="22"/>
          <w:lang w:val="es-CL"/>
        </w:rPr>
      </w:pPr>
      <w:r w:rsidRPr="00672AFA">
        <w:rPr>
          <w:sz w:val="22"/>
          <w:szCs w:val="22"/>
          <w:lang w:val="es-CL"/>
        </w:rPr>
        <w:t xml:space="preserve">Garantizar la participación igualitaria de mujeres, hombres y personas de otras identidades de género en la toma de decisiones y como beneficiarios/as de un proyecto es un primer paso, pero </w:t>
      </w:r>
      <w:r w:rsidR="003C1761" w:rsidRPr="00672AFA">
        <w:rPr>
          <w:sz w:val="22"/>
          <w:szCs w:val="22"/>
          <w:lang w:val="es-CL"/>
        </w:rPr>
        <w:t xml:space="preserve">esto </w:t>
      </w:r>
      <w:r w:rsidRPr="00672AFA">
        <w:rPr>
          <w:sz w:val="22"/>
          <w:szCs w:val="22"/>
          <w:u w:val="single"/>
          <w:lang w:val="es-CL"/>
        </w:rPr>
        <w:t>no</w:t>
      </w:r>
      <w:r w:rsidRPr="00672AFA">
        <w:rPr>
          <w:sz w:val="22"/>
          <w:szCs w:val="22"/>
          <w:lang w:val="es-CL"/>
        </w:rPr>
        <w:t xml:space="preserve"> satisface el requisito de </w:t>
      </w:r>
      <w:r w:rsidR="001429DF" w:rsidRPr="00672AFA">
        <w:rPr>
          <w:sz w:val="22"/>
          <w:szCs w:val="22"/>
          <w:lang w:val="es-CL"/>
        </w:rPr>
        <w:t>integración</w:t>
      </w:r>
      <w:r w:rsidRPr="00672AFA">
        <w:rPr>
          <w:sz w:val="22"/>
          <w:szCs w:val="22"/>
          <w:lang w:val="es-CL"/>
        </w:rPr>
        <w:t xml:space="preserve"> de</w:t>
      </w:r>
      <w:r w:rsidR="001429DF" w:rsidRPr="00672AFA">
        <w:rPr>
          <w:sz w:val="22"/>
          <w:szCs w:val="22"/>
          <w:lang w:val="es-CL"/>
        </w:rPr>
        <w:t>l</w:t>
      </w:r>
      <w:r w:rsidRPr="00672AFA">
        <w:rPr>
          <w:sz w:val="22"/>
          <w:szCs w:val="22"/>
          <w:lang w:val="es-CL"/>
        </w:rPr>
        <w:t xml:space="preserve"> género. Para lograr</w:t>
      </w:r>
      <w:r w:rsidR="003C1761" w:rsidRPr="00672AFA">
        <w:rPr>
          <w:sz w:val="22"/>
          <w:szCs w:val="22"/>
          <w:lang w:val="es-CL"/>
        </w:rPr>
        <w:t xml:space="preserve"> esto</w:t>
      </w:r>
      <w:r w:rsidRPr="00672AFA">
        <w:rPr>
          <w:sz w:val="22"/>
          <w:szCs w:val="22"/>
          <w:lang w:val="es-CL"/>
        </w:rPr>
        <w:t>, es necesario incorporar una perspectiva de igualdad de género en la identificación de los problemas, preocupaciones y necesidades de los beneficiarios</w:t>
      </w:r>
      <w:r w:rsidR="003C1761" w:rsidRPr="00672AFA">
        <w:rPr>
          <w:sz w:val="22"/>
          <w:szCs w:val="22"/>
          <w:lang w:val="es-CL"/>
        </w:rPr>
        <w:t>/as</w:t>
      </w:r>
      <w:r w:rsidRPr="00672AFA">
        <w:rPr>
          <w:sz w:val="22"/>
          <w:szCs w:val="22"/>
          <w:lang w:val="es-CL"/>
        </w:rPr>
        <w:t xml:space="preserve">, </w:t>
      </w:r>
      <w:r w:rsidR="003C1761" w:rsidRPr="00672AFA">
        <w:rPr>
          <w:sz w:val="22"/>
          <w:szCs w:val="22"/>
          <w:lang w:val="es-CL"/>
        </w:rPr>
        <w:t>y</w:t>
      </w:r>
      <w:r w:rsidRPr="00672AFA">
        <w:rPr>
          <w:sz w:val="22"/>
          <w:szCs w:val="22"/>
          <w:lang w:val="es-CL"/>
        </w:rPr>
        <w:t xml:space="preserve"> en la definición de las formas de abordarlos.</w:t>
      </w:r>
    </w:p>
    <w:p w14:paraId="444F0272" w14:textId="77777777" w:rsidR="003C1761" w:rsidRPr="00672AFA" w:rsidRDefault="003C1761" w:rsidP="003C1761">
      <w:pPr>
        <w:pStyle w:val="ListParagraph"/>
        <w:jc w:val="both"/>
        <w:rPr>
          <w:sz w:val="22"/>
          <w:szCs w:val="22"/>
          <w:lang w:val="es-CL"/>
        </w:rPr>
      </w:pPr>
    </w:p>
    <w:p w14:paraId="7FA50F94" w14:textId="682BB503" w:rsidR="003C1761" w:rsidRPr="00672AFA" w:rsidRDefault="003C1761" w:rsidP="003C1761">
      <w:pPr>
        <w:pStyle w:val="ListParagraph"/>
        <w:jc w:val="both"/>
        <w:rPr>
          <w:sz w:val="22"/>
          <w:szCs w:val="22"/>
          <w:lang w:val="es-CL"/>
        </w:rPr>
      </w:pPr>
      <w:r w:rsidRPr="00672AFA">
        <w:rPr>
          <w:sz w:val="22"/>
          <w:szCs w:val="22"/>
          <w:lang w:val="es-CL"/>
        </w:rPr>
        <w:t>Todas las acciones que reciban el apoyo del GMDF deben:</w:t>
      </w:r>
    </w:p>
    <w:p w14:paraId="06B181EC" w14:textId="5E4FD023" w:rsidR="003C1761" w:rsidRPr="00672AFA" w:rsidRDefault="00DB13A2" w:rsidP="003C1761">
      <w:pPr>
        <w:pStyle w:val="ListParagraph"/>
        <w:numPr>
          <w:ilvl w:val="0"/>
          <w:numId w:val="41"/>
        </w:numPr>
        <w:jc w:val="both"/>
        <w:rPr>
          <w:sz w:val="22"/>
          <w:szCs w:val="22"/>
          <w:lang w:val="es-CL"/>
        </w:rPr>
      </w:pPr>
      <w:r w:rsidRPr="00672AFA">
        <w:rPr>
          <w:sz w:val="22"/>
          <w:szCs w:val="22"/>
          <w:lang w:val="es-CL"/>
        </w:rPr>
        <w:t>Tomar activamente en cuenta los riesgos específicos que enfrentan las mujeres periodistas y los profesionales de medios de otras identidades de género en el ejercicio de su trabajo –incluida la discriminación y la violencia sexual y de género, la intimidación y el acoso, tanto en línea como fuera de línea– al adoptar medidas para abordar la seguridad de las y los periodistas;</w:t>
      </w:r>
    </w:p>
    <w:p w14:paraId="6703DC77" w14:textId="2F8CA9ED" w:rsidR="00DB13A2" w:rsidRPr="00672AFA" w:rsidRDefault="00136ED1" w:rsidP="003C1761">
      <w:pPr>
        <w:pStyle w:val="ListParagraph"/>
        <w:numPr>
          <w:ilvl w:val="0"/>
          <w:numId w:val="41"/>
        </w:numPr>
        <w:jc w:val="both"/>
        <w:rPr>
          <w:sz w:val="22"/>
          <w:szCs w:val="22"/>
          <w:lang w:val="es-CL"/>
        </w:rPr>
      </w:pPr>
      <w:r w:rsidRPr="00672AFA">
        <w:rPr>
          <w:sz w:val="22"/>
          <w:szCs w:val="22"/>
          <w:lang w:val="es-CL"/>
        </w:rPr>
        <w:lastRenderedPageBreak/>
        <w:t xml:space="preserve">Buscar la igualdad de género y el empoderamiento de las mujeres y </w:t>
      </w:r>
      <w:proofErr w:type="gramStart"/>
      <w:r w:rsidRPr="00672AFA">
        <w:rPr>
          <w:sz w:val="22"/>
          <w:szCs w:val="22"/>
          <w:lang w:val="es-CL"/>
        </w:rPr>
        <w:t>delas</w:t>
      </w:r>
      <w:proofErr w:type="gramEnd"/>
      <w:r w:rsidRPr="00672AFA">
        <w:rPr>
          <w:sz w:val="22"/>
          <w:szCs w:val="22"/>
          <w:lang w:val="es-CL"/>
        </w:rPr>
        <w:t xml:space="preserve"> personas de otras identidades de género en el equipo del proyecto y en la ejecución de las actividades del proyecto;</w:t>
      </w:r>
    </w:p>
    <w:p w14:paraId="7EB041C1" w14:textId="349D4C72" w:rsidR="00254B44" w:rsidRPr="00672AFA" w:rsidRDefault="00CF630A" w:rsidP="003C1761">
      <w:pPr>
        <w:pStyle w:val="ListParagraph"/>
        <w:numPr>
          <w:ilvl w:val="0"/>
          <w:numId w:val="41"/>
        </w:numPr>
        <w:jc w:val="both"/>
        <w:rPr>
          <w:sz w:val="22"/>
          <w:szCs w:val="22"/>
          <w:lang w:val="es-CL"/>
        </w:rPr>
      </w:pPr>
      <w:r w:rsidRPr="00672AFA">
        <w:rPr>
          <w:sz w:val="22"/>
          <w:szCs w:val="22"/>
          <w:lang w:val="es-CL"/>
        </w:rPr>
        <w:t>Siempre que sea posible, recopilar, monitorear y analizar datos e información de manera desglosada por género para resaltar los riesgos específicos que enfrentan las mujeres periodistas y las personas de otras identidades de género en el ejercicio de su trabajo, así como para evaluar el diferente impacto de la acción en las mujeres, los hombres y otras identidades de género.</w:t>
      </w:r>
    </w:p>
    <w:p w14:paraId="219BAC58" w14:textId="77777777" w:rsidR="00653449" w:rsidRPr="00672AFA" w:rsidRDefault="00653449" w:rsidP="00C25C15">
      <w:pPr>
        <w:pStyle w:val="ListParagraph"/>
        <w:spacing w:after="0"/>
        <w:ind w:left="1440"/>
        <w:jc w:val="both"/>
        <w:rPr>
          <w:sz w:val="22"/>
          <w:szCs w:val="22"/>
          <w:lang w:val="es-CL"/>
        </w:rPr>
      </w:pPr>
    </w:p>
    <w:p w14:paraId="5CC284C9" w14:textId="1B09B6AE" w:rsidR="00B07464" w:rsidRPr="00672AFA" w:rsidRDefault="000A49E6" w:rsidP="00F072FD">
      <w:pPr>
        <w:pStyle w:val="ListParagraph"/>
        <w:numPr>
          <w:ilvl w:val="0"/>
          <w:numId w:val="14"/>
        </w:numPr>
        <w:jc w:val="both"/>
        <w:rPr>
          <w:i/>
          <w:iCs/>
          <w:sz w:val="22"/>
          <w:szCs w:val="22"/>
          <w:lang w:val="es-CL"/>
        </w:rPr>
      </w:pPr>
      <w:r w:rsidRPr="00672AFA">
        <w:rPr>
          <w:i/>
          <w:iCs/>
          <w:sz w:val="22"/>
          <w:szCs w:val="22"/>
          <w:lang w:val="es-CL"/>
        </w:rPr>
        <w:t>Duración</w:t>
      </w:r>
      <w:r w:rsidR="002539D1" w:rsidRPr="00672AFA">
        <w:rPr>
          <w:i/>
          <w:iCs/>
          <w:sz w:val="22"/>
          <w:szCs w:val="22"/>
          <w:lang w:val="es-CL"/>
        </w:rPr>
        <w:t xml:space="preserve"> de la </w:t>
      </w:r>
      <w:r w:rsidRPr="00672AFA">
        <w:rPr>
          <w:i/>
          <w:iCs/>
          <w:sz w:val="22"/>
          <w:szCs w:val="22"/>
          <w:lang w:val="es-CL"/>
        </w:rPr>
        <w:t>Acción</w:t>
      </w:r>
      <w:r w:rsidR="00B07464" w:rsidRPr="00672AFA">
        <w:rPr>
          <w:i/>
          <w:iCs/>
          <w:sz w:val="22"/>
          <w:szCs w:val="22"/>
          <w:lang w:val="es-CL"/>
        </w:rPr>
        <w:t xml:space="preserve">: </w:t>
      </w:r>
      <w:r w:rsidR="009A62DB" w:rsidRPr="00672AFA">
        <w:rPr>
          <w:sz w:val="22"/>
          <w:szCs w:val="22"/>
          <w:lang w:val="es-CL"/>
        </w:rPr>
        <w:t xml:space="preserve">La acción propuesta deberá abarcar un mínimo de seis meses y un máximo de dieciocho meses de ejecución. La duración del proyecto corresponde al período en el que se incurren los costos del proyecto y se realizan las actividades </w:t>
      </w:r>
      <w:proofErr w:type="gramStart"/>
      <w:r w:rsidR="009A62DB" w:rsidRPr="00672AFA">
        <w:rPr>
          <w:sz w:val="22"/>
          <w:szCs w:val="22"/>
          <w:lang w:val="es-CL"/>
        </w:rPr>
        <w:t>del mismo</w:t>
      </w:r>
      <w:proofErr w:type="gramEnd"/>
      <w:r w:rsidR="009A62DB" w:rsidRPr="00672AFA">
        <w:rPr>
          <w:sz w:val="22"/>
          <w:szCs w:val="22"/>
          <w:lang w:val="es-CL"/>
        </w:rPr>
        <w:t>.</w:t>
      </w:r>
    </w:p>
    <w:p w14:paraId="185D39E6" w14:textId="77777777" w:rsidR="00AD692D" w:rsidRPr="00672AFA" w:rsidRDefault="00AD692D" w:rsidP="00AD692D">
      <w:pPr>
        <w:pStyle w:val="ListParagraph"/>
        <w:jc w:val="both"/>
        <w:rPr>
          <w:i/>
          <w:iCs/>
          <w:sz w:val="22"/>
          <w:szCs w:val="22"/>
          <w:lang w:val="es-CL"/>
        </w:rPr>
      </w:pPr>
    </w:p>
    <w:p w14:paraId="7C1CCF89" w14:textId="6B82AA0F" w:rsidR="00AD692D" w:rsidRPr="00672AFA" w:rsidRDefault="000A49E6" w:rsidP="00F072FD">
      <w:pPr>
        <w:pStyle w:val="ListParagraph"/>
        <w:numPr>
          <w:ilvl w:val="0"/>
          <w:numId w:val="14"/>
        </w:numPr>
        <w:jc w:val="both"/>
        <w:rPr>
          <w:i/>
          <w:iCs/>
          <w:sz w:val="22"/>
          <w:szCs w:val="22"/>
          <w:lang w:val="es-CL"/>
        </w:rPr>
      </w:pPr>
      <w:r w:rsidRPr="00672AFA">
        <w:rPr>
          <w:i/>
          <w:iCs/>
          <w:sz w:val="22"/>
          <w:szCs w:val="22"/>
          <w:lang w:val="es-CL"/>
        </w:rPr>
        <w:t>Sostenibilidad de la Acción</w:t>
      </w:r>
      <w:r w:rsidR="00AD692D" w:rsidRPr="00672AFA">
        <w:rPr>
          <w:i/>
          <w:iCs/>
          <w:sz w:val="22"/>
          <w:szCs w:val="22"/>
          <w:lang w:val="es-CL"/>
        </w:rPr>
        <w:t>:</w:t>
      </w:r>
      <w:r w:rsidR="00D600D7" w:rsidRPr="00672AFA">
        <w:rPr>
          <w:i/>
          <w:iCs/>
          <w:sz w:val="22"/>
          <w:szCs w:val="22"/>
          <w:lang w:val="es-CL"/>
        </w:rPr>
        <w:t xml:space="preserve"> </w:t>
      </w:r>
      <w:r w:rsidRPr="00672AFA">
        <w:rPr>
          <w:sz w:val="22"/>
          <w:szCs w:val="22"/>
          <w:lang w:val="es-CL"/>
        </w:rPr>
        <w:t>Las propuestas de asociación deben ir más allá del ámbito de las actividades y buscar cambios sostenibles en el largo plazo. Se deben proponer medidas concretas para garantizar la sostenibilidad de la acción a largo plazo.</w:t>
      </w:r>
    </w:p>
    <w:p w14:paraId="453C819A" w14:textId="77777777" w:rsidR="00DE7CC5" w:rsidRPr="00672AFA" w:rsidRDefault="00DE7CC5" w:rsidP="00DE7CC5">
      <w:pPr>
        <w:pStyle w:val="ListParagraph"/>
        <w:rPr>
          <w:i/>
          <w:iCs/>
          <w:sz w:val="22"/>
          <w:szCs w:val="22"/>
          <w:lang w:val="es-CL"/>
        </w:rPr>
      </w:pPr>
    </w:p>
    <w:p w14:paraId="76520FFE" w14:textId="0B1A26EF" w:rsidR="00DE7CC5" w:rsidRPr="00672AFA" w:rsidRDefault="008C7489" w:rsidP="00F072FD">
      <w:pPr>
        <w:pStyle w:val="ListParagraph"/>
        <w:numPr>
          <w:ilvl w:val="0"/>
          <w:numId w:val="14"/>
        </w:numPr>
        <w:jc w:val="both"/>
        <w:rPr>
          <w:i/>
          <w:iCs/>
          <w:sz w:val="22"/>
          <w:szCs w:val="22"/>
          <w:lang w:val="es-CL"/>
        </w:rPr>
      </w:pPr>
      <w:r w:rsidRPr="00672AFA">
        <w:rPr>
          <w:i/>
          <w:iCs/>
          <w:sz w:val="22"/>
          <w:szCs w:val="22"/>
          <w:lang w:val="es-CL"/>
        </w:rPr>
        <w:t>Sostenibilidad medioambiental:</w:t>
      </w:r>
      <w:r w:rsidRPr="00672AFA">
        <w:rPr>
          <w:sz w:val="22"/>
          <w:szCs w:val="22"/>
          <w:lang w:val="es-CL"/>
        </w:rPr>
        <w:t xml:space="preserve"> En el contexto de la actual crisis medioambiental a escala mundial, la UNESCO hace todo lo posible para garantizar que los proyectos apoyados por el GMDF no dañen el medio ambiente y protejan los ecosistemas locales. Los socios ejecutores deben integrar consideraciones de sostenibilidad en los procesos de adquisición asociados con la ejecución de los proyectos que recib</w:t>
      </w:r>
      <w:r w:rsidR="00DE4D2B" w:rsidRPr="00672AFA">
        <w:rPr>
          <w:sz w:val="22"/>
          <w:szCs w:val="22"/>
          <w:lang w:val="es-CL"/>
        </w:rPr>
        <w:t>a</w:t>
      </w:r>
      <w:r w:rsidRPr="00672AFA">
        <w:rPr>
          <w:sz w:val="22"/>
          <w:szCs w:val="22"/>
          <w:lang w:val="es-CL"/>
        </w:rPr>
        <w:t>n apoyo del GMDF de la UNESCO.</w:t>
      </w:r>
    </w:p>
    <w:p w14:paraId="47906633" w14:textId="77777777" w:rsidR="00F9299C" w:rsidRPr="00672AFA" w:rsidRDefault="00F9299C" w:rsidP="00F9299C">
      <w:pPr>
        <w:pStyle w:val="ListParagraph"/>
        <w:spacing w:after="0"/>
        <w:jc w:val="both"/>
        <w:rPr>
          <w:i/>
          <w:iCs/>
          <w:sz w:val="22"/>
          <w:szCs w:val="22"/>
          <w:lang w:val="es-CL"/>
        </w:rPr>
      </w:pPr>
    </w:p>
    <w:p w14:paraId="03DB5FE0" w14:textId="006F6200" w:rsidR="001C37DB" w:rsidRPr="00672AFA" w:rsidRDefault="00D96F71" w:rsidP="001C37DB">
      <w:pPr>
        <w:jc w:val="both"/>
        <w:rPr>
          <w:sz w:val="22"/>
          <w:szCs w:val="22"/>
          <w:lang w:val="es-CL"/>
        </w:rPr>
      </w:pPr>
      <w:r w:rsidRPr="00672AFA">
        <w:rPr>
          <w:i/>
          <w:iCs/>
          <w:sz w:val="22"/>
          <w:szCs w:val="22"/>
          <w:lang w:val="es-CL"/>
        </w:rPr>
        <w:t>Prioridades Mundiales de la UNESCO: África e Igualdad de Género</w:t>
      </w:r>
    </w:p>
    <w:p w14:paraId="7FFCCB6F" w14:textId="14C3D8E3" w:rsidR="00D96F71" w:rsidRPr="00672AFA" w:rsidRDefault="00D96F71" w:rsidP="001C37DB">
      <w:pPr>
        <w:jc w:val="both"/>
        <w:rPr>
          <w:sz w:val="22"/>
          <w:szCs w:val="22"/>
          <w:lang w:val="es-CL"/>
        </w:rPr>
      </w:pPr>
      <w:r w:rsidRPr="00672AFA">
        <w:rPr>
          <w:sz w:val="22"/>
          <w:szCs w:val="22"/>
          <w:lang w:val="es-CL"/>
        </w:rPr>
        <w:t>De conformidad con las Prioridades Mundiales de la UNESCO África e Igualdad de Género, se le entregará un puntaje adicional a las propuestas de asociación que cumplan con alguno de los siguientes criterios:</w:t>
      </w:r>
    </w:p>
    <w:p w14:paraId="26157F4A" w14:textId="03FCDF96" w:rsidR="005E7336" w:rsidRPr="00672AFA" w:rsidRDefault="00D96F71" w:rsidP="002B4BC7">
      <w:pPr>
        <w:pStyle w:val="ListParagraph"/>
        <w:numPr>
          <w:ilvl w:val="0"/>
          <w:numId w:val="18"/>
        </w:numPr>
        <w:jc w:val="both"/>
        <w:rPr>
          <w:sz w:val="22"/>
          <w:szCs w:val="22"/>
          <w:lang w:val="es-CL"/>
        </w:rPr>
      </w:pPr>
      <w:r w:rsidRPr="00672AFA">
        <w:rPr>
          <w:sz w:val="22"/>
          <w:szCs w:val="22"/>
          <w:lang w:val="es-CL"/>
        </w:rPr>
        <w:t>Propuestas provenientes o con un enfoque en África;</w:t>
      </w:r>
    </w:p>
    <w:p w14:paraId="2B7296C7" w14:textId="42174E64" w:rsidR="003A31E3" w:rsidRPr="00672AFA" w:rsidRDefault="003A31E3" w:rsidP="002B4BC7">
      <w:pPr>
        <w:pStyle w:val="ListParagraph"/>
        <w:numPr>
          <w:ilvl w:val="0"/>
          <w:numId w:val="18"/>
        </w:numPr>
        <w:jc w:val="both"/>
        <w:rPr>
          <w:sz w:val="22"/>
          <w:szCs w:val="22"/>
          <w:lang w:val="es-CL"/>
        </w:rPr>
      </w:pPr>
      <w:r w:rsidRPr="00672AFA">
        <w:rPr>
          <w:sz w:val="22"/>
          <w:szCs w:val="22"/>
          <w:lang w:val="es-CL"/>
        </w:rPr>
        <w:t>Propuestas que aborden las amenazas específicas que enfrentan las mujeres periodistas, donde éstas sean las principales beneficiarias de la acción y/o que hagan una contribución tangible a la igualdad de género mediante la ejecución de las acciones propuestas.</w:t>
      </w:r>
    </w:p>
    <w:p w14:paraId="13C01438" w14:textId="1BFD3680" w:rsidR="00572042" w:rsidRPr="00672AFA" w:rsidRDefault="00572042" w:rsidP="005221FA">
      <w:pPr>
        <w:jc w:val="both"/>
        <w:rPr>
          <w:i/>
          <w:iCs/>
          <w:sz w:val="22"/>
          <w:szCs w:val="22"/>
          <w:lang w:val="es-CL"/>
        </w:rPr>
      </w:pPr>
      <w:r w:rsidRPr="00672AFA">
        <w:rPr>
          <w:i/>
          <w:iCs/>
          <w:sz w:val="22"/>
          <w:szCs w:val="22"/>
          <w:lang w:val="es-CL"/>
        </w:rPr>
        <w:t>Atención Especial: PMA, PEID y Pueblos Indígenas</w:t>
      </w:r>
    </w:p>
    <w:p w14:paraId="2D694AA0" w14:textId="1E97A190" w:rsidR="003447B8" w:rsidRPr="00672AFA" w:rsidRDefault="003447B8" w:rsidP="005221FA">
      <w:pPr>
        <w:jc w:val="both"/>
        <w:rPr>
          <w:sz w:val="22"/>
          <w:szCs w:val="22"/>
          <w:lang w:val="es-CL"/>
        </w:rPr>
      </w:pPr>
      <w:r w:rsidRPr="00672AFA">
        <w:rPr>
          <w:sz w:val="22"/>
          <w:szCs w:val="22"/>
          <w:lang w:val="es-CL"/>
        </w:rPr>
        <w:t>Se prestará especial atención a:</w:t>
      </w:r>
    </w:p>
    <w:p w14:paraId="21C8F2BE" w14:textId="5F4B5F78" w:rsidR="00382F23" w:rsidRPr="00672AFA" w:rsidRDefault="003447B8" w:rsidP="005648E6">
      <w:pPr>
        <w:pStyle w:val="ListParagraph"/>
        <w:numPr>
          <w:ilvl w:val="0"/>
          <w:numId w:val="19"/>
        </w:numPr>
        <w:jc w:val="both"/>
        <w:rPr>
          <w:sz w:val="22"/>
          <w:szCs w:val="22"/>
          <w:lang w:val="es-CL"/>
        </w:rPr>
      </w:pPr>
      <w:r w:rsidRPr="00672AFA">
        <w:rPr>
          <w:sz w:val="22"/>
          <w:szCs w:val="22"/>
          <w:lang w:val="es-CL"/>
        </w:rPr>
        <w:t>Proyectos provenientes o con un enfoque en</w:t>
      </w:r>
      <w:r w:rsidR="00382F23" w:rsidRPr="00672AFA">
        <w:rPr>
          <w:sz w:val="22"/>
          <w:szCs w:val="22"/>
          <w:lang w:val="es-CL"/>
        </w:rPr>
        <w:t xml:space="preserve"> </w:t>
      </w:r>
      <w:hyperlink r:id="rId20" w:history="1">
        <w:r w:rsidRPr="00672AFA">
          <w:rPr>
            <w:rStyle w:val="Hyperlink"/>
            <w:sz w:val="22"/>
            <w:szCs w:val="22"/>
            <w:lang w:val="es-CL"/>
          </w:rPr>
          <w:t>Países Menos Adelantados</w:t>
        </w:r>
      </w:hyperlink>
      <w:r w:rsidR="00382F23" w:rsidRPr="00672AFA">
        <w:rPr>
          <w:sz w:val="22"/>
          <w:szCs w:val="22"/>
          <w:lang w:val="es-CL"/>
        </w:rPr>
        <w:t xml:space="preserve">; </w:t>
      </w:r>
    </w:p>
    <w:p w14:paraId="5F60A994" w14:textId="7FE37C6A" w:rsidR="005648E6" w:rsidRPr="00672AFA" w:rsidRDefault="003447B8" w:rsidP="005648E6">
      <w:pPr>
        <w:pStyle w:val="ListParagraph"/>
        <w:numPr>
          <w:ilvl w:val="0"/>
          <w:numId w:val="19"/>
        </w:numPr>
        <w:jc w:val="both"/>
        <w:rPr>
          <w:sz w:val="22"/>
          <w:szCs w:val="22"/>
          <w:lang w:val="es-CL"/>
        </w:rPr>
      </w:pPr>
      <w:r w:rsidRPr="00672AFA">
        <w:rPr>
          <w:sz w:val="22"/>
          <w:szCs w:val="22"/>
          <w:lang w:val="es-CL"/>
        </w:rPr>
        <w:t xml:space="preserve">Proyectos provenientes o con un enfoque en </w:t>
      </w:r>
      <w:hyperlink r:id="rId21" w:history="1">
        <w:r w:rsidR="00396671" w:rsidRPr="00672AFA">
          <w:rPr>
            <w:rStyle w:val="Hyperlink"/>
            <w:sz w:val="22"/>
            <w:szCs w:val="22"/>
            <w:lang w:val="es-CL"/>
          </w:rPr>
          <w:t>Pequeños Estados Insulares en Desarrollo (PEID)</w:t>
        </w:r>
      </w:hyperlink>
      <w:r w:rsidR="005648E6" w:rsidRPr="00672AFA">
        <w:rPr>
          <w:sz w:val="22"/>
          <w:szCs w:val="22"/>
          <w:lang w:val="es-CL"/>
        </w:rPr>
        <w:t>;</w:t>
      </w:r>
    </w:p>
    <w:p w14:paraId="1B9E0FE3" w14:textId="409E307F" w:rsidR="005648E6" w:rsidRPr="00672AFA" w:rsidRDefault="00396671" w:rsidP="005648E6">
      <w:pPr>
        <w:pStyle w:val="ListParagraph"/>
        <w:numPr>
          <w:ilvl w:val="0"/>
          <w:numId w:val="19"/>
        </w:numPr>
        <w:jc w:val="both"/>
        <w:rPr>
          <w:sz w:val="22"/>
          <w:szCs w:val="22"/>
          <w:lang w:val="es-CL"/>
        </w:rPr>
      </w:pPr>
      <w:proofErr w:type="spellStart"/>
      <w:r w:rsidRPr="00672AFA">
        <w:rPr>
          <w:sz w:val="22"/>
          <w:szCs w:val="22"/>
          <w:lang w:val="es-CL"/>
        </w:rPr>
        <w:t>Projectos</w:t>
      </w:r>
      <w:proofErr w:type="spellEnd"/>
      <w:r w:rsidRPr="00672AFA">
        <w:rPr>
          <w:sz w:val="22"/>
          <w:szCs w:val="22"/>
          <w:lang w:val="es-CL"/>
        </w:rPr>
        <w:t xml:space="preserve"> ejecutados por/con una </w:t>
      </w:r>
      <w:proofErr w:type="spellStart"/>
      <w:r w:rsidRPr="00672AFA">
        <w:rPr>
          <w:sz w:val="22"/>
          <w:szCs w:val="22"/>
          <w:lang w:val="es-CL"/>
        </w:rPr>
        <w:t>participacion</w:t>
      </w:r>
      <w:proofErr w:type="spellEnd"/>
      <w:r w:rsidRPr="00672AFA">
        <w:rPr>
          <w:sz w:val="22"/>
          <w:szCs w:val="22"/>
          <w:lang w:val="es-CL"/>
        </w:rPr>
        <w:t xml:space="preserve"> importante de, o con un enfoque en </w:t>
      </w:r>
      <w:proofErr w:type="spellStart"/>
      <w:r w:rsidR="00D917E6" w:rsidRPr="00672AFA">
        <w:rPr>
          <w:sz w:val="22"/>
          <w:szCs w:val="22"/>
          <w:lang w:val="es-CL"/>
        </w:rPr>
        <w:t>Projects</w:t>
      </w:r>
      <w:proofErr w:type="spellEnd"/>
      <w:r w:rsidR="00D917E6" w:rsidRPr="00672AFA">
        <w:rPr>
          <w:sz w:val="22"/>
          <w:szCs w:val="22"/>
          <w:lang w:val="es-CL"/>
        </w:rPr>
        <w:t xml:space="preserve"> </w:t>
      </w:r>
      <w:hyperlink r:id="rId22" w:history="1">
        <w:r w:rsidRPr="00672AFA">
          <w:rPr>
            <w:rStyle w:val="Hyperlink"/>
            <w:sz w:val="22"/>
            <w:szCs w:val="22"/>
            <w:lang w:val="es-CL"/>
          </w:rPr>
          <w:t>Pueblos Indígenas</w:t>
        </w:r>
      </w:hyperlink>
      <w:r w:rsidR="001B15C3" w:rsidRPr="00672AFA">
        <w:rPr>
          <w:sz w:val="22"/>
          <w:szCs w:val="22"/>
          <w:lang w:val="es-CL"/>
        </w:rPr>
        <w:t>.</w:t>
      </w:r>
    </w:p>
    <w:p w14:paraId="3AFD9B2E" w14:textId="2E3C7959" w:rsidR="00AF619C" w:rsidRPr="00672AFA" w:rsidRDefault="00AF619C" w:rsidP="00261143">
      <w:pPr>
        <w:jc w:val="both"/>
        <w:rPr>
          <w:sz w:val="22"/>
          <w:szCs w:val="22"/>
          <w:lang w:val="es-CL"/>
        </w:rPr>
      </w:pPr>
      <w:r w:rsidRPr="00672AFA">
        <w:rPr>
          <w:sz w:val="22"/>
          <w:szCs w:val="22"/>
          <w:lang w:val="es-CL"/>
        </w:rPr>
        <w:lastRenderedPageBreak/>
        <w:t xml:space="preserve">También se prestará una atención especial al uso de los recursos y publicaciones pertinentes de la UNESCO, como los </w:t>
      </w:r>
      <w:hyperlink r:id="rId23" w:history="1">
        <w:r w:rsidRPr="00672AFA">
          <w:rPr>
            <w:rStyle w:val="Hyperlink"/>
            <w:sz w:val="22"/>
            <w:szCs w:val="22"/>
            <w:lang w:val="es-CL"/>
          </w:rPr>
          <w:t>resultados</w:t>
        </w:r>
      </w:hyperlink>
      <w:r w:rsidRPr="00672AFA">
        <w:rPr>
          <w:sz w:val="22"/>
          <w:szCs w:val="22"/>
          <w:lang w:val="es-CL"/>
        </w:rPr>
        <w:t xml:space="preserve"> de las consultas regionales y temáticas para conmemorar el décimo aniversario del Plan de Acción de </w:t>
      </w:r>
      <w:r w:rsidR="00B67834" w:rsidRPr="00672AFA">
        <w:rPr>
          <w:sz w:val="22"/>
          <w:szCs w:val="22"/>
          <w:lang w:val="es-CL"/>
        </w:rPr>
        <w:t>la ONU</w:t>
      </w:r>
      <w:r w:rsidRPr="00672AFA">
        <w:rPr>
          <w:sz w:val="22"/>
          <w:szCs w:val="22"/>
          <w:lang w:val="es-CL"/>
        </w:rPr>
        <w:t xml:space="preserve"> sobre la Seguridad de los</w:t>
      </w:r>
      <w:r w:rsidR="00B67834" w:rsidRPr="00672AFA">
        <w:rPr>
          <w:sz w:val="22"/>
          <w:szCs w:val="22"/>
          <w:lang w:val="es-CL"/>
        </w:rPr>
        <w:t xml:space="preserve"> y las</w:t>
      </w:r>
      <w:r w:rsidRPr="00672AFA">
        <w:rPr>
          <w:sz w:val="22"/>
          <w:szCs w:val="22"/>
          <w:lang w:val="es-CL"/>
        </w:rPr>
        <w:t xml:space="preserve"> Periodistas y la Cuestión de la Impunidad</w:t>
      </w:r>
      <w:r w:rsidR="00B67834" w:rsidRPr="00672AFA">
        <w:rPr>
          <w:sz w:val="22"/>
          <w:szCs w:val="22"/>
          <w:lang w:val="es-CL"/>
        </w:rPr>
        <w:t xml:space="preserve"> (disponibles en inglés)</w:t>
      </w:r>
      <w:r w:rsidRPr="00672AFA">
        <w:rPr>
          <w:sz w:val="22"/>
          <w:szCs w:val="22"/>
          <w:lang w:val="es-CL"/>
        </w:rPr>
        <w:t xml:space="preserve">; los </w:t>
      </w:r>
      <w:hyperlink r:id="rId24" w:history="1">
        <w:r w:rsidR="00B67834" w:rsidRPr="00672AFA">
          <w:rPr>
            <w:rStyle w:val="Hyperlink"/>
            <w:sz w:val="22"/>
            <w:szCs w:val="22"/>
            <w:lang w:val="es-CL"/>
          </w:rPr>
          <w:t>notas informativas</w:t>
        </w:r>
      </w:hyperlink>
      <w:r w:rsidRPr="00672AFA">
        <w:rPr>
          <w:sz w:val="22"/>
          <w:szCs w:val="22"/>
          <w:lang w:val="es-CL"/>
        </w:rPr>
        <w:t xml:space="preserve"> de la serie de Tendencias Mundiales de la UNESCO; los </w:t>
      </w:r>
      <w:hyperlink r:id="rId25" w:history="1">
        <w:r w:rsidRPr="00672AFA">
          <w:rPr>
            <w:rStyle w:val="Hyperlink"/>
            <w:sz w:val="22"/>
            <w:szCs w:val="22"/>
            <w:lang w:val="es-CL"/>
          </w:rPr>
          <w:t>resultados</w:t>
        </w:r>
      </w:hyperlink>
      <w:r w:rsidRPr="00672AFA">
        <w:rPr>
          <w:sz w:val="22"/>
          <w:szCs w:val="22"/>
          <w:lang w:val="es-CL"/>
        </w:rPr>
        <w:t xml:space="preserve"> de la consulta sobre la seguridad de las mujeres periodistas: décimo aniversario del Plan de Acción de </w:t>
      </w:r>
      <w:r w:rsidR="00D541DE" w:rsidRPr="00672AFA">
        <w:rPr>
          <w:sz w:val="22"/>
          <w:szCs w:val="22"/>
          <w:lang w:val="es-CL"/>
        </w:rPr>
        <w:t>la ONU</w:t>
      </w:r>
      <w:r w:rsidRPr="00672AFA">
        <w:rPr>
          <w:sz w:val="22"/>
          <w:szCs w:val="22"/>
          <w:lang w:val="es-CL"/>
        </w:rPr>
        <w:t xml:space="preserve"> sobre la Seguridad de los </w:t>
      </w:r>
      <w:r w:rsidR="00D541DE" w:rsidRPr="00672AFA">
        <w:rPr>
          <w:sz w:val="22"/>
          <w:szCs w:val="22"/>
          <w:lang w:val="es-CL"/>
        </w:rPr>
        <w:t xml:space="preserve">y </w:t>
      </w:r>
      <w:proofErr w:type="spellStart"/>
      <w:r w:rsidR="00D541DE" w:rsidRPr="00672AFA">
        <w:rPr>
          <w:sz w:val="22"/>
          <w:szCs w:val="22"/>
          <w:lang w:val="es-CL"/>
        </w:rPr>
        <w:t>las</w:t>
      </w:r>
      <w:r w:rsidRPr="00672AFA">
        <w:rPr>
          <w:sz w:val="22"/>
          <w:szCs w:val="22"/>
          <w:lang w:val="es-CL"/>
        </w:rPr>
        <w:t>Periodistas</w:t>
      </w:r>
      <w:proofErr w:type="spellEnd"/>
      <w:r w:rsidRPr="00672AFA">
        <w:rPr>
          <w:sz w:val="22"/>
          <w:szCs w:val="22"/>
          <w:lang w:val="es-CL"/>
        </w:rPr>
        <w:t xml:space="preserve"> y la Cuestión de la Impunidad</w:t>
      </w:r>
      <w:r w:rsidR="00D541DE" w:rsidRPr="00672AFA">
        <w:rPr>
          <w:sz w:val="22"/>
          <w:szCs w:val="22"/>
          <w:lang w:val="es-CL"/>
        </w:rPr>
        <w:t xml:space="preserve"> (disponibles en inglés)</w:t>
      </w:r>
      <w:r w:rsidRPr="00672AFA">
        <w:rPr>
          <w:sz w:val="22"/>
          <w:szCs w:val="22"/>
          <w:lang w:val="es-CL"/>
        </w:rPr>
        <w:t xml:space="preserve">; el </w:t>
      </w:r>
      <w:hyperlink r:id="rId26" w:history="1">
        <w:r w:rsidRPr="00672AFA">
          <w:rPr>
            <w:rStyle w:val="Hyperlink"/>
            <w:sz w:val="22"/>
            <w:szCs w:val="22"/>
            <w:lang w:val="es-CL"/>
          </w:rPr>
          <w:t>informe</w:t>
        </w:r>
      </w:hyperlink>
      <w:r w:rsidRPr="00672AFA">
        <w:rPr>
          <w:sz w:val="22"/>
          <w:szCs w:val="22"/>
          <w:lang w:val="es-CL"/>
        </w:rPr>
        <w:t xml:space="preserve"> “The </w:t>
      </w:r>
      <w:proofErr w:type="spellStart"/>
      <w:r w:rsidRPr="00672AFA">
        <w:rPr>
          <w:sz w:val="22"/>
          <w:szCs w:val="22"/>
          <w:lang w:val="es-CL"/>
        </w:rPr>
        <w:t>Chilling</w:t>
      </w:r>
      <w:proofErr w:type="spellEnd"/>
      <w:r w:rsidRPr="00672AFA">
        <w:rPr>
          <w:sz w:val="22"/>
          <w:szCs w:val="22"/>
          <w:lang w:val="es-CL"/>
        </w:rPr>
        <w:t xml:space="preserve">: global </w:t>
      </w:r>
      <w:proofErr w:type="spellStart"/>
      <w:r w:rsidRPr="00672AFA">
        <w:rPr>
          <w:sz w:val="22"/>
          <w:szCs w:val="22"/>
          <w:lang w:val="es-CL"/>
        </w:rPr>
        <w:t>trends</w:t>
      </w:r>
      <w:proofErr w:type="spellEnd"/>
      <w:r w:rsidRPr="00672AFA">
        <w:rPr>
          <w:sz w:val="22"/>
          <w:szCs w:val="22"/>
          <w:lang w:val="es-CL"/>
        </w:rPr>
        <w:t xml:space="preserve"> in online </w:t>
      </w:r>
      <w:proofErr w:type="spellStart"/>
      <w:r w:rsidRPr="00672AFA">
        <w:rPr>
          <w:sz w:val="22"/>
          <w:szCs w:val="22"/>
          <w:lang w:val="es-CL"/>
        </w:rPr>
        <w:t>violence</w:t>
      </w:r>
      <w:proofErr w:type="spellEnd"/>
      <w:r w:rsidRPr="00672AFA">
        <w:rPr>
          <w:sz w:val="22"/>
          <w:szCs w:val="22"/>
          <w:lang w:val="es-CL"/>
        </w:rPr>
        <w:t xml:space="preserve"> </w:t>
      </w:r>
      <w:proofErr w:type="spellStart"/>
      <w:r w:rsidRPr="00672AFA">
        <w:rPr>
          <w:sz w:val="22"/>
          <w:szCs w:val="22"/>
          <w:lang w:val="es-CL"/>
        </w:rPr>
        <w:t>against</w:t>
      </w:r>
      <w:proofErr w:type="spellEnd"/>
      <w:r w:rsidRPr="00672AFA">
        <w:rPr>
          <w:sz w:val="22"/>
          <w:szCs w:val="22"/>
          <w:lang w:val="es-CL"/>
        </w:rPr>
        <w:t xml:space="preserve"> </w:t>
      </w:r>
      <w:proofErr w:type="spellStart"/>
      <w:r w:rsidRPr="00672AFA">
        <w:rPr>
          <w:sz w:val="22"/>
          <w:szCs w:val="22"/>
          <w:lang w:val="es-CL"/>
        </w:rPr>
        <w:t>women</w:t>
      </w:r>
      <w:proofErr w:type="spellEnd"/>
      <w:r w:rsidRPr="00672AFA">
        <w:rPr>
          <w:sz w:val="22"/>
          <w:szCs w:val="22"/>
          <w:lang w:val="es-CL"/>
        </w:rPr>
        <w:t xml:space="preserve"> </w:t>
      </w:r>
      <w:proofErr w:type="spellStart"/>
      <w:r w:rsidRPr="00672AFA">
        <w:rPr>
          <w:sz w:val="22"/>
          <w:szCs w:val="22"/>
          <w:lang w:val="es-CL"/>
        </w:rPr>
        <w:t>journalists</w:t>
      </w:r>
      <w:proofErr w:type="spellEnd"/>
      <w:r w:rsidRPr="00672AFA">
        <w:rPr>
          <w:sz w:val="22"/>
          <w:szCs w:val="22"/>
          <w:lang w:val="es-CL"/>
        </w:rPr>
        <w:t>”</w:t>
      </w:r>
      <w:r w:rsidR="00584613" w:rsidRPr="00672AFA">
        <w:rPr>
          <w:sz w:val="22"/>
          <w:szCs w:val="22"/>
          <w:lang w:val="es-CL"/>
        </w:rPr>
        <w:t xml:space="preserve"> (en inglés)</w:t>
      </w:r>
      <w:r w:rsidRPr="00672AFA">
        <w:rPr>
          <w:sz w:val="22"/>
          <w:szCs w:val="22"/>
          <w:lang w:val="es-CL"/>
        </w:rPr>
        <w:t xml:space="preserve"> y las </w:t>
      </w:r>
      <w:hyperlink r:id="rId27" w:history="1">
        <w:r w:rsidR="00584613" w:rsidRPr="00672AFA">
          <w:rPr>
            <w:rStyle w:val="Hyperlink"/>
            <w:sz w:val="22"/>
            <w:szCs w:val="22"/>
            <w:lang w:val="es-CL"/>
          </w:rPr>
          <w:t>Directrices de la UNESCO</w:t>
        </w:r>
      </w:hyperlink>
      <w:r w:rsidR="00584613" w:rsidRPr="00672AFA">
        <w:rPr>
          <w:sz w:val="22"/>
          <w:szCs w:val="22"/>
          <w:lang w:val="es-CL"/>
        </w:rPr>
        <w:t xml:space="preserve"> </w:t>
      </w:r>
      <w:r w:rsidRPr="00672AFA">
        <w:rPr>
          <w:sz w:val="22"/>
          <w:szCs w:val="22"/>
          <w:lang w:val="es-CL"/>
        </w:rPr>
        <w:t>sobre el Examen Periódico Universal para las Organizaciones de la Sociedad Civil, entre muchos otros.</w:t>
      </w:r>
    </w:p>
    <w:p w14:paraId="777B1906" w14:textId="68070054" w:rsidR="00261143" w:rsidRPr="00672AFA" w:rsidRDefault="00A60A7E" w:rsidP="00261143">
      <w:pPr>
        <w:jc w:val="both"/>
        <w:rPr>
          <w:i/>
          <w:iCs/>
          <w:sz w:val="22"/>
          <w:szCs w:val="22"/>
          <w:lang w:val="es-CL"/>
        </w:rPr>
      </w:pPr>
      <w:r w:rsidRPr="00672AFA">
        <w:rPr>
          <w:rFonts w:eastAsia="Arial Unicode MS"/>
          <w:i/>
          <w:iCs/>
          <w:sz w:val="22"/>
          <w:szCs w:val="22"/>
          <w:lang w:val="es-CL"/>
        </w:rPr>
        <w:t>Hoja de Ruta para la Información como bien público ante la crisis medioambiental</w:t>
      </w:r>
    </w:p>
    <w:p w14:paraId="111C95A3" w14:textId="2DC9FA08" w:rsidR="001F7C91" w:rsidRPr="00672AFA" w:rsidRDefault="001F7C91" w:rsidP="00261143">
      <w:pPr>
        <w:jc w:val="both"/>
        <w:rPr>
          <w:sz w:val="22"/>
          <w:szCs w:val="22"/>
          <w:lang w:val="es-CL"/>
        </w:rPr>
      </w:pPr>
      <w:r w:rsidRPr="00672AFA">
        <w:rPr>
          <w:sz w:val="22"/>
          <w:szCs w:val="22"/>
          <w:lang w:val="es-CL"/>
        </w:rPr>
        <w:t xml:space="preserve">Además de lo anterior, se atribuirá </w:t>
      </w:r>
      <w:r w:rsidR="003247A6" w:rsidRPr="00672AFA">
        <w:rPr>
          <w:sz w:val="22"/>
          <w:szCs w:val="22"/>
          <w:lang w:val="es-CL"/>
        </w:rPr>
        <w:t xml:space="preserve">un puntaje </w:t>
      </w:r>
      <w:r w:rsidRPr="00672AFA">
        <w:rPr>
          <w:sz w:val="22"/>
          <w:szCs w:val="22"/>
          <w:lang w:val="es-CL"/>
        </w:rPr>
        <w:t>adicional a las propuestas de asociación</w:t>
      </w:r>
      <w:r w:rsidR="00E4364B" w:rsidRPr="00672AFA">
        <w:rPr>
          <w:sz w:val="22"/>
          <w:szCs w:val="22"/>
          <w:lang w:val="es-CL"/>
        </w:rPr>
        <w:t xml:space="preserve"> con el potencial de alcanzar </w:t>
      </w:r>
      <w:r w:rsidRPr="00672AFA">
        <w:rPr>
          <w:sz w:val="22"/>
          <w:szCs w:val="22"/>
          <w:lang w:val="es-CL"/>
        </w:rPr>
        <w:t>resultados preliminares antes de la COP30 (noviembre de 2025).</w:t>
      </w:r>
    </w:p>
    <w:p w14:paraId="621875B9" w14:textId="4C16816C" w:rsidR="008F434E" w:rsidRPr="00672AFA" w:rsidRDefault="00B30063" w:rsidP="007F3384">
      <w:pPr>
        <w:jc w:val="both"/>
        <w:rPr>
          <w:sz w:val="22"/>
          <w:szCs w:val="22"/>
          <w:lang w:val="es-CL"/>
        </w:rPr>
      </w:pPr>
      <w:r w:rsidRPr="00672AFA">
        <w:rPr>
          <w:b/>
          <w:bCs/>
          <w:sz w:val="22"/>
          <w:szCs w:val="22"/>
          <w:lang w:val="es-CL"/>
        </w:rPr>
        <w:t xml:space="preserve">2. </w:t>
      </w:r>
      <w:r w:rsidR="007C7A5D" w:rsidRPr="00672AFA">
        <w:rPr>
          <w:b/>
          <w:bCs/>
          <w:sz w:val="22"/>
          <w:szCs w:val="22"/>
          <w:u w:val="single"/>
          <w:lang w:val="es-CL"/>
        </w:rPr>
        <w:t>Propuesta Financiera</w:t>
      </w:r>
      <w:r w:rsidR="003B550D" w:rsidRPr="00672AFA">
        <w:rPr>
          <w:b/>
          <w:bCs/>
          <w:sz w:val="22"/>
          <w:szCs w:val="22"/>
          <w:u w:val="single"/>
          <w:lang w:val="es-CL"/>
        </w:rPr>
        <w:t xml:space="preserve"> (</w:t>
      </w:r>
      <w:r w:rsidR="007C7A5D" w:rsidRPr="00672AFA">
        <w:rPr>
          <w:b/>
          <w:bCs/>
          <w:sz w:val="22"/>
          <w:szCs w:val="22"/>
          <w:u w:val="single"/>
          <w:lang w:val="es-CL"/>
        </w:rPr>
        <w:t>Presupuesto del Proyecto</w:t>
      </w:r>
      <w:r w:rsidR="003B550D" w:rsidRPr="00672AFA">
        <w:rPr>
          <w:b/>
          <w:bCs/>
          <w:sz w:val="22"/>
          <w:szCs w:val="22"/>
          <w:u w:val="single"/>
          <w:lang w:val="es-CL"/>
        </w:rPr>
        <w:t>)</w:t>
      </w:r>
      <w:r w:rsidR="003B550D" w:rsidRPr="00672AFA">
        <w:rPr>
          <w:b/>
          <w:bCs/>
          <w:sz w:val="22"/>
          <w:szCs w:val="22"/>
          <w:lang w:val="es-CL"/>
        </w:rPr>
        <w:t>:</w:t>
      </w:r>
      <w:r w:rsidR="004B15C9" w:rsidRPr="00672AFA">
        <w:rPr>
          <w:sz w:val="22"/>
          <w:szCs w:val="22"/>
          <w:lang w:val="es-CL"/>
        </w:rPr>
        <w:t xml:space="preserve"> </w:t>
      </w:r>
      <w:r w:rsidR="008F434E" w:rsidRPr="00672AFA">
        <w:rPr>
          <w:sz w:val="22"/>
          <w:szCs w:val="22"/>
          <w:lang w:val="es-CL"/>
        </w:rPr>
        <w:t xml:space="preserve">Las organizaciones candidatas deberán completar el Modelo Estándar de Propuesta de Presupuesto (Anexo 4) en dólares estadounidenses, </w:t>
      </w:r>
      <w:r w:rsidR="008F434E" w:rsidRPr="00672AFA">
        <w:rPr>
          <w:sz w:val="22"/>
          <w:szCs w:val="22"/>
          <w:u w:val="single"/>
          <w:lang w:val="es-CL"/>
        </w:rPr>
        <w:t>con una excepción</w:t>
      </w:r>
      <w:r w:rsidR="008F434E" w:rsidRPr="00672AFA">
        <w:rPr>
          <w:sz w:val="22"/>
          <w:szCs w:val="22"/>
          <w:lang w:val="es-CL"/>
        </w:rPr>
        <w:t xml:space="preserve">: si la organización candidata tiene una cuenta bancaria en </w:t>
      </w:r>
      <w:proofErr w:type="gramStart"/>
      <w:r w:rsidR="008F434E" w:rsidRPr="00672AFA">
        <w:rPr>
          <w:sz w:val="22"/>
          <w:szCs w:val="22"/>
          <w:lang w:val="es-CL"/>
        </w:rPr>
        <w:t>Euros</w:t>
      </w:r>
      <w:proofErr w:type="gramEnd"/>
      <w:r w:rsidR="008F434E" w:rsidRPr="00672AFA">
        <w:rPr>
          <w:sz w:val="22"/>
          <w:szCs w:val="22"/>
          <w:lang w:val="es-CL"/>
        </w:rPr>
        <w:t xml:space="preserve">, el presupuesto deberá presentarse en esa moneda en la segunda pestaña de dicha Plantilla (utilizando el </w:t>
      </w:r>
      <w:hyperlink r:id="rId28" w:history="1">
        <w:r w:rsidR="008F434E" w:rsidRPr="00672AFA">
          <w:rPr>
            <w:rStyle w:val="Hyperlink"/>
            <w:sz w:val="22"/>
            <w:szCs w:val="22"/>
            <w:lang w:val="es-CL"/>
          </w:rPr>
          <w:t xml:space="preserve">tipo de cambio de </w:t>
        </w:r>
        <w:r w:rsidR="00475BA3" w:rsidRPr="00672AFA">
          <w:rPr>
            <w:rStyle w:val="Hyperlink"/>
            <w:sz w:val="22"/>
            <w:szCs w:val="22"/>
            <w:lang w:val="es-CL"/>
          </w:rPr>
          <w:t>la ONU</w:t>
        </w:r>
      </w:hyperlink>
      <w:r w:rsidR="008F434E" w:rsidRPr="00672AFA">
        <w:rPr>
          <w:sz w:val="22"/>
          <w:szCs w:val="22"/>
          <w:lang w:val="es-CL"/>
        </w:rPr>
        <w:t xml:space="preserve"> para la conversión). No se aceptarán presupuestos escritos a mano y/o en un formato diferente</w:t>
      </w:r>
      <w:r w:rsidR="00475BA3" w:rsidRPr="00672AFA">
        <w:rPr>
          <w:sz w:val="22"/>
          <w:szCs w:val="22"/>
          <w:lang w:val="es-CL"/>
        </w:rPr>
        <w:t xml:space="preserve"> al modelo estándar</w:t>
      </w:r>
      <w:r w:rsidR="008F434E" w:rsidRPr="00672AFA">
        <w:rPr>
          <w:sz w:val="22"/>
          <w:szCs w:val="22"/>
          <w:lang w:val="es-CL"/>
        </w:rPr>
        <w:t>.</w:t>
      </w:r>
    </w:p>
    <w:p w14:paraId="34618A15" w14:textId="7A9FA305" w:rsidR="002961D6" w:rsidRPr="00672AFA" w:rsidRDefault="00BC7F75" w:rsidP="00D0194B">
      <w:pPr>
        <w:jc w:val="both"/>
        <w:rPr>
          <w:sz w:val="22"/>
          <w:szCs w:val="22"/>
          <w:lang w:val="es-CL"/>
        </w:rPr>
      </w:pPr>
      <w:r w:rsidRPr="00672AFA">
        <w:rPr>
          <w:sz w:val="22"/>
          <w:szCs w:val="22"/>
          <w:lang w:val="es-CL"/>
        </w:rPr>
        <w:t xml:space="preserve">El presupuesto debe prepararse con suficiente detalle para justificar la necesidad de recursos, demostrar la relación costo-eficacia y, en la medida de lo posible, proporcionar un desglose de </w:t>
      </w:r>
      <w:r w:rsidR="002B573B" w:rsidRPr="00672AFA">
        <w:rPr>
          <w:sz w:val="22"/>
          <w:szCs w:val="22"/>
          <w:lang w:val="es-CL"/>
        </w:rPr>
        <w:t xml:space="preserve">recursos de acuerdo con </w:t>
      </w:r>
      <w:r w:rsidRPr="00672AFA">
        <w:rPr>
          <w:sz w:val="22"/>
          <w:szCs w:val="22"/>
          <w:lang w:val="es-CL"/>
        </w:rPr>
        <w:t xml:space="preserve">los períodos </w:t>
      </w:r>
      <w:r w:rsidR="002B573B" w:rsidRPr="00672AFA">
        <w:rPr>
          <w:sz w:val="22"/>
          <w:szCs w:val="22"/>
          <w:lang w:val="es-CL"/>
        </w:rPr>
        <w:t>en que</w:t>
      </w:r>
      <w:r w:rsidRPr="00672AFA">
        <w:rPr>
          <w:sz w:val="22"/>
          <w:szCs w:val="22"/>
          <w:lang w:val="es-CL"/>
        </w:rPr>
        <w:t xml:space="preserve"> se realizarán transferencias </w:t>
      </w:r>
      <w:r w:rsidR="002B573B" w:rsidRPr="00672AFA">
        <w:rPr>
          <w:sz w:val="22"/>
          <w:szCs w:val="22"/>
          <w:lang w:val="es-CL"/>
        </w:rPr>
        <w:t xml:space="preserve">al socio ejecutor </w:t>
      </w:r>
      <w:r w:rsidRPr="00672AFA">
        <w:rPr>
          <w:sz w:val="22"/>
          <w:szCs w:val="22"/>
          <w:lang w:val="es-CL"/>
        </w:rPr>
        <w:t xml:space="preserve">(véase “Proceso de </w:t>
      </w:r>
      <w:r w:rsidR="005B3A1C" w:rsidRPr="00672AFA">
        <w:rPr>
          <w:sz w:val="22"/>
          <w:szCs w:val="22"/>
          <w:lang w:val="es-CL"/>
        </w:rPr>
        <w:t>C</w:t>
      </w:r>
      <w:r w:rsidRPr="00672AFA">
        <w:rPr>
          <w:sz w:val="22"/>
          <w:szCs w:val="22"/>
          <w:lang w:val="es-CL"/>
        </w:rPr>
        <w:t xml:space="preserve">ontratación y </w:t>
      </w:r>
      <w:r w:rsidR="005B3A1C" w:rsidRPr="00672AFA">
        <w:rPr>
          <w:sz w:val="22"/>
          <w:szCs w:val="22"/>
          <w:lang w:val="es-CL"/>
        </w:rPr>
        <w:t>E</w:t>
      </w:r>
      <w:r w:rsidRPr="00672AFA">
        <w:rPr>
          <w:sz w:val="22"/>
          <w:szCs w:val="22"/>
          <w:lang w:val="es-CL"/>
        </w:rPr>
        <w:t xml:space="preserve">jecución del </w:t>
      </w:r>
      <w:r w:rsidR="005B3A1C" w:rsidRPr="00672AFA">
        <w:rPr>
          <w:sz w:val="22"/>
          <w:szCs w:val="22"/>
          <w:lang w:val="es-CL"/>
        </w:rPr>
        <w:t>P</w:t>
      </w:r>
      <w:r w:rsidRPr="00672AFA">
        <w:rPr>
          <w:sz w:val="22"/>
          <w:szCs w:val="22"/>
          <w:lang w:val="es-CL"/>
        </w:rPr>
        <w:t>royecto” más adelante).</w:t>
      </w:r>
      <w:r w:rsidR="002961D6" w:rsidRPr="00672AFA">
        <w:rPr>
          <w:sz w:val="22"/>
          <w:szCs w:val="22"/>
          <w:lang w:val="es-CL"/>
        </w:rPr>
        <w:t xml:space="preserve"> El desglose de los costos debe ser considerado como razonable y justo </w:t>
      </w:r>
      <w:r w:rsidR="002906E7" w:rsidRPr="00672AFA">
        <w:rPr>
          <w:sz w:val="22"/>
          <w:szCs w:val="22"/>
          <w:lang w:val="es-CL"/>
        </w:rPr>
        <w:t xml:space="preserve">por la UNESCO en comparación con las tendencias predominantes del mercado, </w:t>
      </w:r>
      <w:r w:rsidR="009059D7" w:rsidRPr="00672AFA">
        <w:rPr>
          <w:sz w:val="22"/>
          <w:szCs w:val="22"/>
          <w:lang w:val="es-CL"/>
        </w:rPr>
        <w:t>y debe representar una buena relación calidad-precio</w:t>
      </w:r>
      <w:r w:rsidR="00D0194B" w:rsidRPr="00672AFA">
        <w:rPr>
          <w:rStyle w:val="FootnoteReference"/>
          <w:sz w:val="22"/>
          <w:szCs w:val="22"/>
          <w:lang w:val="es-CL"/>
        </w:rPr>
        <w:footnoteReference w:id="2"/>
      </w:r>
      <w:r w:rsidR="009059D7" w:rsidRPr="00672AFA">
        <w:rPr>
          <w:sz w:val="22"/>
          <w:szCs w:val="22"/>
          <w:lang w:val="es-CL"/>
        </w:rPr>
        <w:t>.</w:t>
      </w:r>
      <w:r w:rsidR="00D0194B" w:rsidRPr="00672AFA">
        <w:rPr>
          <w:sz w:val="22"/>
          <w:szCs w:val="22"/>
          <w:lang w:val="es-CL"/>
        </w:rPr>
        <w:t xml:space="preserve"> Los socios ejecutores deben justificar cómo garantizarán que los costos del proyecto representen una buena relación calidad-precio.</w:t>
      </w:r>
    </w:p>
    <w:p w14:paraId="74CA97B0" w14:textId="15B0DBB8" w:rsidR="00485FF2" w:rsidRPr="00672AFA" w:rsidRDefault="00485FF2" w:rsidP="00D0194B">
      <w:pPr>
        <w:jc w:val="both"/>
        <w:rPr>
          <w:sz w:val="22"/>
          <w:szCs w:val="22"/>
          <w:lang w:val="es-CL"/>
        </w:rPr>
      </w:pPr>
      <w:r w:rsidRPr="00672AFA">
        <w:rPr>
          <w:sz w:val="22"/>
          <w:szCs w:val="22"/>
          <w:lang w:val="es-CL"/>
        </w:rPr>
        <w:t>El presupuesto del proyecto sirve de base para ejercer una supervisión financiera y controlar los recursos proporcionados a los socios (</w:t>
      </w:r>
      <w:r w:rsidR="00C826BA" w:rsidRPr="00672AFA">
        <w:rPr>
          <w:sz w:val="22"/>
          <w:szCs w:val="22"/>
          <w:lang w:val="es-CL"/>
        </w:rPr>
        <w:t>en conjunto con el</w:t>
      </w:r>
      <w:r w:rsidRPr="00672AFA">
        <w:rPr>
          <w:sz w:val="22"/>
          <w:szCs w:val="22"/>
          <w:lang w:val="es-CL"/>
        </w:rPr>
        <w:t xml:space="preserve"> plan de trabajo y los objetivos establecidos en el correspondiente Acuerdo </w:t>
      </w:r>
      <w:r w:rsidR="00C826BA" w:rsidRPr="00672AFA">
        <w:rPr>
          <w:sz w:val="22"/>
          <w:szCs w:val="22"/>
          <w:lang w:val="es-CL"/>
        </w:rPr>
        <w:t>de Socios Ejecutores</w:t>
      </w:r>
      <w:r w:rsidRPr="00672AFA">
        <w:rPr>
          <w:sz w:val="22"/>
          <w:szCs w:val="22"/>
          <w:lang w:val="es-CL"/>
        </w:rPr>
        <w:t xml:space="preserve">). </w:t>
      </w:r>
      <w:r w:rsidR="00C826BA" w:rsidRPr="00672AFA">
        <w:rPr>
          <w:sz w:val="22"/>
          <w:szCs w:val="22"/>
          <w:lang w:val="es-CL"/>
        </w:rPr>
        <w:t>Una variación de hasta 10% en el gasto real en las partidas o líneas presupuestarias puede considerarse como aceptable, siempre que no se exceda el monto de subvención total previsto en el Acuerdo de Socios Ejecutores</w:t>
      </w:r>
      <w:r w:rsidRPr="00672AFA">
        <w:rPr>
          <w:sz w:val="22"/>
          <w:szCs w:val="22"/>
          <w:lang w:val="es-CL"/>
        </w:rPr>
        <w:t xml:space="preserve">. Las variaciones </w:t>
      </w:r>
      <w:r w:rsidR="00D51614" w:rsidRPr="00672AFA">
        <w:rPr>
          <w:sz w:val="22"/>
          <w:szCs w:val="22"/>
          <w:lang w:val="es-CL"/>
        </w:rPr>
        <w:t>superiores al</w:t>
      </w:r>
      <w:r w:rsidRPr="00672AFA">
        <w:rPr>
          <w:sz w:val="22"/>
          <w:szCs w:val="22"/>
          <w:lang w:val="es-CL"/>
        </w:rPr>
        <w:t xml:space="preserve"> 10% en una </w:t>
      </w:r>
      <w:r w:rsidR="00D51614" w:rsidRPr="00672AFA">
        <w:rPr>
          <w:sz w:val="22"/>
          <w:szCs w:val="22"/>
          <w:lang w:val="es-CL"/>
        </w:rPr>
        <w:t xml:space="preserve">línea o </w:t>
      </w:r>
      <w:r w:rsidRPr="00672AFA">
        <w:rPr>
          <w:sz w:val="22"/>
          <w:szCs w:val="22"/>
          <w:lang w:val="es-CL"/>
        </w:rPr>
        <w:t>partida presupuestaria o</w:t>
      </w:r>
      <w:r w:rsidR="00D51614" w:rsidRPr="00672AFA">
        <w:rPr>
          <w:sz w:val="22"/>
          <w:szCs w:val="22"/>
          <w:lang w:val="es-CL"/>
        </w:rPr>
        <w:t xml:space="preserve"> determinada</w:t>
      </w:r>
      <w:r w:rsidRPr="00672AFA">
        <w:rPr>
          <w:sz w:val="22"/>
          <w:szCs w:val="22"/>
          <w:lang w:val="es-CL"/>
        </w:rPr>
        <w:t xml:space="preserve"> </w:t>
      </w:r>
      <w:r w:rsidR="00D51614" w:rsidRPr="00672AFA">
        <w:rPr>
          <w:sz w:val="22"/>
          <w:szCs w:val="22"/>
          <w:lang w:val="es-CL"/>
        </w:rPr>
        <w:t>deben ser sometidas</w:t>
      </w:r>
      <w:r w:rsidRPr="00672AFA">
        <w:rPr>
          <w:sz w:val="22"/>
          <w:szCs w:val="22"/>
          <w:lang w:val="es-CL"/>
        </w:rPr>
        <w:t xml:space="preserve"> a la consideración y aprobación de la UNESCO, y reflejarse en un</w:t>
      </w:r>
      <w:r w:rsidR="00A24958" w:rsidRPr="00672AFA">
        <w:rPr>
          <w:sz w:val="22"/>
          <w:szCs w:val="22"/>
          <w:lang w:val="es-CL"/>
        </w:rPr>
        <w:t xml:space="preserve"> anexo </w:t>
      </w:r>
      <w:r w:rsidRPr="00672AFA">
        <w:rPr>
          <w:sz w:val="22"/>
          <w:szCs w:val="22"/>
          <w:lang w:val="es-CL"/>
        </w:rPr>
        <w:t>al Acuerdo.</w:t>
      </w:r>
    </w:p>
    <w:p w14:paraId="7B19FCCA" w14:textId="2C9E2864" w:rsidR="00554029" w:rsidRPr="00672AFA" w:rsidRDefault="000A5DCF" w:rsidP="000C2288">
      <w:pPr>
        <w:jc w:val="both"/>
        <w:rPr>
          <w:b/>
          <w:bCs/>
          <w:sz w:val="22"/>
          <w:szCs w:val="20"/>
          <w:lang w:val="es-CL"/>
        </w:rPr>
      </w:pPr>
      <w:r w:rsidRPr="00672AFA">
        <w:rPr>
          <w:b/>
          <w:bCs/>
          <w:sz w:val="22"/>
          <w:szCs w:val="20"/>
          <w:lang w:val="es-CL"/>
        </w:rPr>
        <w:lastRenderedPageBreak/>
        <w:t>Contribución del Socio</w:t>
      </w:r>
    </w:p>
    <w:p w14:paraId="67A3FC8C" w14:textId="536D1BB8" w:rsidR="000A5DCF" w:rsidRPr="00672AFA" w:rsidRDefault="000A5DCF" w:rsidP="00E0211D">
      <w:pPr>
        <w:jc w:val="both"/>
        <w:rPr>
          <w:sz w:val="22"/>
          <w:szCs w:val="20"/>
          <w:lang w:val="es-CL"/>
        </w:rPr>
      </w:pPr>
      <w:r w:rsidRPr="00672AFA">
        <w:rPr>
          <w:sz w:val="22"/>
          <w:szCs w:val="20"/>
          <w:lang w:val="es-CL"/>
        </w:rPr>
        <w:t>Todos los socios deben realizar una contribución financiera (monetaria o en especi</w:t>
      </w:r>
      <w:r w:rsidR="002D291C" w:rsidRPr="00672AFA">
        <w:rPr>
          <w:sz w:val="22"/>
          <w:szCs w:val="20"/>
          <w:lang w:val="es-CL"/>
        </w:rPr>
        <w:t>e</w:t>
      </w:r>
      <w:r w:rsidR="00CF23E4" w:rsidRPr="00672AFA">
        <w:rPr>
          <w:rStyle w:val="FootnoteReference"/>
          <w:sz w:val="22"/>
          <w:szCs w:val="20"/>
          <w:lang w:val="es-CL"/>
        </w:rPr>
        <w:footnoteReference w:id="3"/>
      </w:r>
      <w:r w:rsidR="002D291C" w:rsidRPr="00672AFA">
        <w:rPr>
          <w:sz w:val="22"/>
          <w:szCs w:val="20"/>
          <w:lang w:val="es-CL"/>
        </w:rPr>
        <w:t>)</w:t>
      </w:r>
      <w:r w:rsidRPr="00672AFA">
        <w:rPr>
          <w:sz w:val="22"/>
          <w:szCs w:val="20"/>
          <w:lang w:val="es-CL"/>
        </w:rPr>
        <w:t xml:space="preserve"> equivalente</w:t>
      </w:r>
      <w:r w:rsidR="002D291C" w:rsidRPr="00672AFA">
        <w:rPr>
          <w:sz w:val="22"/>
          <w:szCs w:val="20"/>
          <w:lang w:val="es-CL"/>
        </w:rPr>
        <w:t xml:space="preserve"> a</w:t>
      </w:r>
      <w:r w:rsidRPr="00672AFA">
        <w:rPr>
          <w:sz w:val="22"/>
          <w:szCs w:val="20"/>
          <w:lang w:val="es-CL"/>
        </w:rPr>
        <w:t xml:space="preserve"> </w:t>
      </w:r>
      <w:r w:rsidRPr="00672AFA">
        <w:rPr>
          <w:sz w:val="22"/>
          <w:szCs w:val="20"/>
          <w:u w:val="single"/>
          <w:lang w:val="es-CL"/>
        </w:rPr>
        <w:t xml:space="preserve">al menos </w:t>
      </w:r>
      <w:r w:rsidR="002D291C" w:rsidRPr="00672AFA">
        <w:rPr>
          <w:sz w:val="22"/>
          <w:szCs w:val="20"/>
          <w:u w:val="single"/>
          <w:lang w:val="es-CL"/>
        </w:rPr>
        <w:t>el</w:t>
      </w:r>
      <w:r w:rsidRPr="00672AFA">
        <w:rPr>
          <w:sz w:val="22"/>
          <w:szCs w:val="20"/>
          <w:u w:val="single"/>
          <w:lang w:val="es-CL"/>
        </w:rPr>
        <w:t xml:space="preserve"> cinco por ciento del presupuesto total del proyecto</w:t>
      </w:r>
      <w:r w:rsidRPr="00672AFA">
        <w:rPr>
          <w:sz w:val="22"/>
          <w:szCs w:val="20"/>
          <w:lang w:val="es-CL"/>
        </w:rPr>
        <w:t xml:space="preserve">, </w:t>
      </w:r>
      <w:r w:rsidR="002D291C" w:rsidRPr="00672AFA">
        <w:rPr>
          <w:sz w:val="22"/>
          <w:szCs w:val="20"/>
          <w:lang w:val="es-CL"/>
        </w:rPr>
        <w:t xml:space="preserve">la </w:t>
      </w:r>
      <w:r w:rsidRPr="00672AFA">
        <w:rPr>
          <w:sz w:val="22"/>
          <w:szCs w:val="20"/>
          <w:lang w:val="es-CL"/>
        </w:rPr>
        <w:t>que debe incluir costos directos relacionados con el logro de los objetivos de la acción (y no solo los costos relacionados con el funcionamiento general de su organización).</w:t>
      </w:r>
      <w:r w:rsidR="008E5A48" w:rsidRPr="00672AFA">
        <w:rPr>
          <w:sz w:val="22"/>
          <w:szCs w:val="20"/>
          <w:lang w:val="es-CL"/>
        </w:rPr>
        <w:t xml:space="preserve"> Es posible </w:t>
      </w:r>
      <w:r w:rsidRPr="00672AFA">
        <w:rPr>
          <w:sz w:val="22"/>
          <w:szCs w:val="20"/>
          <w:lang w:val="es-CL"/>
        </w:rPr>
        <w:t xml:space="preserve">aceptar salarios como parte de la contribución del socio, siempre que la organización pueda explicar el </w:t>
      </w:r>
      <w:r w:rsidR="008E5A48" w:rsidRPr="00672AFA">
        <w:rPr>
          <w:sz w:val="22"/>
          <w:szCs w:val="20"/>
          <w:lang w:val="es-CL"/>
        </w:rPr>
        <w:t>rol</w:t>
      </w:r>
      <w:r w:rsidRPr="00672AFA">
        <w:rPr>
          <w:sz w:val="22"/>
          <w:szCs w:val="20"/>
          <w:lang w:val="es-CL"/>
        </w:rPr>
        <w:t xml:space="preserve"> de los miembros del personal en el proyecto y el tiempo dedicado al proyecto.</w:t>
      </w:r>
    </w:p>
    <w:p w14:paraId="39015E45" w14:textId="7DCD5917" w:rsidR="00BF7EDD" w:rsidRPr="00672AFA" w:rsidRDefault="00D26801" w:rsidP="000C2288">
      <w:pPr>
        <w:jc w:val="both"/>
        <w:rPr>
          <w:sz w:val="22"/>
          <w:szCs w:val="20"/>
          <w:lang w:val="es-CL"/>
        </w:rPr>
      </w:pPr>
      <w:r w:rsidRPr="00672AFA">
        <w:rPr>
          <w:b/>
          <w:bCs/>
          <w:sz w:val="22"/>
          <w:szCs w:val="20"/>
          <w:lang w:val="es-CL"/>
        </w:rPr>
        <w:t>Costos Elegibles</w:t>
      </w:r>
    </w:p>
    <w:p w14:paraId="5479AF81" w14:textId="5B5EBC4F" w:rsidR="001A0308" w:rsidRPr="00672AFA" w:rsidRDefault="001A0308" w:rsidP="000C2288">
      <w:pPr>
        <w:jc w:val="both"/>
        <w:rPr>
          <w:sz w:val="22"/>
          <w:szCs w:val="20"/>
          <w:lang w:val="es-CL"/>
        </w:rPr>
      </w:pPr>
      <w:r w:rsidRPr="00672AFA">
        <w:rPr>
          <w:sz w:val="22"/>
          <w:szCs w:val="20"/>
          <w:lang w:val="es-CL"/>
        </w:rPr>
        <w:t xml:space="preserve">Las organizaciones candidatas deben asegurarse de que todas las actividades y partidas de costos estén efectivamente incluidas en el presupuesto, incluidos los costos que formarán parte de su contribución al proyecto (véase "Contribución del Socio" </w:t>
      </w:r>
      <w:r w:rsidR="00AF22A9" w:rsidRPr="00672AFA">
        <w:rPr>
          <w:sz w:val="22"/>
          <w:szCs w:val="20"/>
          <w:lang w:val="es-CL"/>
        </w:rPr>
        <w:t>arriba</w:t>
      </w:r>
      <w:r w:rsidRPr="00672AFA">
        <w:rPr>
          <w:sz w:val="22"/>
          <w:szCs w:val="20"/>
          <w:lang w:val="es-CL"/>
        </w:rPr>
        <w:t>). No se cubrirán las partidas que no estén incluidas en el presupuesto aprobado.</w:t>
      </w:r>
    </w:p>
    <w:p w14:paraId="7CD3EEDB" w14:textId="692A0DE1" w:rsidR="004C2378" w:rsidRPr="00672AFA" w:rsidRDefault="004C2378" w:rsidP="000C2288">
      <w:pPr>
        <w:jc w:val="both"/>
        <w:rPr>
          <w:sz w:val="22"/>
          <w:szCs w:val="20"/>
          <w:lang w:val="es-CL"/>
        </w:rPr>
      </w:pPr>
      <w:r w:rsidRPr="00672AFA">
        <w:rPr>
          <w:sz w:val="22"/>
          <w:szCs w:val="20"/>
          <w:lang w:val="es-CL"/>
        </w:rPr>
        <w:t>Los presupuestos deben prepararse para cada actividad y desglosarse además sobre la base de cada componente presupuestario u objeto de gasto. No se aceptará ningún costo que no presente el desglose correspondiente.</w:t>
      </w:r>
      <w:r w:rsidR="00B408CA" w:rsidRPr="00672AFA">
        <w:rPr>
          <w:sz w:val="22"/>
          <w:szCs w:val="20"/>
          <w:lang w:val="es-CL"/>
        </w:rPr>
        <w:t xml:space="preserve"> No se aceptarán presupuestos que no incluyan el desglose de costos necesario, </w:t>
      </w:r>
      <w:r w:rsidR="00347272" w:rsidRPr="00672AFA">
        <w:rPr>
          <w:sz w:val="22"/>
          <w:szCs w:val="20"/>
          <w:lang w:val="es-CL"/>
        </w:rPr>
        <w:t>o aquellos en que las</w:t>
      </w:r>
      <w:r w:rsidR="00B408CA" w:rsidRPr="00672AFA">
        <w:rPr>
          <w:sz w:val="22"/>
          <w:szCs w:val="20"/>
          <w:lang w:val="es-CL"/>
        </w:rPr>
        <w:t xml:space="preserve"> partidas de costos carezcan </w:t>
      </w:r>
      <w:r w:rsidR="00C11421" w:rsidRPr="00672AFA">
        <w:rPr>
          <w:sz w:val="22"/>
          <w:szCs w:val="20"/>
          <w:lang w:val="es-CL"/>
        </w:rPr>
        <w:t>de</w:t>
      </w:r>
      <w:r w:rsidR="00F4321C" w:rsidRPr="00672AFA">
        <w:rPr>
          <w:sz w:val="22"/>
          <w:szCs w:val="20"/>
          <w:lang w:val="es-CL"/>
        </w:rPr>
        <w:t>l detalle necesario</w:t>
      </w:r>
      <w:r w:rsidR="00B408CA" w:rsidRPr="00672AFA">
        <w:rPr>
          <w:sz w:val="22"/>
          <w:szCs w:val="20"/>
          <w:lang w:val="es-CL"/>
        </w:rPr>
        <w:t xml:space="preserve"> (</w:t>
      </w:r>
      <w:r w:rsidR="003444D6" w:rsidRPr="00672AFA">
        <w:rPr>
          <w:sz w:val="22"/>
          <w:szCs w:val="20"/>
          <w:lang w:val="es-CL"/>
        </w:rPr>
        <w:t>i.e.</w:t>
      </w:r>
      <w:r w:rsidR="00B408CA" w:rsidRPr="00672AFA">
        <w:rPr>
          <w:sz w:val="22"/>
          <w:szCs w:val="20"/>
          <w:lang w:val="es-CL"/>
        </w:rPr>
        <w:t xml:space="preserve"> que no expliquen cómo se gastarán los fondos, como “Gastos </w:t>
      </w:r>
      <w:r w:rsidR="003444D6" w:rsidRPr="00672AFA">
        <w:rPr>
          <w:sz w:val="22"/>
          <w:szCs w:val="20"/>
          <w:lang w:val="es-CL"/>
        </w:rPr>
        <w:t>Misceláneos</w:t>
      </w:r>
      <w:r w:rsidR="00B408CA" w:rsidRPr="00672AFA">
        <w:rPr>
          <w:sz w:val="22"/>
          <w:szCs w:val="20"/>
          <w:lang w:val="es-CL"/>
        </w:rPr>
        <w:t>”)</w:t>
      </w:r>
      <w:r w:rsidR="003444D6" w:rsidRPr="00672AFA">
        <w:rPr>
          <w:rStyle w:val="FootnoteReference"/>
          <w:sz w:val="22"/>
          <w:szCs w:val="20"/>
          <w:lang w:val="es-CL"/>
        </w:rPr>
        <w:footnoteReference w:id="4"/>
      </w:r>
      <w:r w:rsidR="00B408CA" w:rsidRPr="00672AFA">
        <w:rPr>
          <w:sz w:val="22"/>
          <w:szCs w:val="20"/>
          <w:lang w:val="es-CL"/>
        </w:rPr>
        <w:t>.</w:t>
      </w:r>
    </w:p>
    <w:p w14:paraId="3CF2882E" w14:textId="0498FD35" w:rsidR="00C003B5" w:rsidRPr="00672AFA" w:rsidRDefault="00C003B5" w:rsidP="000C2288">
      <w:pPr>
        <w:jc w:val="both"/>
        <w:rPr>
          <w:sz w:val="22"/>
          <w:szCs w:val="20"/>
          <w:lang w:val="es-CL"/>
        </w:rPr>
      </w:pPr>
      <w:r w:rsidRPr="00672AFA">
        <w:rPr>
          <w:sz w:val="22"/>
          <w:szCs w:val="20"/>
          <w:lang w:val="es-CL"/>
        </w:rPr>
        <w:t>El presupuesto financiado por la UNESCO/GMDF sólo debe incluir los costos directos relacionados con el logro de los objetivos del proyecto. Los costos directos son los gastos necesarios para la ejecución de la acción propuesta, directamente atribuibles a ella, que surgen directamente de su ejecución y se imputan proporcionalmente al uso efectivo en el marco del proyecto (presupuestación directa basada en actividades).</w:t>
      </w:r>
    </w:p>
    <w:p w14:paraId="3F4C8B7C" w14:textId="179F7660" w:rsidR="00C003B5" w:rsidRPr="00672AFA" w:rsidRDefault="00C003B5" w:rsidP="001B1BBC">
      <w:pPr>
        <w:jc w:val="both"/>
        <w:rPr>
          <w:sz w:val="22"/>
          <w:szCs w:val="20"/>
          <w:lang w:val="es-CL"/>
        </w:rPr>
      </w:pPr>
      <w:r w:rsidRPr="00672AFA">
        <w:rPr>
          <w:sz w:val="22"/>
          <w:szCs w:val="20"/>
          <w:lang w:val="es-CL"/>
        </w:rPr>
        <w:t xml:space="preserve">El presupuesto financiado por la UNESCO/GMDF no puede cubrir los gastos relacionados con el financiamiento básico de la organización ni los costos recurrentes. </w:t>
      </w:r>
      <w:r w:rsidR="00BE454F" w:rsidRPr="00672AFA">
        <w:rPr>
          <w:sz w:val="22"/>
          <w:szCs w:val="20"/>
          <w:lang w:val="es-CL"/>
        </w:rPr>
        <w:t>Este presupuesto puede cubrir u</w:t>
      </w:r>
      <w:r w:rsidR="001B1BBC" w:rsidRPr="00672AFA">
        <w:rPr>
          <w:sz w:val="22"/>
          <w:szCs w:val="20"/>
          <w:lang w:val="es-CL"/>
        </w:rPr>
        <w:t>n monto limitado por concepto de costos de coordinación de la ejecución de la acción, aunque lo ideal es que éstos sean parte de la contribución del socio.</w:t>
      </w:r>
    </w:p>
    <w:p w14:paraId="203452F7" w14:textId="21CC648A" w:rsidR="00EB75F1" w:rsidRPr="00672AFA" w:rsidRDefault="00E06FA1" w:rsidP="00E06FA1">
      <w:pPr>
        <w:jc w:val="both"/>
        <w:rPr>
          <w:sz w:val="22"/>
          <w:szCs w:val="20"/>
          <w:lang w:val="es-CL"/>
        </w:rPr>
      </w:pPr>
      <w:r w:rsidRPr="00672AFA">
        <w:rPr>
          <w:sz w:val="22"/>
          <w:szCs w:val="20"/>
          <w:lang w:val="es-CL"/>
        </w:rPr>
        <w:t>El porcentaje de la adquisición de bienes, obras o servicios (i.e. la subcontratación) realizada por el socio no puede superar el 33% del presupuesto financiado por la UNESCO/GMDF.</w:t>
      </w:r>
    </w:p>
    <w:p w14:paraId="147FBBE1" w14:textId="65B678DD" w:rsidR="00931ED1" w:rsidRPr="00672AFA" w:rsidRDefault="00931ED1" w:rsidP="00931ED1">
      <w:pPr>
        <w:jc w:val="both"/>
        <w:rPr>
          <w:sz w:val="22"/>
          <w:szCs w:val="20"/>
          <w:lang w:val="es-CL"/>
        </w:rPr>
      </w:pPr>
      <w:r w:rsidRPr="00672AFA">
        <w:rPr>
          <w:sz w:val="22"/>
          <w:szCs w:val="20"/>
          <w:lang w:val="es-CL"/>
        </w:rPr>
        <w:t>Se recomienda destinar fondos a acciones de comunicación para generar y garantizar la visibilidad del proyecto de cara a potenciales beneficiarios y a las partes interesadas. Un monto equivalente a al menos 5% del presupuesto del proyecto es recomendado.</w:t>
      </w:r>
    </w:p>
    <w:p w14:paraId="61D1BC68" w14:textId="19863BEF" w:rsidR="00EA44F6" w:rsidRPr="00672AFA" w:rsidRDefault="00931ED1" w:rsidP="000C2288">
      <w:pPr>
        <w:jc w:val="both"/>
        <w:rPr>
          <w:b/>
          <w:bCs/>
          <w:sz w:val="22"/>
          <w:szCs w:val="20"/>
          <w:lang w:val="es-CL"/>
        </w:rPr>
      </w:pPr>
      <w:r w:rsidRPr="00672AFA">
        <w:rPr>
          <w:b/>
          <w:bCs/>
          <w:sz w:val="22"/>
          <w:szCs w:val="20"/>
          <w:lang w:val="es-CL"/>
        </w:rPr>
        <w:t>Costos Inelegibles</w:t>
      </w:r>
    </w:p>
    <w:p w14:paraId="77208969" w14:textId="6F5A51E7" w:rsidR="00C87521" w:rsidRPr="00672AFA" w:rsidRDefault="00C87521" w:rsidP="000C2288">
      <w:pPr>
        <w:jc w:val="both"/>
        <w:rPr>
          <w:sz w:val="22"/>
          <w:szCs w:val="20"/>
          <w:lang w:val="es-CL"/>
        </w:rPr>
      </w:pPr>
      <w:r w:rsidRPr="00672AFA">
        <w:rPr>
          <w:sz w:val="22"/>
          <w:szCs w:val="20"/>
          <w:lang w:val="es-CL"/>
        </w:rPr>
        <w:lastRenderedPageBreak/>
        <w:t>Los costos considerados como no elegibles en el marco de esta Convocatoria incluyen, entre otros, los siguientes:</w:t>
      </w:r>
    </w:p>
    <w:p w14:paraId="63BFF7BC" w14:textId="12C58C2E" w:rsidR="00AB2C10" w:rsidRPr="00672AFA" w:rsidRDefault="00AB2C10" w:rsidP="005A5E75">
      <w:pPr>
        <w:pStyle w:val="ListParagraph"/>
        <w:numPr>
          <w:ilvl w:val="0"/>
          <w:numId w:val="20"/>
        </w:numPr>
        <w:jc w:val="both"/>
        <w:rPr>
          <w:sz w:val="22"/>
          <w:szCs w:val="20"/>
          <w:lang w:val="es-CL"/>
        </w:rPr>
      </w:pPr>
      <w:r w:rsidRPr="00672AFA">
        <w:rPr>
          <w:sz w:val="22"/>
          <w:szCs w:val="20"/>
          <w:lang w:val="es-CL"/>
        </w:rPr>
        <w:t>Financiamiento básico o costos recurrentes de una organización (salarios fijos del personal, arriendo, servicios básicos, etc.);</w:t>
      </w:r>
    </w:p>
    <w:p w14:paraId="5964B088" w14:textId="713864DC" w:rsidR="00326F7B" w:rsidRPr="00672AFA" w:rsidRDefault="00326F7B" w:rsidP="005A5E75">
      <w:pPr>
        <w:pStyle w:val="ListParagraph"/>
        <w:numPr>
          <w:ilvl w:val="0"/>
          <w:numId w:val="20"/>
        </w:numPr>
        <w:jc w:val="both"/>
        <w:rPr>
          <w:sz w:val="22"/>
          <w:szCs w:val="20"/>
          <w:lang w:val="es-CL"/>
        </w:rPr>
      </w:pPr>
      <w:r w:rsidRPr="00672AFA">
        <w:rPr>
          <w:sz w:val="22"/>
          <w:szCs w:val="20"/>
          <w:lang w:val="es-CL"/>
        </w:rPr>
        <w:t>Costos indirectos, generales o administrativos;</w:t>
      </w:r>
    </w:p>
    <w:p w14:paraId="7A50A43A" w14:textId="2D649145" w:rsidR="00326F7B" w:rsidRPr="00672AFA" w:rsidRDefault="00326F7B" w:rsidP="00326F7B">
      <w:pPr>
        <w:pStyle w:val="ListParagraph"/>
        <w:numPr>
          <w:ilvl w:val="0"/>
          <w:numId w:val="20"/>
        </w:numPr>
        <w:jc w:val="both"/>
        <w:rPr>
          <w:sz w:val="22"/>
          <w:szCs w:val="20"/>
          <w:lang w:val="es-CL"/>
        </w:rPr>
      </w:pPr>
      <w:r w:rsidRPr="00672AFA">
        <w:rPr>
          <w:sz w:val="22"/>
          <w:szCs w:val="20"/>
          <w:lang w:val="es-CL"/>
        </w:rPr>
        <w:t>Costos de auditoría;</w:t>
      </w:r>
    </w:p>
    <w:p w14:paraId="1B13F17C" w14:textId="60CA1B54" w:rsidR="00326F7B" w:rsidRPr="00672AFA" w:rsidRDefault="00326F7B" w:rsidP="00326F7B">
      <w:pPr>
        <w:pStyle w:val="ListParagraph"/>
        <w:numPr>
          <w:ilvl w:val="0"/>
          <w:numId w:val="20"/>
        </w:numPr>
        <w:jc w:val="both"/>
        <w:rPr>
          <w:sz w:val="22"/>
          <w:szCs w:val="20"/>
          <w:lang w:val="es-CL"/>
        </w:rPr>
      </w:pPr>
      <w:r w:rsidRPr="00672AFA">
        <w:rPr>
          <w:sz w:val="22"/>
          <w:szCs w:val="20"/>
          <w:lang w:val="es-CL"/>
        </w:rPr>
        <w:t>Comisiones bancarias</w:t>
      </w:r>
      <w:r w:rsidR="006241FE" w:rsidRPr="00672AFA">
        <w:rPr>
          <w:rStyle w:val="FootnoteReference"/>
          <w:sz w:val="22"/>
          <w:szCs w:val="20"/>
          <w:lang w:val="es-CL"/>
        </w:rPr>
        <w:footnoteReference w:id="5"/>
      </w:r>
      <w:r w:rsidRPr="00672AFA">
        <w:rPr>
          <w:sz w:val="22"/>
          <w:szCs w:val="20"/>
          <w:lang w:val="es-CL"/>
        </w:rPr>
        <w:t>;</w:t>
      </w:r>
    </w:p>
    <w:p w14:paraId="6FC4A0E3" w14:textId="44A6AEE5" w:rsidR="00332046" w:rsidRPr="00672AFA" w:rsidRDefault="00BA374D" w:rsidP="005A5E75">
      <w:pPr>
        <w:pStyle w:val="ListParagraph"/>
        <w:numPr>
          <w:ilvl w:val="0"/>
          <w:numId w:val="20"/>
        </w:numPr>
        <w:jc w:val="both"/>
        <w:rPr>
          <w:sz w:val="22"/>
          <w:szCs w:val="20"/>
          <w:lang w:val="es-CL"/>
        </w:rPr>
      </w:pPr>
      <w:r w:rsidRPr="00672AFA">
        <w:rPr>
          <w:sz w:val="22"/>
          <w:szCs w:val="20"/>
          <w:lang w:val="es-CL"/>
        </w:rPr>
        <w:t>Costos de seguros;</w:t>
      </w:r>
    </w:p>
    <w:p w14:paraId="02F89A74" w14:textId="77777777" w:rsidR="00BA374D" w:rsidRPr="00672AFA" w:rsidRDefault="00BA374D" w:rsidP="000C2288">
      <w:pPr>
        <w:pStyle w:val="ListParagraph"/>
        <w:numPr>
          <w:ilvl w:val="0"/>
          <w:numId w:val="20"/>
        </w:numPr>
        <w:jc w:val="both"/>
        <w:rPr>
          <w:sz w:val="22"/>
          <w:szCs w:val="20"/>
          <w:lang w:val="es-CL"/>
        </w:rPr>
      </w:pPr>
      <w:r w:rsidRPr="00672AFA">
        <w:rPr>
          <w:sz w:val="22"/>
          <w:szCs w:val="20"/>
          <w:lang w:val="es-CL"/>
        </w:rPr>
        <w:t>Compra de equipos, computadoras, impresoras o cualquier otro dispositivo eléctrico;</w:t>
      </w:r>
    </w:p>
    <w:p w14:paraId="3338115F" w14:textId="3FCFE8A4" w:rsidR="00BA374D" w:rsidRPr="00672AFA" w:rsidRDefault="00BA374D" w:rsidP="000C2288">
      <w:pPr>
        <w:pStyle w:val="ListParagraph"/>
        <w:numPr>
          <w:ilvl w:val="0"/>
          <w:numId w:val="20"/>
        </w:numPr>
        <w:jc w:val="both"/>
        <w:rPr>
          <w:sz w:val="22"/>
          <w:szCs w:val="20"/>
          <w:lang w:val="es-CL"/>
        </w:rPr>
      </w:pPr>
      <w:r w:rsidRPr="00672AFA">
        <w:rPr>
          <w:sz w:val="22"/>
          <w:szCs w:val="20"/>
          <w:lang w:val="es-CL"/>
        </w:rPr>
        <w:t>Costos incurridos con anterioridad a la fecha del Acuerdo de Socios Ejecutores correspondiente, o después de su vencimiento;</w:t>
      </w:r>
    </w:p>
    <w:p w14:paraId="46E07535" w14:textId="7556EC91" w:rsidR="00B83F54" w:rsidRPr="00672AFA" w:rsidRDefault="008B321A" w:rsidP="008B321A">
      <w:pPr>
        <w:pStyle w:val="ListParagraph"/>
        <w:numPr>
          <w:ilvl w:val="0"/>
          <w:numId w:val="20"/>
        </w:numPr>
        <w:jc w:val="both"/>
        <w:rPr>
          <w:sz w:val="22"/>
          <w:szCs w:val="20"/>
          <w:lang w:val="es-CL"/>
        </w:rPr>
      </w:pPr>
      <w:r w:rsidRPr="00672AFA">
        <w:rPr>
          <w:sz w:val="22"/>
          <w:szCs w:val="20"/>
          <w:lang w:val="es-CL"/>
        </w:rPr>
        <w:t>Costos considerados como no esenciales para obtener los resultados esperados.</w:t>
      </w:r>
    </w:p>
    <w:tbl>
      <w:tblPr>
        <w:tblStyle w:val="TableGrid"/>
        <w:tblW w:w="0" w:type="auto"/>
        <w:tblLook w:val="04A0" w:firstRow="1" w:lastRow="0" w:firstColumn="1" w:lastColumn="0" w:noHBand="0" w:noVBand="1"/>
      </w:tblPr>
      <w:tblGrid>
        <w:gridCol w:w="9062"/>
      </w:tblGrid>
      <w:tr w:rsidR="00F55599" w:rsidRPr="0071524C" w14:paraId="173F5D4F" w14:textId="77777777" w:rsidTr="00F55599">
        <w:tc>
          <w:tcPr>
            <w:tcW w:w="9062" w:type="dxa"/>
          </w:tcPr>
          <w:p w14:paraId="28631CEF" w14:textId="77777777" w:rsidR="00F55599" w:rsidRPr="00672AFA" w:rsidRDefault="00F55599" w:rsidP="00F55599">
            <w:pPr>
              <w:spacing w:line="278" w:lineRule="auto"/>
              <w:jc w:val="both"/>
              <w:rPr>
                <w:rFonts w:eastAsiaTheme="minorEastAsia"/>
                <w:kern w:val="2"/>
                <w:sz w:val="12"/>
                <w:szCs w:val="12"/>
                <w:lang w:val="es-CL" w:eastAsia="zh-CN"/>
                <w14:ligatures w14:val="standardContextual"/>
              </w:rPr>
            </w:pPr>
          </w:p>
          <w:p w14:paraId="40EB2035" w14:textId="4BD6820B" w:rsidR="00F55599" w:rsidRPr="00672AFA" w:rsidRDefault="000C7D26" w:rsidP="00F55599">
            <w:pPr>
              <w:spacing w:after="160" w:line="278" w:lineRule="auto"/>
              <w:jc w:val="both"/>
              <w:rPr>
                <w:rFonts w:eastAsiaTheme="minorEastAsia"/>
                <w:kern w:val="2"/>
                <w:lang w:val="es-CL" w:eastAsia="zh-CN"/>
                <w14:ligatures w14:val="standardContextual"/>
              </w:rPr>
            </w:pPr>
            <w:r w:rsidRPr="00672AFA">
              <w:rPr>
                <w:rFonts w:eastAsiaTheme="minorEastAsia"/>
                <w:kern w:val="2"/>
                <w:lang w:val="es-CL" w:eastAsia="zh-CN"/>
                <w14:ligatures w14:val="standardContextual"/>
              </w:rPr>
              <w:t xml:space="preserve">La propuesta de presupuesto servirá de base para el acuerdo de financiamiento si la organización candidata es preseleccionada. No obstante, la propuesta de presupuesto presentada por la candidata puede ser objeto de racionalización u de otros ajustes a solicitud de la UNESCO </w:t>
            </w:r>
            <w:proofErr w:type="spellStart"/>
            <w:r w:rsidRPr="00672AFA">
              <w:rPr>
                <w:rFonts w:eastAsiaTheme="minorEastAsia"/>
                <w:kern w:val="2"/>
                <w:lang w:val="es-CL" w:eastAsia="zh-CN"/>
                <w14:ligatures w14:val="standardContextual"/>
              </w:rPr>
              <w:t>UNESCO</w:t>
            </w:r>
            <w:proofErr w:type="spellEnd"/>
            <w:r w:rsidRPr="00672AFA">
              <w:rPr>
                <w:rFonts w:eastAsiaTheme="minorEastAsia"/>
                <w:kern w:val="2"/>
                <w:lang w:val="es-CL" w:eastAsia="zh-CN"/>
                <w14:ligatures w14:val="standardContextual"/>
              </w:rPr>
              <w:t xml:space="preserve"> tras la preselección de la propuesta de proyecto. Por lo tanto, la preselección de una propuesta de proyecto no implica necesariamente la aprobación de la totalidad del presupuesto propuesto. La UNESCO se reserva el derecho de negociar el presupuesto con los socios preseleccionados previo a la firma del Acuerdo de Socios Ejecutores, para garantizar una buena relación calidad-precio.</w:t>
            </w:r>
          </w:p>
        </w:tc>
      </w:tr>
    </w:tbl>
    <w:p w14:paraId="480C1464" w14:textId="77777777" w:rsidR="00F55599" w:rsidRPr="00672AFA" w:rsidRDefault="00F55599" w:rsidP="003434C1">
      <w:pPr>
        <w:spacing w:after="0"/>
        <w:jc w:val="both"/>
        <w:rPr>
          <w:sz w:val="22"/>
          <w:szCs w:val="20"/>
          <w:lang w:val="es-CL"/>
        </w:rPr>
      </w:pPr>
    </w:p>
    <w:p w14:paraId="145F7CCA" w14:textId="3A4883E4" w:rsidR="00067D2C" w:rsidRPr="00672AFA" w:rsidRDefault="00067D2C" w:rsidP="000C2288">
      <w:pPr>
        <w:jc w:val="both"/>
        <w:rPr>
          <w:b/>
          <w:bCs/>
          <w:sz w:val="22"/>
          <w:szCs w:val="20"/>
          <w:lang w:val="es-CL"/>
        </w:rPr>
      </w:pPr>
      <w:proofErr w:type="spellStart"/>
      <w:proofErr w:type="gramStart"/>
      <w:r w:rsidRPr="00672AFA">
        <w:rPr>
          <w:b/>
          <w:bCs/>
          <w:sz w:val="22"/>
          <w:szCs w:val="20"/>
          <w:lang w:val="es-CL"/>
        </w:rPr>
        <w:t>Co-financiamiento</w:t>
      </w:r>
      <w:proofErr w:type="spellEnd"/>
      <w:proofErr w:type="gramEnd"/>
      <w:r w:rsidRPr="00672AFA">
        <w:rPr>
          <w:b/>
          <w:bCs/>
          <w:sz w:val="22"/>
          <w:szCs w:val="20"/>
          <w:lang w:val="es-CL"/>
        </w:rPr>
        <w:t xml:space="preserve"> a través de otras fuentes de financiamiento externo</w:t>
      </w:r>
    </w:p>
    <w:p w14:paraId="53B11655" w14:textId="61970EDA" w:rsidR="003434C1" w:rsidRPr="00672AFA" w:rsidRDefault="00561B25" w:rsidP="00561B25">
      <w:pPr>
        <w:jc w:val="both"/>
        <w:rPr>
          <w:sz w:val="22"/>
          <w:szCs w:val="20"/>
          <w:lang w:val="es-CL"/>
        </w:rPr>
      </w:pPr>
      <w:r w:rsidRPr="00672AFA">
        <w:rPr>
          <w:sz w:val="22"/>
          <w:szCs w:val="20"/>
          <w:lang w:val="es-CL"/>
        </w:rPr>
        <w:t>Además de la subvención solicitada en el marco del GMDF, la acción propuesta en la propuesta de asociación podrá ser parcialmente financiada mediante contribuciones financieras de terceros.</w:t>
      </w:r>
    </w:p>
    <w:p w14:paraId="14A79AFE" w14:textId="11D166D3" w:rsidR="00915EFE" w:rsidRPr="00672AFA" w:rsidRDefault="00915EFE" w:rsidP="00915EFE">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w:t>
      </w:r>
      <w:r w:rsidR="008C7800"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V</w:t>
      </w: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61B25"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PRESUPUESTO INDICATIVO DISPONIBLE BAJO ESTA CONVOCATORIA</w:t>
      </w:r>
    </w:p>
    <w:p w14:paraId="74F25970" w14:textId="3D1BA802" w:rsidR="009F0F8C" w:rsidRPr="00672AFA" w:rsidRDefault="009F0F8C" w:rsidP="00915EFE">
      <w:pPr>
        <w:jc w:val="both"/>
        <w:rPr>
          <w:sz w:val="22"/>
          <w:szCs w:val="20"/>
          <w:lang w:val="es-CL"/>
        </w:rPr>
      </w:pPr>
      <w:r w:rsidRPr="00672AFA">
        <w:rPr>
          <w:sz w:val="22"/>
          <w:szCs w:val="20"/>
          <w:lang w:val="es-CL"/>
        </w:rPr>
        <w:t xml:space="preserve">El monto total destinado al cofinanciamiento de proyectos en el marco de </w:t>
      </w:r>
      <w:r w:rsidR="00F72CD4" w:rsidRPr="00672AFA">
        <w:rPr>
          <w:sz w:val="22"/>
          <w:szCs w:val="20"/>
          <w:lang w:val="es-CL"/>
        </w:rPr>
        <w:t>esta Convocatoria</w:t>
      </w:r>
      <w:r w:rsidRPr="00672AFA">
        <w:rPr>
          <w:sz w:val="22"/>
          <w:szCs w:val="20"/>
          <w:lang w:val="es-CL"/>
        </w:rPr>
        <w:t xml:space="preserve"> se estima en </w:t>
      </w:r>
      <w:r w:rsidR="00F72CD4" w:rsidRPr="00672AFA">
        <w:rPr>
          <w:b/>
          <w:bCs/>
          <w:sz w:val="22"/>
          <w:szCs w:val="20"/>
          <w:lang w:val="es-CL"/>
        </w:rPr>
        <w:t>350 000</w:t>
      </w:r>
      <w:r w:rsidRPr="00672AFA">
        <w:rPr>
          <w:sz w:val="22"/>
          <w:szCs w:val="20"/>
          <w:lang w:val="es-CL"/>
        </w:rPr>
        <w:t xml:space="preserve"> </w:t>
      </w:r>
      <w:r w:rsidRPr="00672AFA">
        <w:rPr>
          <w:b/>
          <w:bCs/>
          <w:sz w:val="22"/>
          <w:szCs w:val="20"/>
          <w:lang w:val="es-CL"/>
        </w:rPr>
        <w:t>dólares estadounidenses</w:t>
      </w:r>
      <w:r w:rsidR="00F72CD4" w:rsidRPr="00672AFA">
        <w:rPr>
          <w:sz w:val="22"/>
          <w:szCs w:val="20"/>
          <w:lang w:val="es-CL"/>
        </w:rPr>
        <w:t xml:space="preserve"> </w:t>
      </w:r>
      <w:r w:rsidR="005C6D54" w:rsidRPr="00672AFA">
        <w:rPr>
          <w:sz w:val="22"/>
          <w:szCs w:val="20"/>
          <w:lang w:val="es-CL"/>
        </w:rPr>
        <w:t>al momento de la publicación de esta Convocatoria</w:t>
      </w:r>
      <w:r w:rsidRPr="00672AFA">
        <w:rPr>
          <w:sz w:val="22"/>
          <w:szCs w:val="20"/>
          <w:lang w:val="es-CL"/>
        </w:rPr>
        <w:t>. Esta cantidad se distribuirá entre las propuestas con mayor puntuación luego del proceso de evaluación (número estimado de subvenciones:</w:t>
      </w:r>
      <w:r w:rsidR="005C6D54" w:rsidRPr="00672AFA">
        <w:rPr>
          <w:sz w:val="22"/>
          <w:szCs w:val="20"/>
          <w:lang w:val="es-CL"/>
        </w:rPr>
        <w:t xml:space="preserve"> 7-10</w:t>
      </w:r>
      <w:r w:rsidRPr="00672AFA">
        <w:rPr>
          <w:sz w:val="22"/>
          <w:szCs w:val="20"/>
          <w:lang w:val="es-CL"/>
        </w:rPr>
        <w:t>).</w:t>
      </w:r>
    </w:p>
    <w:p w14:paraId="02F445B6" w14:textId="09B9619D" w:rsidR="00853F8B" w:rsidRPr="00672AFA" w:rsidRDefault="00853F8B" w:rsidP="00915EFE">
      <w:pPr>
        <w:jc w:val="both"/>
        <w:rPr>
          <w:sz w:val="22"/>
          <w:szCs w:val="20"/>
          <w:lang w:val="es-CL"/>
        </w:rPr>
      </w:pPr>
      <w:r w:rsidRPr="00672AFA">
        <w:rPr>
          <w:sz w:val="22"/>
          <w:szCs w:val="20"/>
          <w:lang w:val="es-CL"/>
        </w:rPr>
        <w:t xml:space="preserve">El tamaño de las subvenciones que se distribuirán en el marco de esta Convocatoria irá desde un </w:t>
      </w:r>
      <w:r w:rsidRPr="00672AFA">
        <w:rPr>
          <w:b/>
          <w:bCs/>
          <w:sz w:val="22"/>
          <w:szCs w:val="20"/>
          <w:lang w:val="es-CL"/>
        </w:rPr>
        <w:t xml:space="preserve">mínimo de </w:t>
      </w:r>
      <w:r w:rsidR="0089058B">
        <w:rPr>
          <w:b/>
          <w:bCs/>
          <w:sz w:val="22"/>
          <w:szCs w:val="20"/>
          <w:lang w:val="es-CL"/>
        </w:rPr>
        <w:t xml:space="preserve">15 000 dólares estadounidenses </w:t>
      </w:r>
      <w:r w:rsidRPr="00672AFA">
        <w:rPr>
          <w:b/>
          <w:bCs/>
          <w:sz w:val="22"/>
          <w:szCs w:val="20"/>
          <w:lang w:val="es-CL"/>
        </w:rPr>
        <w:t xml:space="preserve">hasta un máximo de </w:t>
      </w:r>
      <w:r w:rsidR="0089058B">
        <w:rPr>
          <w:b/>
          <w:bCs/>
          <w:sz w:val="22"/>
          <w:szCs w:val="20"/>
          <w:lang w:val="es-CL"/>
        </w:rPr>
        <w:t>35 000 dólares estadounidenses.</w:t>
      </w:r>
    </w:p>
    <w:p w14:paraId="1DB486E2" w14:textId="500ABA73" w:rsidR="00853F8B" w:rsidRPr="00672AFA" w:rsidRDefault="00853F8B" w:rsidP="00915EFE">
      <w:pPr>
        <w:jc w:val="both"/>
        <w:rPr>
          <w:sz w:val="22"/>
          <w:szCs w:val="20"/>
          <w:lang w:val="es-CL"/>
        </w:rPr>
      </w:pPr>
      <w:r w:rsidRPr="00672AFA">
        <w:rPr>
          <w:sz w:val="22"/>
          <w:szCs w:val="20"/>
          <w:lang w:val="es-CL"/>
        </w:rPr>
        <w:lastRenderedPageBreak/>
        <w:t xml:space="preserve">El monto solicitado por las organizaciones candidatas deberá ser proporcional a la capacidad de gestión administrativa y financiera demostrada por sus </w:t>
      </w:r>
      <w:r w:rsidR="00B748B6" w:rsidRPr="00672AFA">
        <w:rPr>
          <w:sz w:val="22"/>
          <w:szCs w:val="20"/>
          <w:lang w:val="es-CL"/>
        </w:rPr>
        <w:t xml:space="preserve">respectivas </w:t>
      </w:r>
      <w:r w:rsidRPr="00672AFA">
        <w:rPr>
          <w:sz w:val="22"/>
          <w:szCs w:val="20"/>
          <w:lang w:val="es-CL"/>
        </w:rPr>
        <w:t>entidades.</w:t>
      </w:r>
    </w:p>
    <w:p w14:paraId="30D6FDC0" w14:textId="0139822F" w:rsidR="00071C68" w:rsidRPr="00672AFA" w:rsidRDefault="00071C68" w:rsidP="00915EFE">
      <w:pPr>
        <w:jc w:val="both"/>
        <w:rPr>
          <w:sz w:val="22"/>
          <w:szCs w:val="20"/>
          <w:lang w:val="es-CL"/>
        </w:rPr>
      </w:pPr>
      <w:r w:rsidRPr="00672AFA">
        <w:rPr>
          <w:sz w:val="22"/>
          <w:szCs w:val="20"/>
          <w:lang w:val="es-CL"/>
        </w:rPr>
        <w:t>La UNESCO se reserva el derecho de no distribuir todos los fondos disponibles, así como de otorgar la totalidad o sólo una parte del financiamiento solicitado por las organizaciones candidatas.</w:t>
      </w:r>
      <w:r w:rsidR="00B14869" w:rsidRPr="00672AFA">
        <w:rPr>
          <w:sz w:val="22"/>
          <w:szCs w:val="20"/>
          <w:lang w:val="es-CL"/>
        </w:rPr>
        <w:tab/>
      </w:r>
    </w:p>
    <w:p w14:paraId="2806E89C" w14:textId="77777777" w:rsidR="00B14869" w:rsidRPr="00672AFA" w:rsidRDefault="00B14869" w:rsidP="00915EFE">
      <w:pPr>
        <w:jc w:val="both"/>
        <w:rPr>
          <w:sz w:val="22"/>
          <w:szCs w:val="20"/>
          <w:lang w:val="es-CL"/>
        </w:rPr>
      </w:pPr>
      <w:r w:rsidRPr="00672AFA">
        <w:rPr>
          <w:sz w:val="22"/>
          <w:szCs w:val="20"/>
          <w:lang w:val="es-CL"/>
        </w:rPr>
        <w:t xml:space="preserve">La adjudicación de una subvención no establece un derecho para los años siguientes. </w:t>
      </w:r>
    </w:p>
    <w:p w14:paraId="7304B684" w14:textId="77777777" w:rsidR="00B14869" w:rsidRPr="00672AFA" w:rsidRDefault="00B14869" w:rsidP="00915EFE">
      <w:pPr>
        <w:jc w:val="both"/>
        <w:rPr>
          <w:sz w:val="22"/>
          <w:szCs w:val="20"/>
          <w:lang w:val="es-CL"/>
        </w:rPr>
      </w:pPr>
      <w:r w:rsidRPr="00672AFA">
        <w:rPr>
          <w:sz w:val="22"/>
          <w:szCs w:val="20"/>
          <w:lang w:val="es-CL"/>
        </w:rPr>
        <w:t>No se podrá otorgar ninguna subvención con carácter retroactivo para acciones ya realizadas.</w:t>
      </w:r>
    </w:p>
    <w:p w14:paraId="17E68D1F" w14:textId="77777777" w:rsidR="00B14869" w:rsidRPr="00672AFA" w:rsidRDefault="00B14869" w:rsidP="00915EFE">
      <w:pPr>
        <w:jc w:val="both"/>
        <w:rPr>
          <w:sz w:val="22"/>
          <w:szCs w:val="20"/>
          <w:lang w:val="es-CL"/>
        </w:rPr>
      </w:pPr>
      <w:r w:rsidRPr="00672AFA">
        <w:rPr>
          <w:sz w:val="22"/>
          <w:szCs w:val="20"/>
          <w:lang w:val="es-CL"/>
        </w:rPr>
        <w:t xml:space="preserve">Los fondos de la subvención sólo pueden gastarse en las actividades definidas en el Acuerdo de Socios Ejecutores correspondiente (véase "Proceso de Contratación y Ejecución del Proyecto" más adelante). </w:t>
      </w:r>
    </w:p>
    <w:p w14:paraId="4832EFF0" w14:textId="4FB289E0" w:rsidR="00B14869" w:rsidRPr="00672AFA" w:rsidRDefault="00B14869" w:rsidP="00915EFE">
      <w:pPr>
        <w:jc w:val="both"/>
        <w:rPr>
          <w:sz w:val="22"/>
          <w:szCs w:val="20"/>
          <w:lang w:val="es-CL"/>
        </w:rPr>
      </w:pPr>
      <w:r w:rsidRPr="00672AFA">
        <w:rPr>
          <w:sz w:val="22"/>
          <w:szCs w:val="20"/>
          <w:lang w:val="es-CL"/>
        </w:rPr>
        <w:t>El GMDF no proporcionará financiamiento para actividades que no estén directamente alineadas con el Resultado 2, el Resultado 3 y/o el Resultado 4 del Fondo, ni a aquéllas que no respondan al enfoque temático de esta Convocatoria de Propuestas (</w:t>
      </w:r>
      <w:r w:rsidRPr="00672AFA">
        <w:rPr>
          <w:sz w:val="22"/>
          <w:szCs w:val="22"/>
          <w:lang w:val="es-CL"/>
        </w:rPr>
        <w:t>fortalecer la protección jurídica de los periodistas medioambientales y/o reducir la impunidad relacionada con los casos de violencia, amenazas y ataques contra ellas y ellos).</w:t>
      </w:r>
    </w:p>
    <w:p w14:paraId="29F6F805" w14:textId="76587B79" w:rsidR="00E206EF" w:rsidRPr="00672AFA" w:rsidRDefault="00E206EF" w:rsidP="00E206E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 </w:t>
      </w:r>
      <w:r w:rsidR="009B0E86"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PROCESO DE EVALUACIÓN Y SELECCIÓN</w:t>
      </w:r>
    </w:p>
    <w:p w14:paraId="2715E291" w14:textId="1A1E606A" w:rsidR="00743F2A" w:rsidRPr="00672AFA" w:rsidRDefault="00743F2A" w:rsidP="00572EB2">
      <w:pPr>
        <w:jc w:val="both"/>
        <w:rPr>
          <w:b/>
          <w:bCs/>
          <w:sz w:val="22"/>
          <w:szCs w:val="22"/>
          <w:lang w:val="es-CL"/>
        </w:rPr>
      </w:pPr>
      <w:r w:rsidRPr="00672AFA">
        <w:rPr>
          <w:sz w:val="22"/>
          <w:szCs w:val="22"/>
          <w:lang w:val="es-CL"/>
        </w:rPr>
        <w:t xml:space="preserve">El plazo o fecha límite para la presentación de propuestas en el marco de este Llamado a Propuesta es el </w:t>
      </w:r>
      <w:r w:rsidRPr="00672AFA">
        <w:rPr>
          <w:b/>
          <w:bCs/>
          <w:sz w:val="22"/>
          <w:szCs w:val="22"/>
          <w:lang w:val="es-CL"/>
        </w:rPr>
        <w:t>viernes 18 de octubre de 2024 a las 23:59 GMT+2.</w:t>
      </w:r>
    </w:p>
    <w:p w14:paraId="790C481E" w14:textId="17525CB9" w:rsidR="00BE5628" w:rsidRPr="00672AFA" w:rsidRDefault="00BE5628" w:rsidP="00BE5628">
      <w:pPr>
        <w:jc w:val="both"/>
        <w:rPr>
          <w:sz w:val="22"/>
          <w:szCs w:val="22"/>
          <w:lang w:val="es-CL"/>
        </w:rPr>
      </w:pPr>
      <w:r w:rsidRPr="00672AFA">
        <w:rPr>
          <w:sz w:val="22"/>
          <w:szCs w:val="22"/>
          <w:lang w:val="es-CL"/>
        </w:rPr>
        <w:t>En el marco de la evaluación de las propuestas recibidas bajo esta Convocatoria, la UNESCO aplicará el siguiente procedimiento:</w:t>
      </w:r>
    </w:p>
    <w:p w14:paraId="47FF3F16" w14:textId="14A14B0F" w:rsidR="00572EB2" w:rsidRPr="00672AFA" w:rsidRDefault="00672AFA" w:rsidP="00572EB2">
      <w:pPr>
        <w:jc w:val="both"/>
        <w:rPr>
          <w:b/>
          <w:bCs/>
          <w:i/>
          <w:iCs/>
          <w:sz w:val="22"/>
          <w:szCs w:val="22"/>
          <w:lang w:val="es-CL"/>
        </w:rPr>
      </w:pPr>
      <w:r w:rsidRPr="00672AFA">
        <w:rPr>
          <w:b/>
          <w:bCs/>
          <w:i/>
          <w:iCs/>
          <w:sz w:val="22"/>
          <w:szCs w:val="22"/>
          <w:lang w:val="es-CL"/>
        </w:rPr>
        <w:t>Evaluación</w:t>
      </w:r>
      <w:r w:rsidR="00BE5628" w:rsidRPr="00672AFA">
        <w:rPr>
          <w:b/>
          <w:bCs/>
          <w:i/>
          <w:iCs/>
          <w:sz w:val="22"/>
          <w:szCs w:val="22"/>
          <w:lang w:val="es-CL"/>
        </w:rPr>
        <w:t xml:space="preserve"> Preliminar</w:t>
      </w:r>
    </w:p>
    <w:p w14:paraId="6EE534D3" w14:textId="1A42A250" w:rsidR="00434AC1" w:rsidRPr="00434AC1" w:rsidRDefault="00434AC1" w:rsidP="00572EB2">
      <w:pPr>
        <w:pStyle w:val="ListParagraph"/>
        <w:numPr>
          <w:ilvl w:val="0"/>
          <w:numId w:val="21"/>
        </w:numPr>
        <w:spacing w:line="259" w:lineRule="auto"/>
        <w:jc w:val="both"/>
        <w:rPr>
          <w:sz w:val="22"/>
          <w:szCs w:val="22"/>
          <w:lang w:val="es-CL"/>
        </w:rPr>
      </w:pPr>
      <w:r w:rsidRPr="00434AC1">
        <w:rPr>
          <w:sz w:val="22"/>
          <w:szCs w:val="22"/>
          <w:u w:val="single"/>
          <w:lang w:val="es-CL"/>
        </w:rPr>
        <w:t>Control de Admisibilidad</w:t>
      </w:r>
      <w:r w:rsidRPr="00457AAB">
        <w:rPr>
          <w:sz w:val="22"/>
          <w:szCs w:val="22"/>
          <w:lang w:val="es-CL"/>
        </w:rPr>
        <w:t xml:space="preserve"> (véase C</w:t>
      </w:r>
      <w:r w:rsidR="00EA343D">
        <w:rPr>
          <w:sz w:val="22"/>
          <w:szCs w:val="22"/>
          <w:lang w:val="es-CL"/>
        </w:rPr>
        <w:t>riterios</w:t>
      </w:r>
      <w:r w:rsidRPr="00457AAB">
        <w:rPr>
          <w:sz w:val="22"/>
          <w:szCs w:val="22"/>
          <w:lang w:val="es-CL"/>
        </w:rPr>
        <w:t xml:space="preserve"> de Admisibilidad bajo la Sección III más arriba).</w:t>
      </w:r>
    </w:p>
    <w:p w14:paraId="2A8369D0" w14:textId="36EE8F2D" w:rsidR="00434AC1" w:rsidRPr="00434AC1" w:rsidRDefault="00434AC1" w:rsidP="00434AC1">
      <w:pPr>
        <w:pStyle w:val="ListParagraph"/>
        <w:numPr>
          <w:ilvl w:val="0"/>
          <w:numId w:val="21"/>
        </w:numPr>
        <w:spacing w:line="259" w:lineRule="auto"/>
        <w:jc w:val="both"/>
        <w:rPr>
          <w:sz w:val="22"/>
          <w:szCs w:val="22"/>
          <w:lang w:val="es-CL"/>
        </w:rPr>
      </w:pPr>
      <w:r w:rsidRPr="00434AC1">
        <w:rPr>
          <w:sz w:val="22"/>
          <w:szCs w:val="22"/>
          <w:u w:val="single"/>
          <w:lang w:val="es-CL"/>
        </w:rPr>
        <w:t xml:space="preserve">Control de </w:t>
      </w:r>
      <w:r w:rsidR="00457AAB">
        <w:rPr>
          <w:sz w:val="22"/>
          <w:szCs w:val="22"/>
          <w:u w:val="single"/>
          <w:lang w:val="es-CL"/>
        </w:rPr>
        <w:t>Elegibilidad</w:t>
      </w:r>
      <w:r w:rsidRPr="00457AAB">
        <w:rPr>
          <w:sz w:val="22"/>
          <w:szCs w:val="22"/>
          <w:lang w:val="es-CL"/>
        </w:rPr>
        <w:t xml:space="preserve"> (véase C</w:t>
      </w:r>
      <w:r w:rsidR="00EA343D">
        <w:rPr>
          <w:sz w:val="22"/>
          <w:szCs w:val="22"/>
          <w:lang w:val="es-CL"/>
        </w:rPr>
        <w:t>riterios</w:t>
      </w:r>
      <w:r w:rsidRPr="00457AAB">
        <w:rPr>
          <w:sz w:val="22"/>
          <w:szCs w:val="22"/>
          <w:lang w:val="es-CL"/>
        </w:rPr>
        <w:t xml:space="preserve"> de </w:t>
      </w:r>
      <w:r w:rsidR="00457AAB">
        <w:rPr>
          <w:sz w:val="22"/>
          <w:szCs w:val="22"/>
          <w:lang w:val="es-CL"/>
        </w:rPr>
        <w:t>Elegibilidad</w:t>
      </w:r>
      <w:r w:rsidRPr="00457AAB">
        <w:rPr>
          <w:sz w:val="22"/>
          <w:szCs w:val="22"/>
          <w:lang w:val="es-CL"/>
        </w:rPr>
        <w:t xml:space="preserve"> bajo la Sección III más arriba).</w:t>
      </w:r>
    </w:p>
    <w:p w14:paraId="00973F95" w14:textId="1321A8AD" w:rsidR="00572EB2" w:rsidRPr="007C5560" w:rsidRDefault="00672AFA" w:rsidP="00572EB2">
      <w:pPr>
        <w:jc w:val="both"/>
        <w:rPr>
          <w:b/>
          <w:bCs/>
          <w:i/>
          <w:iCs/>
          <w:sz w:val="22"/>
          <w:szCs w:val="22"/>
          <w:lang w:val="es-CL"/>
        </w:rPr>
      </w:pPr>
      <w:r w:rsidRPr="007C5560">
        <w:rPr>
          <w:b/>
          <w:bCs/>
          <w:i/>
          <w:iCs/>
          <w:sz w:val="22"/>
          <w:szCs w:val="22"/>
          <w:lang w:val="es-CL"/>
        </w:rPr>
        <w:t>Evaluación de Propuestas</w:t>
      </w:r>
    </w:p>
    <w:p w14:paraId="1912E917" w14:textId="34E3BC80" w:rsidR="00D56BAF" w:rsidRPr="00D56BAF" w:rsidRDefault="00D56BAF" w:rsidP="00572EB2">
      <w:pPr>
        <w:jc w:val="both"/>
        <w:rPr>
          <w:sz w:val="22"/>
          <w:szCs w:val="20"/>
          <w:lang w:val="es-CL"/>
        </w:rPr>
      </w:pPr>
      <w:r w:rsidRPr="00D56BAF">
        <w:rPr>
          <w:sz w:val="22"/>
          <w:szCs w:val="20"/>
          <w:lang w:val="es-CL"/>
        </w:rPr>
        <w:t xml:space="preserve">Las propuestas serán evaluadas </w:t>
      </w:r>
      <w:r w:rsidR="00B62DC1">
        <w:rPr>
          <w:sz w:val="22"/>
          <w:szCs w:val="20"/>
          <w:lang w:val="es-CL"/>
        </w:rPr>
        <w:t>en vistas de una</w:t>
      </w:r>
      <w:r w:rsidRPr="00D56BAF">
        <w:rPr>
          <w:sz w:val="22"/>
          <w:szCs w:val="20"/>
          <w:lang w:val="es-CL"/>
        </w:rPr>
        <w:t xml:space="preserve"> preselección en función de sus méritos por un comité de selección.</w:t>
      </w:r>
    </w:p>
    <w:p w14:paraId="45722590" w14:textId="77777777" w:rsidR="0066493B" w:rsidRPr="0066493B" w:rsidRDefault="0066493B" w:rsidP="0066493B">
      <w:pPr>
        <w:jc w:val="both"/>
        <w:rPr>
          <w:sz w:val="22"/>
          <w:szCs w:val="22"/>
          <w:lang w:val="es-CL"/>
        </w:rPr>
      </w:pPr>
      <w:r w:rsidRPr="0066493B">
        <w:rPr>
          <w:sz w:val="22"/>
          <w:szCs w:val="22"/>
          <w:lang w:val="es-CL"/>
        </w:rPr>
        <w:t>La selección de proyectos se llevará a cabo:</w:t>
      </w:r>
    </w:p>
    <w:p w14:paraId="4717D03E" w14:textId="77777777" w:rsidR="0066493B" w:rsidRPr="0066493B" w:rsidRDefault="0066493B" w:rsidP="0066493B">
      <w:pPr>
        <w:pStyle w:val="ListParagraph"/>
        <w:numPr>
          <w:ilvl w:val="0"/>
          <w:numId w:val="22"/>
        </w:numPr>
        <w:spacing w:line="259" w:lineRule="auto"/>
        <w:jc w:val="both"/>
        <w:rPr>
          <w:sz w:val="22"/>
          <w:szCs w:val="22"/>
          <w:lang w:val="es-CL"/>
        </w:rPr>
      </w:pPr>
      <w:r w:rsidRPr="0066493B">
        <w:rPr>
          <w:sz w:val="22"/>
          <w:szCs w:val="22"/>
          <w:lang w:val="es-CL"/>
        </w:rPr>
        <w:t>En cumplimiento con las normas, reglamentos y procedimientos aplicables de la UNESCO;</w:t>
      </w:r>
    </w:p>
    <w:p w14:paraId="779CA693" w14:textId="1E7C7F5E" w:rsidR="0066493B" w:rsidRDefault="0066493B" w:rsidP="0066493B">
      <w:pPr>
        <w:pStyle w:val="ListParagraph"/>
        <w:numPr>
          <w:ilvl w:val="0"/>
          <w:numId w:val="22"/>
        </w:numPr>
        <w:spacing w:line="259" w:lineRule="auto"/>
        <w:jc w:val="both"/>
        <w:rPr>
          <w:sz w:val="22"/>
          <w:szCs w:val="22"/>
          <w:lang w:val="es-CL"/>
        </w:rPr>
      </w:pPr>
      <w:r w:rsidRPr="0066493B">
        <w:rPr>
          <w:sz w:val="22"/>
          <w:szCs w:val="22"/>
          <w:lang w:val="es-CL"/>
        </w:rPr>
        <w:t xml:space="preserve">Sobre la base de tres principios: </w:t>
      </w:r>
      <w:r w:rsidRPr="0066493B">
        <w:rPr>
          <w:i/>
          <w:iCs/>
          <w:sz w:val="22"/>
          <w:szCs w:val="22"/>
          <w:lang w:val="es-CL"/>
        </w:rPr>
        <w:t>Mejor relación calidad-precio</w:t>
      </w:r>
      <w:r w:rsidRPr="0066493B">
        <w:rPr>
          <w:sz w:val="22"/>
          <w:szCs w:val="22"/>
          <w:lang w:val="es-CL"/>
        </w:rPr>
        <w:t xml:space="preserve">; </w:t>
      </w:r>
      <w:r w:rsidRPr="0066493B">
        <w:rPr>
          <w:i/>
          <w:iCs/>
          <w:sz w:val="22"/>
          <w:szCs w:val="22"/>
          <w:lang w:val="es-CL"/>
        </w:rPr>
        <w:t>Equidad, Integridad y Transparencia</w:t>
      </w:r>
      <w:r w:rsidRPr="0066493B">
        <w:rPr>
          <w:sz w:val="22"/>
          <w:szCs w:val="22"/>
          <w:lang w:val="es-CL"/>
        </w:rPr>
        <w:t xml:space="preserve">; y </w:t>
      </w:r>
      <w:r w:rsidRPr="0066493B">
        <w:rPr>
          <w:i/>
          <w:iCs/>
          <w:sz w:val="22"/>
          <w:szCs w:val="22"/>
          <w:lang w:val="es-CL"/>
        </w:rPr>
        <w:t>Economía y Eficacia</w:t>
      </w:r>
      <w:r w:rsidR="008A35F5">
        <w:rPr>
          <w:rStyle w:val="FootnoteReference"/>
          <w:i/>
          <w:iCs/>
          <w:sz w:val="22"/>
          <w:szCs w:val="22"/>
          <w:lang w:val="es-CL"/>
        </w:rPr>
        <w:footnoteReference w:id="6"/>
      </w:r>
      <w:r w:rsidRPr="0066493B">
        <w:rPr>
          <w:sz w:val="22"/>
          <w:szCs w:val="22"/>
          <w:lang w:val="es-CL"/>
        </w:rPr>
        <w:t>.</w:t>
      </w:r>
    </w:p>
    <w:p w14:paraId="312A7909" w14:textId="6CB79A06" w:rsidR="0066493B" w:rsidRPr="0066493B" w:rsidRDefault="005A4CCC" w:rsidP="008E5740">
      <w:pPr>
        <w:spacing w:line="259" w:lineRule="auto"/>
        <w:jc w:val="both"/>
        <w:rPr>
          <w:sz w:val="22"/>
          <w:szCs w:val="22"/>
          <w:lang w:val="es-CL"/>
        </w:rPr>
      </w:pPr>
      <w:r w:rsidRPr="005A4CCC">
        <w:rPr>
          <w:sz w:val="22"/>
          <w:szCs w:val="22"/>
          <w:lang w:val="es-CL"/>
        </w:rPr>
        <w:lastRenderedPageBreak/>
        <w:t xml:space="preserve">Las propuestas se evaluarán y recibirán una puntuación </w:t>
      </w:r>
      <w:proofErr w:type="gramStart"/>
      <w:r w:rsidRPr="005A4CCC">
        <w:rPr>
          <w:sz w:val="22"/>
          <w:szCs w:val="22"/>
          <w:lang w:val="es-CL"/>
        </w:rPr>
        <w:t>de acuerdo a</w:t>
      </w:r>
      <w:proofErr w:type="gramEnd"/>
      <w:r w:rsidRPr="005A4CCC">
        <w:rPr>
          <w:sz w:val="22"/>
          <w:szCs w:val="22"/>
          <w:lang w:val="es-CL"/>
        </w:rPr>
        <w:t xml:space="preserve"> una tabla de evaluación </w:t>
      </w:r>
      <w:r>
        <w:rPr>
          <w:sz w:val="22"/>
          <w:szCs w:val="22"/>
          <w:lang w:val="es-CL"/>
        </w:rPr>
        <w:t xml:space="preserve">que consta de tres categorías, </w:t>
      </w:r>
      <w:r w:rsidR="00FF6991" w:rsidRPr="00FF6991">
        <w:rPr>
          <w:sz w:val="22"/>
          <w:szCs w:val="22"/>
          <w:lang w:val="es-CL"/>
        </w:rPr>
        <w:t>en cada una de las cuales se atribuirá una puntuación de 0 a 5 puntos (se podrán otorgar medias puntuaciones):</w:t>
      </w:r>
    </w:p>
    <w:p w14:paraId="291690D0" w14:textId="763BFFF1" w:rsidR="00572EB2" w:rsidRPr="00BB6160" w:rsidRDefault="00572EB2" w:rsidP="00572EB2">
      <w:pPr>
        <w:pStyle w:val="ListParagraph"/>
        <w:numPr>
          <w:ilvl w:val="0"/>
          <w:numId w:val="23"/>
        </w:numPr>
        <w:spacing w:line="259" w:lineRule="auto"/>
        <w:jc w:val="both"/>
        <w:rPr>
          <w:sz w:val="22"/>
          <w:szCs w:val="22"/>
          <w:lang w:val="es-CL"/>
        </w:rPr>
      </w:pPr>
      <w:r w:rsidRPr="00CB5AF3">
        <w:rPr>
          <w:sz w:val="22"/>
          <w:szCs w:val="22"/>
          <w:lang w:val="es-CL"/>
        </w:rPr>
        <w:t>0 –</w:t>
      </w:r>
      <w:r w:rsidR="00CB5AF3" w:rsidRPr="00CB5AF3">
        <w:rPr>
          <w:sz w:val="22"/>
          <w:szCs w:val="22"/>
          <w:lang w:val="es-CL"/>
        </w:rPr>
        <w:t xml:space="preserve"> </w:t>
      </w:r>
      <w:r w:rsidR="00BB6160" w:rsidRPr="00BB6160">
        <w:rPr>
          <w:sz w:val="22"/>
          <w:szCs w:val="22"/>
          <w:lang w:val="es-CL"/>
        </w:rPr>
        <w:t xml:space="preserve">La propuesta no cumple </w:t>
      </w:r>
      <w:r w:rsidR="00BB6160">
        <w:rPr>
          <w:sz w:val="22"/>
          <w:szCs w:val="22"/>
          <w:lang w:val="es-CL"/>
        </w:rPr>
        <w:t xml:space="preserve">con </w:t>
      </w:r>
      <w:r w:rsidR="00BB6160" w:rsidRPr="00BB6160">
        <w:rPr>
          <w:sz w:val="22"/>
          <w:szCs w:val="22"/>
          <w:lang w:val="es-CL"/>
        </w:rPr>
        <w:t>los criterios o no puede evaluarse porque falta información o está incompleta.</w:t>
      </w:r>
    </w:p>
    <w:p w14:paraId="61BE3255" w14:textId="22CE9E03" w:rsidR="00572EB2" w:rsidRPr="00672AFA" w:rsidRDefault="00572EB2" w:rsidP="00572EB2">
      <w:pPr>
        <w:pStyle w:val="ListParagraph"/>
        <w:numPr>
          <w:ilvl w:val="0"/>
          <w:numId w:val="23"/>
        </w:numPr>
        <w:spacing w:line="259" w:lineRule="auto"/>
        <w:jc w:val="both"/>
        <w:rPr>
          <w:sz w:val="22"/>
          <w:szCs w:val="22"/>
          <w:lang w:val="es-CL"/>
        </w:rPr>
      </w:pPr>
      <w:r w:rsidRPr="00672AFA">
        <w:rPr>
          <w:sz w:val="22"/>
          <w:szCs w:val="22"/>
          <w:lang w:val="es-CL"/>
        </w:rPr>
        <w:t>1 –</w:t>
      </w:r>
      <w:r w:rsidR="00AB5CB5">
        <w:rPr>
          <w:sz w:val="22"/>
          <w:szCs w:val="22"/>
          <w:lang w:val="es-CL"/>
        </w:rPr>
        <w:t xml:space="preserve"> </w:t>
      </w:r>
      <w:r w:rsidR="00EA343D" w:rsidRPr="00AB5CB5">
        <w:rPr>
          <w:sz w:val="22"/>
          <w:szCs w:val="22"/>
          <w:lang w:val="es-CL"/>
        </w:rPr>
        <w:t>Deficiente. La propuesta no aborda adecuadamente los criterios o contiene defectos graves que no pueden corregirse sin modificar una parte importante de la propuesta.</w:t>
      </w:r>
    </w:p>
    <w:p w14:paraId="589DDE9D" w14:textId="48BD233B" w:rsidR="00572EB2" w:rsidRPr="00A94DC2" w:rsidRDefault="00572EB2" w:rsidP="00A94DC2">
      <w:pPr>
        <w:pStyle w:val="ListParagraph"/>
        <w:numPr>
          <w:ilvl w:val="0"/>
          <w:numId w:val="23"/>
        </w:numPr>
        <w:spacing w:line="259" w:lineRule="auto"/>
        <w:jc w:val="both"/>
        <w:rPr>
          <w:lang w:val="es-CL"/>
        </w:rPr>
      </w:pPr>
      <w:r w:rsidRPr="00672AFA">
        <w:rPr>
          <w:sz w:val="22"/>
          <w:szCs w:val="22"/>
          <w:lang w:val="es-CL"/>
        </w:rPr>
        <w:t>2 –</w:t>
      </w:r>
      <w:r w:rsidR="00AB0158">
        <w:rPr>
          <w:sz w:val="22"/>
          <w:szCs w:val="22"/>
          <w:lang w:val="es-CL"/>
        </w:rPr>
        <w:t xml:space="preserve"> </w:t>
      </w:r>
      <w:r w:rsidR="00A94DC2" w:rsidRPr="00A94DC2">
        <w:rPr>
          <w:sz w:val="22"/>
          <w:szCs w:val="22"/>
          <w:lang w:val="es-CL"/>
        </w:rPr>
        <w:t xml:space="preserve">Regular. La propuesta aborda en grandes líneas los criterios generales, pero presenta debilidades o deficiencias importantes que </w:t>
      </w:r>
      <w:r w:rsidR="00A94DC2">
        <w:rPr>
          <w:sz w:val="22"/>
          <w:szCs w:val="22"/>
          <w:lang w:val="es-CL"/>
        </w:rPr>
        <w:t>no pueden ser corregidos sin modificar una parte significativa de la propuesta.</w:t>
      </w:r>
    </w:p>
    <w:p w14:paraId="3B7210EA" w14:textId="557CBE20" w:rsidR="00572EB2" w:rsidRPr="00672AFA" w:rsidRDefault="00572EB2" w:rsidP="00572EB2">
      <w:pPr>
        <w:pStyle w:val="ListParagraph"/>
        <w:numPr>
          <w:ilvl w:val="0"/>
          <w:numId w:val="23"/>
        </w:numPr>
        <w:spacing w:line="259" w:lineRule="auto"/>
        <w:jc w:val="both"/>
        <w:rPr>
          <w:sz w:val="22"/>
          <w:szCs w:val="22"/>
          <w:lang w:val="es-CL"/>
        </w:rPr>
      </w:pPr>
      <w:r w:rsidRPr="00672AFA">
        <w:rPr>
          <w:sz w:val="22"/>
          <w:szCs w:val="22"/>
          <w:lang w:val="es-CL"/>
        </w:rPr>
        <w:t>3 –</w:t>
      </w:r>
      <w:r w:rsidR="0078319F">
        <w:rPr>
          <w:sz w:val="22"/>
          <w:szCs w:val="22"/>
          <w:lang w:val="es-CL"/>
        </w:rPr>
        <w:t xml:space="preserve"> </w:t>
      </w:r>
      <w:r w:rsidR="00B35A8D" w:rsidRPr="00B35A8D">
        <w:rPr>
          <w:sz w:val="22"/>
          <w:szCs w:val="22"/>
          <w:lang w:val="es-CL"/>
        </w:rPr>
        <w:t xml:space="preserve">Buena. La propuesta cubre bien la mayoría de los elementos </w:t>
      </w:r>
      <w:r w:rsidR="00024173">
        <w:rPr>
          <w:sz w:val="22"/>
          <w:szCs w:val="22"/>
          <w:lang w:val="es-CL"/>
        </w:rPr>
        <w:t xml:space="preserve">correspondientes a los </w:t>
      </w:r>
      <w:r w:rsidR="0078319F">
        <w:rPr>
          <w:sz w:val="22"/>
          <w:szCs w:val="22"/>
          <w:lang w:val="es-CL"/>
        </w:rPr>
        <w:t>criterios</w:t>
      </w:r>
      <w:r w:rsidR="00B35A8D" w:rsidRPr="00B35A8D">
        <w:rPr>
          <w:sz w:val="22"/>
          <w:szCs w:val="22"/>
          <w:lang w:val="es-CL"/>
        </w:rPr>
        <w:t xml:space="preserve">, pero presenta importantes deficiencias que </w:t>
      </w:r>
      <w:r w:rsidR="0078319F">
        <w:rPr>
          <w:sz w:val="22"/>
          <w:szCs w:val="22"/>
          <w:lang w:val="es-CL"/>
        </w:rPr>
        <w:t>podrían</w:t>
      </w:r>
      <w:r w:rsidR="00B35A8D" w:rsidRPr="00B35A8D">
        <w:rPr>
          <w:sz w:val="22"/>
          <w:szCs w:val="22"/>
          <w:lang w:val="es-CL"/>
        </w:rPr>
        <w:t xml:space="preserve"> o no abordarse satisfactoriamente durante la fase de racionalización.</w:t>
      </w:r>
    </w:p>
    <w:p w14:paraId="21FFBFB8" w14:textId="2DEBE6D6" w:rsidR="00572EB2" w:rsidRPr="00672AFA" w:rsidRDefault="00572EB2" w:rsidP="00572EB2">
      <w:pPr>
        <w:pStyle w:val="ListParagraph"/>
        <w:numPr>
          <w:ilvl w:val="0"/>
          <w:numId w:val="23"/>
        </w:numPr>
        <w:spacing w:line="259" w:lineRule="auto"/>
        <w:jc w:val="both"/>
        <w:rPr>
          <w:sz w:val="22"/>
          <w:szCs w:val="22"/>
          <w:lang w:val="es-CL"/>
        </w:rPr>
      </w:pPr>
      <w:r w:rsidRPr="00672AFA">
        <w:rPr>
          <w:sz w:val="22"/>
          <w:szCs w:val="22"/>
          <w:lang w:val="es-CL"/>
        </w:rPr>
        <w:t>4 –</w:t>
      </w:r>
      <w:r w:rsidR="00741AB1">
        <w:rPr>
          <w:sz w:val="22"/>
          <w:szCs w:val="22"/>
          <w:lang w:val="es-CL"/>
        </w:rPr>
        <w:t xml:space="preserve"> </w:t>
      </w:r>
      <w:r w:rsidR="005A783C" w:rsidRPr="005A783C">
        <w:rPr>
          <w:sz w:val="22"/>
          <w:szCs w:val="22"/>
          <w:lang w:val="es-CL"/>
        </w:rPr>
        <w:t xml:space="preserve">Muy buena. La propuesta cubre satisfactoriamente todos los elementos </w:t>
      </w:r>
      <w:r w:rsidR="005A783C">
        <w:rPr>
          <w:sz w:val="22"/>
          <w:szCs w:val="22"/>
          <w:lang w:val="es-CL"/>
        </w:rPr>
        <w:t xml:space="preserve">importantes </w:t>
      </w:r>
      <w:r w:rsidR="005A783C" w:rsidRPr="005A783C">
        <w:rPr>
          <w:sz w:val="22"/>
          <w:szCs w:val="22"/>
          <w:lang w:val="es-CL"/>
        </w:rPr>
        <w:t>de los criterio</w:t>
      </w:r>
      <w:r w:rsidR="005A783C">
        <w:rPr>
          <w:sz w:val="22"/>
          <w:szCs w:val="22"/>
          <w:lang w:val="es-CL"/>
        </w:rPr>
        <w:t>s</w:t>
      </w:r>
      <w:r w:rsidR="005A783C" w:rsidRPr="005A783C">
        <w:rPr>
          <w:sz w:val="22"/>
          <w:szCs w:val="22"/>
          <w:lang w:val="es-CL"/>
        </w:rPr>
        <w:t>, aunque un pequeño número de deficiencias requerirá una racionalización para garantizar su plena conformidad con los objetivos de</w:t>
      </w:r>
      <w:r w:rsidR="005A783C">
        <w:rPr>
          <w:sz w:val="22"/>
          <w:szCs w:val="22"/>
          <w:lang w:val="es-CL"/>
        </w:rPr>
        <w:t xml:space="preserve"> esta Convocatoria.</w:t>
      </w:r>
    </w:p>
    <w:p w14:paraId="3CFE3CDB" w14:textId="270D716E" w:rsidR="003B1DE7" w:rsidRPr="00672AFA" w:rsidRDefault="00572EB2" w:rsidP="003B1DE7">
      <w:pPr>
        <w:pStyle w:val="ListParagraph"/>
        <w:numPr>
          <w:ilvl w:val="0"/>
          <w:numId w:val="23"/>
        </w:numPr>
        <w:spacing w:line="259" w:lineRule="auto"/>
        <w:jc w:val="both"/>
        <w:rPr>
          <w:sz w:val="22"/>
          <w:szCs w:val="22"/>
          <w:lang w:val="es-CL"/>
        </w:rPr>
      </w:pPr>
      <w:r w:rsidRPr="00672AFA">
        <w:rPr>
          <w:sz w:val="22"/>
          <w:szCs w:val="22"/>
          <w:lang w:val="es-CL"/>
        </w:rPr>
        <w:t>5 –</w:t>
      </w:r>
      <w:r w:rsidR="00135F27">
        <w:rPr>
          <w:sz w:val="22"/>
          <w:szCs w:val="22"/>
          <w:lang w:val="es-CL"/>
        </w:rPr>
        <w:t xml:space="preserve"> </w:t>
      </w:r>
      <w:r w:rsidR="0073036B" w:rsidRPr="0073036B">
        <w:rPr>
          <w:sz w:val="22"/>
          <w:szCs w:val="22"/>
          <w:lang w:val="es-CL"/>
        </w:rPr>
        <w:t xml:space="preserve">Excelente. La propuesta aborda satisfactoriamente todos los elementos pertinentes de los criterios y se ajusta plenamente a los objetivos </w:t>
      </w:r>
      <w:r w:rsidR="00135F27">
        <w:rPr>
          <w:sz w:val="22"/>
          <w:szCs w:val="22"/>
          <w:lang w:val="es-CL"/>
        </w:rPr>
        <w:t>de esta Convocatoria</w:t>
      </w:r>
      <w:r w:rsidR="0073036B" w:rsidRPr="0073036B">
        <w:rPr>
          <w:sz w:val="22"/>
          <w:szCs w:val="22"/>
          <w:lang w:val="es-CL"/>
        </w:rPr>
        <w:t>. Las deficiencias son muy pequeñas y pueden rectificarse o ajustarse fácilmente durante la fase de racionalización.</w:t>
      </w:r>
    </w:p>
    <w:tbl>
      <w:tblPr>
        <w:tblStyle w:val="TableGridLight"/>
        <w:tblW w:w="0" w:type="auto"/>
        <w:tblLook w:val="04A0" w:firstRow="1" w:lastRow="0" w:firstColumn="1" w:lastColumn="0" w:noHBand="0" w:noVBand="1"/>
      </w:tblPr>
      <w:tblGrid>
        <w:gridCol w:w="2405"/>
        <w:gridCol w:w="3969"/>
        <w:gridCol w:w="2642"/>
      </w:tblGrid>
      <w:tr w:rsidR="005D6FFD" w:rsidRPr="00672AFA" w14:paraId="4A477FFE" w14:textId="77777777" w:rsidTr="007958F6">
        <w:tc>
          <w:tcPr>
            <w:tcW w:w="9016" w:type="dxa"/>
            <w:gridSpan w:val="3"/>
            <w:shd w:val="clear" w:color="auto" w:fill="153D63" w:themeFill="text2" w:themeFillTint="E6"/>
          </w:tcPr>
          <w:p w14:paraId="4F214456" w14:textId="3712A17B" w:rsidR="005D6FFD" w:rsidRPr="00672AFA" w:rsidRDefault="002C77FB" w:rsidP="005D6FFD">
            <w:pPr>
              <w:jc w:val="center"/>
              <w:rPr>
                <w:rFonts w:cs="Calibri"/>
                <w:sz w:val="22"/>
                <w:szCs w:val="22"/>
                <w:lang w:val="es-CL"/>
              </w:rPr>
            </w:pPr>
            <w:r>
              <w:rPr>
                <w:rFonts w:cs="Calibri"/>
                <w:sz w:val="22"/>
                <w:szCs w:val="22"/>
                <w:lang w:val="es-CL"/>
              </w:rPr>
              <w:t>CUADRO DE EVALUACIÓN</w:t>
            </w:r>
          </w:p>
        </w:tc>
      </w:tr>
      <w:tr w:rsidR="005D6FFD" w:rsidRPr="00672AFA" w14:paraId="4F4E7E46" w14:textId="77777777" w:rsidTr="007958F6">
        <w:tc>
          <w:tcPr>
            <w:tcW w:w="2405" w:type="dxa"/>
            <w:shd w:val="clear" w:color="auto" w:fill="808080" w:themeFill="background1" w:themeFillShade="80"/>
          </w:tcPr>
          <w:p w14:paraId="34060A91" w14:textId="7165C505" w:rsidR="005D6FFD" w:rsidRPr="00672AFA" w:rsidRDefault="002C77FB" w:rsidP="005D6FFD">
            <w:pPr>
              <w:jc w:val="center"/>
              <w:rPr>
                <w:rFonts w:cs="Calibri"/>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CATEGORÍA</w:t>
            </w:r>
          </w:p>
        </w:tc>
        <w:tc>
          <w:tcPr>
            <w:tcW w:w="3969" w:type="dxa"/>
            <w:shd w:val="clear" w:color="auto" w:fill="808080" w:themeFill="background1" w:themeFillShade="80"/>
          </w:tcPr>
          <w:p w14:paraId="66D0279A" w14:textId="6FADF1BB" w:rsidR="005D6FFD" w:rsidRPr="00672AFA" w:rsidRDefault="002C77FB" w:rsidP="005D6FFD">
            <w:pPr>
              <w:jc w:val="center"/>
              <w:rPr>
                <w:rFonts w:cs="Calibri"/>
                <w:b/>
                <w:bCs/>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CRITERIOS</w:t>
            </w:r>
          </w:p>
        </w:tc>
        <w:tc>
          <w:tcPr>
            <w:tcW w:w="2642" w:type="dxa"/>
            <w:shd w:val="clear" w:color="auto" w:fill="808080" w:themeFill="background1" w:themeFillShade="80"/>
          </w:tcPr>
          <w:p w14:paraId="5A8C315C" w14:textId="5CECEF12" w:rsidR="005D6FFD" w:rsidRPr="00672AFA" w:rsidRDefault="002C77FB" w:rsidP="005D6FFD">
            <w:pPr>
              <w:jc w:val="center"/>
              <w:rPr>
                <w:rFonts w:cs="Calibri"/>
                <w:b/>
                <w:bCs/>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cs="Calibri"/>
                <w:color w:val="FFFFFF" w:themeColor="background1"/>
                <w:sz w:val="22"/>
                <w:szCs w:val="22"/>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PUNTAJE</w:t>
            </w:r>
          </w:p>
        </w:tc>
      </w:tr>
      <w:tr w:rsidR="00C610D9" w:rsidRPr="00672AFA" w14:paraId="6F64A90E" w14:textId="77777777" w:rsidTr="00C610D9">
        <w:tc>
          <w:tcPr>
            <w:tcW w:w="2405" w:type="dxa"/>
          </w:tcPr>
          <w:p w14:paraId="114F13D5" w14:textId="54AAD46F" w:rsidR="00C610D9" w:rsidRPr="00672AFA" w:rsidRDefault="002C77FB" w:rsidP="006339B9">
            <w:pPr>
              <w:jc w:val="center"/>
              <w:rPr>
                <w:sz w:val="20"/>
                <w:szCs w:val="20"/>
                <w:lang w:val="es-CL"/>
              </w:rPr>
            </w:pPr>
            <w:r>
              <w:rPr>
                <w:sz w:val="20"/>
                <w:szCs w:val="20"/>
                <w:lang w:val="es-CL"/>
              </w:rPr>
              <w:lastRenderedPageBreak/>
              <w:t xml:space="preserve">Propuesta </w:t>
            </w:r>
            <w:r w:rsidR="004F31C9">
              <w:rPr>
                <w:sz w:val="20"/>
                <w:szCs w:val="20"/>
                <w:lang w:val="es-CL"/>
              </w:rPr>
              <w:t>Técnica</w:t>
            </w:r>
          </w:p>
        </w:tc>
        <w:tc>
          <w:tcPr>
            <w:tcW w:w="3969" w:type="dxa"/>
          </w:tcPr>
          <w:p w14:paraId="21B88209" w14:textId="2579FC34" w:rsidR="00C610D9" w:rsidRPr="00672AFA" w:rsidRDefault="00B92986" w:rsidP="00C610D9">
            <w:pPr>
              <w:pStyle w:val="ListParagraph"/>
              <w:numPr>
                <w:ilvl w:val="0"/>
                <w:numId w:val="34"/>
              </w:numPr>
              <w:jc w:val="both"/>
              <w:rPr>
                <w:sz w:val="20"/>
                <w:szCs w:val="20"/>
                <w:lang w:val="es-CL"/>
              </w:rPr>
            </w:pPr>
            <w:r>
              <w:rPr>
                <w:sz w:val="20"/>
                <w:szCs w:val="20"/>
                <w:lang w:val="es-CL"/>
              </w:rPr>
              <w:t>Conformidad con los Resultados del GMDF</w:t>
            </w:r>
          </w:p>
          <w:p w14:paraId="5BAB6DCF" w14:textId="1CAB7E15" w:rsidR="003C1006" w:rsidRPr="001909BC" w:rsidRDefault="00424A5F" w:rsidP="00C610D9">
            <w:pPr>
              <w:pStyle w:val="ListParagraph"/>
              <w:numPr>
                <w:ilvl w:val="0"/>
                <w:numId w:val="34"/>
              </w:numPr>
              <w:jc w:val="both"/>
              <w:rPr>
                <w:sz w:val="20"/>
                <w:szCs w:val="20"/>
                <w:lang w:val="es-CL"/>
              </w:rPr>
            </w:pPr>
            <w:r w:rsidRPr="001909BC">
              <w:rPr>
                <w:sz w:val="20"/>
                <w:szCs w:val="20"/>
                <w:lang w:val="es-CL"/>
              </w:rPr>
              <w:t xml:space="preserve">Alineamiento con el enfoque </w:t>
            </w:r>
            <w:r w:rsidR="001909BC" w:rsidRPr="001909BC">
              <w:rPr>
                <w:sz w:val="20"/>
                <w:szCs w:val="20"/>
                <w:lang w:val="es-CL"/>
              </w:rPr>
              <w:t>t</w:t>
            </w:r>
            <w:r w:rsidR="001909BC">
              <w:rPr>
                <w:sz w:val="20"/>
                <w:szCs w:val="20"/>
                <w:lang w:val="es-CL"/>
              </w:rPr>
              <w:t>emático de la Convocatoria</w:t>
            </w:r>
          </w:p>
          <w:p w14:paraId="7D7F54D8" w14:textId="77777777" w:rsidR="002A44F3" w:rsidRDefault="008E37E7" w:rsidP="008E37E7">
            <w:pPr>
              <w:pStyle w:val="ListParagraph"/>
              <w:numPr>
                <w:ilvl w:val="0"/>
                <w:numId w:val="34"/>
              </w:numPr>
              <w:rPr>
                <w:sz w:val="20"/>
                <w:szCs w:val="20"/>
                <w:lang w:val="es-CL"/>
              </w:rPr>
            </w:pPr>
            <w:r w:rsidRPr="00305B76">
              <w:rPr>
                <w:sz w:val="20"/>
                <w:szCs w:val="20"/>
                <w:lang w:val="es-CL"/>
              </w:rPr>
              <w:t>Objetivo</w:t>
            </w:r>
            <w:r>
              <w:rPr>
                <w:sz w:val="20"/>
                <w:szCs w:val="20"/>
                <w:lang w:val="es-CL"/>
              </w:rPr>
              <w:t>(</w:t>
            </w:r>
            <w:r w:rsidRPr="00305B76">
              <w:rPr>
                <w:sz w:val="20"/>
                <w:szCs w:val="20"/>
                <w:lang w:val="es-CL"/>
              </w:rPr>
              <w:t>s</w:t>
            </w:r>
            <w:r>
              <w:rPr>
                <w:sz w:val="20"/>
                <w:szCs w:val="20"/>
                <w:lang w:val="es-CL"/>
              </w:rPr>
              <w:t>)</w:t>
            </w:r>
            <w:r w:rsidRPr="00305B76">
              <w:rPr>
                <w:sz w:val="20"/>
                <w:szCs w:val="20"/>
                <w:lang w:val="es-CL"/>
              </w:rPr>
              <w:t xml:space="preserve"> específico</w:t>
            </w:r>
            <w:r>
              <w:rPr>
                <w:sz w:val="20"/>
                <w:szCs w:val="20"/>
                <w:lang w:val="es-CL"/>
              </w:rPr>
              <w:t>(</w:t>
            </w:r>
            <w:r w:rsidRPr="00305B76">
              <w:rPr>
                <w:sz w:val="20"/>
                <w:szCs w:val="20"/>
                <w:lang w:val="es-CL"/>
              </w:rPr>
              <w:t>s</w:t>
            </w:r>
            <w:r>
              <w:rPr>
                <w:sz w:val="20"/>
                <w:szCs w:val="20"/>
                <w:lang w:val="es-CL"/>
              </w:rPr>
              <w:t>)</w:t>
            </w:r>
            <w:r w:rsidRPr="00305B76">
              <w:rPr>
                <w:sz w:val="20"/>
                <w:szCs w:val="20"/>
                <w:lang w:val="es-CL"/>
              </w:rPr>
              <w:t>, mensurable</w:t>
            </w:r>
            <w:r>
              <w:rPr>
                <w:sz w:val="20"/>
                <w:szCs w:val="20"/>
                <w:lang w:val="es-CL"/>
              </w:rPr>
              <w:t>(</w:t>
            </w:r>
            <w:r w:rsidRPr="00305B76">
              <w:rPr>
                <w:sz w:val="20"/>
                <w:szCs w:val="20"/>
                <w:lang w:val="es-CL"/>
              </w:rPr>
              <w:t>s</w:t>
            </w:r>
            <w:r>
              <w:rPr>
                <w:sz w:val="20"/>
                <w:szCs w:val="20"/>
                <w:lang w:val="es-CL"/>
              </w:rPr>
              <w:t>)</w:t>
            </w:r>
            <w:r w:rsidRPr="00305B76">
              <w:rPr>
                <w:sz w:val="20"/>
                <w:szCs w:val="20"/>
                <w:lang w:val="es-CL"/>
              </w:rPr>
              <w:t>, alcanzable</w:t>
            </w:r>
            <w:r>
              <w:rPr>
                <w:sz w:val="20"/>
                <w:szCs w:val="20"/>
                <w:lang w:val="es-CL"/>
              </w:rPr>
              <w:t>(</w:t>
            </w:r>
            <w:r w:rsidRPr="00305B76">
              <w:rPr>
                <w:sz w:val="20"/>
                <w:szCs w:val="20"/>
                <w:lang w:val="es-CL"/>
              </w:rPr>
              <w:t>s</w:t>
            </w:r>
            <w:r>
              <w:rPr>
                <w:sz w:val="20"/>
                <w:szCs w:val="20"/>
                <w:lang w:val="es-CL"/>
              </w:rPr>
              <w:t>)</w:t>
            </w:r>
            <w:r w:rsidRPr="00305B76">
              <w:rPr>
                <w:sz w:val="20"/>
                <w:szCs w:val="20"/>
                <w:lang w:val="es-CL"/>
              </w:rPr>
              <w:t>, y pertinente</w:t>
            </w:r>
            <w:r>
              <w:rPr>
                <w:sz w:val="20"/>
                <w:szCs w:val="20"/>
                <w:lang w:val="es-CL"/>
              </w:rPr>
              <w:t>(</w:t>
            </w:r>
            <w:r w:rsidRPr="00305B76">
              <w:rPr>
                <w:sz w:val="20"/>
                <w:szCs w:val="20"/>
                <w:lang w:val="es-CL"/>
              </w:rPr>
              <w:t>s</w:t>
            </w:r>
            <w:r>
              <w:rPr>
                <w:sz w:val="20"/>
                <w:szCs w:val="20"/>
                <w:lang w:val="es-CL"/>
              </w:rPr>
              <w:t>)</w:t>
            </w:r>
          </w:p>
          <w:p w14:paraId="114FAA42" w14:textId="77777777" w:rsidR="00BE3628" w:rsidRPr="00305B76" w:rsidRDefault="00BE3628" w:rsidP="00BE3628">
            <w:pPr>
              <w:pStyle w:val="ListParagraph"/>
              <w:numPr>
                <w:ilvl w:val="0"/>
                <w:numId w:val="34"/>
              </w:numPr>
              <w:rPr>
                <w:sz w:val="20"/>
                <w:szCs w:val="20"/>
                <w:lang w:val="es-CL"/>
              </w:rPr>
            </w:pPr>
            <w:r>
              <w:rPr>
                <w:sz w:val="20"/>
                <w:szCs w:val="20"/>
                <w:lang w:val="es-CL"/>
              </w:rPr>
              <w:t xml:space="preserve">Ejecución </w:t>
            </w:r>
            <w:r w:rsidRPr="00305B76">
              <w:rPr>
                <w:sz w:val="20"/>
                <w:szCs w:val="20"/>
                <w:lang w:val="es-CL"/>
              </w:rPr>
              <w:t>limitada en el tiempo (máximo 18 meses)</w:t>
            </w:r>
          </w:p>
          <w:p w14:paraId="38437194" w14:textId="77777777" w:rsidR="00BE3628" w:rsidRPr="00305B76" w:rsidRDefault="00BE3628" w:rsidP="00BE3628">
            <w:pPr>
              <w:pStyle w:val="ListParagraph"/>
              <w:numPr>
                <w:ilvl w:val="0"/>
                <w:numId w:val="34"/>
              </w:numPr>
              <w:rPr>
                <w:lang w:val="es-CL"/>
              </w:rPr>
            </w:pPr>
            <w:r w:rsidRPr="00305B76">
              <w:rPr>
                <w:sz w:val="20"/>
                <w:szCs w:val="20"/>
                <w:lang w:val="es-CL"/>
              </w:rPr>
              <w:t>Factibilidad operacional y técnica</w:t>
            </w:r>
          </w:p>
          <w:p w14:paraId="333A9F3C" w14:textId="387089FE" w:rsidR="008E37E7" w:rsidRDefault="00A55BC0" w:rsidP="008E37E7">
            <w:pPr>
              <w:pStyle w:val="ListParagraph"/>
              <w:numPr>
                <w:ilvl w:val="0"/>
                <w:numId w:val="34"/>
              </w:numPr>
              <w:rPr>
                <w:sz w:val="20"/>
                <w:szCs w:val="20"/>
                <w:lang w:val="es-CL"/>
              </w:rPr>
            </w:pPr>
            <w:r>
              <w:rPr>
                <w:sz w:val="20"/>
                <w:szCs w:val="20"/>
                <w:lang w:val="es-CL"/>
              </w:rPr>
              <w:t>E</w:t>
            </w:r>
            <w:r w:rsidRPr="00305B76">
              <w:rPr>
                <w:sz w:val="20"/>
                <w:szCs w:val="20"/>
                <w:lang w:val="es-CL"/>
              </w:rPr>
              <w:t>nfoque basado en los derechos humanos durante el de</w:t>
            </w:r>
            <w:r>
              <w:rPr>
                <w:sz w:val="20"/>
                <w:szCs w:val="20"/>
                <w:lang w:val="es-CL"/>
              </w:rPr>
              <w:t>sarrollo y la ejecución del proyecto</w:t>
            </w:r>
          </w:p>
          <w:p w14:paraId="30A7D34F" w14:textId="77777777" w:rsidR="00912E2F" w:rsidRPr="003A0C50" w:rsidRDefault="00912E2F" w:rsidP="00912E2F">
            <w:pPr>
              <w:pStyle w:val="ListParagraph"/>
              <w:numPr>
                <w:ilvl w:val="0"/>
                <w:numId w:val="34"/>
              </w:numPr>
              <w:rPr>
                <w:lang w:val="es-CL"/>
              </w:rPr>
            </w:pPr>
            <w:r w:rsidRPr="003A0C50">
              <w:rPr>
                <w:sz w:val="20"/>
                <w:szCs w:val="20"/>
                <w:lang w:val="es-CL"/>
              </w:rPr>
              <w:t>Cumplimiento</w:t>
            </w:r>
            <w:r>
              <w:rPr>
                <w:sz w:val="20"/>
                <w:szCs w:val="20"/>
                <w:lang w:val="es-CL"/>
              </w:rPr>
              <w:t xml:space="preserve"> con</w:t>
            </w:r>
            <w:r w:rsidRPr="003A0C50">
              <w:rPr>
                <w:sz w:val="20"/>
                <w:szCs w:val="20"/>
                <w:lang w:val="es-CL"/>
              </w:rPr>
              <w:t xml:space="preserve"> </w:t>
            </w:r>
            <w:r>
              <w:rPr>
                <w:sz w:val="20"/>
                <w:szCs w:val="20"/>
                <w:lang w:val="es-CL"/>
              </w:rPr>
              <w:t>estándares</w:t>
            </w:r>
            <w:r w:rsidRPr="003A0C50">
              <w:rPr>
                <w:sz w:val="20"/>
                <w:szCs w:val="20"/>
                <w:lang w:val="es-CL"/>
              </w:rPr>
              <w:t xml:space="preserve"> internacionales sobre libertad de expresión y seguridad de los</w:t>
            </w:r>
            <w:r>
              <w:rPr>
                <w:sz w:val="20"/>
                <w:szCs w:val="20"/>
                <w:lang w:val="es-CL"/>
              </w:rPr>
              <w:t xml:space="preserve"> y las</w:t>
            </w:r>
            <w:r w:rsidRPr="003A0C50">
              <w:rPr>
                <w:sz w:val="20"/>
                <w:szCs w:val="20"/>
                <w:lang w:val="es-CL"/>
              </w:rPr>
              <w:t xml:space="preserve"> periodistas</w:t>
            </w:r>
          </w:p>
          <w:p w14:paraId="4510EEFA" w14:textId="77777777" w:rsidR="00FF136D" w:rsidRPr="00FC68FA" w:rsidRDefault="00FF136D" w:rsidP="00FF136D">
            <w:pPr>
              <w:pStyle w:val="ListParagraph"/>
              <w:numPr>
                <w:ilvl w:val="0"/>
                <w:numId w:val="34"/>
              </w:numPr>
              <w:rPr>
                <w:lang w:val="es-CL"/>
              </w:rPr>
            </w:pPr>
            <w:r w:rsidRPr="00FC68FA">
              <w:rPr>
                <w:sz w:val="20"/>
                <w:szCs w:val="20"/>
                <w:lang w:val="es-CL"/>
              </w:rPr>
              <w:t>Conformidad con el Plan de Acción de la ONU sobre la Seguridad de los</w:t>
            </w:r>
            <w:r>
              <w:rPr>
                <w:sz w:val="20"/>
                <w:szCs w:val="20"/>
                <w:lang w:val="es-CL"/>
              </w:rPr>
              <w:t xml:space="preserve"> y las</w:t>
            </w:r>
            <w:r w:rsidRPr="00FC68FA">
              <w:rPr>
                <w:sz w:val="20"/>
                <w:szCs w:val="20"/>
                <w:lang w:val="es-CL"/>
              </w:rPr>
              <w:t xml:space="preserve"> </w:t>
            </w:r>
            <w:r>
              <w:rPr>
                <w:sz w:val="20"/>
                <w:szCs w:val="20"/>
                <w:lang w:val="es-CL"/>
              </w:rPr>
              <w:t>Periodistas y la Cuestión de la Impunidad</w:t>
            </w:r>
          </w:p>
          <w:p w14:paraId="01885155" w14:textId="78DDE769" w:rsidR="009F4BAE" w:rsidRPr="00672AFA" w:rsidRDefault="00FF136D" w:rsidP="00C610D9">
            <w:pPr>
              <w:pStyle w:val="ListParagraph"/>
              <w:numPr>
                <w:ilvl w:val="0"/>
                <w:numId w:val="34"/>
              </w:numPr>
              <w:rPr>
                <w:sz w:val="20"/>
                <w:szCs w:val="20"/>
                <w:lang w:val="es-CL"/>
              </w:rPr>
            </w:pPr>
            <w:r>
              <w:rPr>
                <w:sz w:val="20"/>
                <w:szCs w:val="20"/>
                <w:lang w:val="es-CL"/>
              </w:rPr>
              <w:t>Integración de la dimensión de género</w:t>
            </w:r>
          </w:p>
          <w:p w14:paraId="615015C2" w14:textId="12C04337" w:rsidR="009F4BAE" w:rsidRPr="00672AFA" w:rsidRDefault="00FF136D" w:rsidP="00C610D9">
            <w:pPr>
              <w:pStyle w:val="ListParagraph"/>
              <w:numPr>
                <w:ilvl w:val="0"/>
                <w:numId w:val="34"/>
              </w:numPr>
              <w:rPr>
                <w:sz w:val="20"/>
                <w:szCs w:val="20"/>
                <w:lang w:val="es-CL"/>
              </w:rPr>
            </w:pPr>
            <w:r>
              <w:rPr>
                <w:sz w:val="20"/>
                <w:szCs w:val="20"/>
                <w:lang w:val="es-CL"/>
              </w:rPr>
              <w:t>Sostenibilidad de la acción</w:t>
            </w:r>
          </w:p>
          <w:p w14:paraId="385A6F70" w14:textId="1E740864" w:rsidR="00CE7E91" w:rsidRPr="00672AFA" w:rsidRDefault="00FF136D" w:rsidP="00C610D9">
            <w:pPr>
              <w:pStyle w:val="ListParagraph"/>
              <w:numPr>
                <w:ilvl w:val="0"/>
                <w:numId w:val="34"/>
              </w:numPr>
              <w:rPr>
                <w:sz w:val="20"/>
                <w:szCs w:val="20"/>
                <w:lang w:val="es-CL"/>
              </w:rPr>
            </w:pPr>
            <w:r>
              <w:rPr>
                <w:sz w:val="20"/>
                <w:szCs w:val="20"/>
                <w:lang w:val="es-CL"/>
              </w:rPr>
              <w:t>Consideraciones relacionadas con la sostenibilidad medioambiental</w:t>
            </w:r>
          </w:p>
          <w:p w14:paraId="7E74C13C" w14:textId="6C3D7241" w:rsidR="00C610D9" w:rsidRPr="00933A63" w:rsidRDefault="00933A63" w:rsidP="00C610D9">
            <w:pPr>
              <w:pStyle w:val="ListParagraph"/>
              <w:numPr>
                <w:ilvl w:val="0"/>
                <w:numId w:val="34"/>
              </w:numPr>
              <w:rPr>
                <w:sz w:val="20"/>
                <w:szCs w:val="20"/>
                <w:lang w:val="es-CL"/>
              </w:rPr>
            </w:pPr>
            <w:r w:rsidRPr="00933A63">
              <w:rPr>
                <w:sz w:val="20"/>
                <w:szCs w:val="20"/>
                <w:lang w:val="es-CL"/>
              </w:rPr>
              <w:t>Contribución a las Priorida</w:t>
            </w:r>
            <w:r>
              <w:rPr>
                <w:sz w:val="20"/>
                <w:szCs w:val="20"/>
                <w:lang w:val="es-CL"/>
              </w:rPr>
              <w:t>des Mundiales de la UNESCO</w:t>
            </w:r>
          </w:p>
          <w:p w14:paraId="5EAE2266" w14:textId="2E12F5E7" w:rsidR="00C32274" w:rsidRPr="00672AFA" w:rsidRDefault="00933A63" w:rsidP="00C610D9">
            <w:pPr>
              <w:pStyle w:val="ListParagraph"/>
              <w:numPr>
                <w:ilvl w:val="0"/>
                <w:numId w:val="34"/>
              </w:numPr>
              <w:rPr>
                <w:sz w:val="20"/>
                <w:szCs w:val="20"/>
                <w:lang w:val="es-CL"/>
              </w:rPr>
            </w:pPr>
            <w:r>
              <w:rPr>
                <w:sz w:val="20"/>
                <w:szCs w:val="20"/>
                <w:lang w:val="es-CL"/>
              </w:rPr>
              <w:t xml:space="preserve">Consideraciones de Especial Atención: PMA, PEID, Pueblos Indígenas </w:t>
            </w:r>
          </w:p>
          <w:p w14:paraId="1B699958" w14:textId="6F4DB578" w:rsidR="00C66A9C" w:rsidRDefault="00C66A9C" w:rsidP="00C610D9">
            <w:pPr>
              <w:pStyle w:val="ListParagraph"/>
              <w:numPr>
                <w:ilvl w:val="0"/>
                <w:numId w:val="34"/>
              </w:numPr>
              <w:rPr>
                <w:sz w:val="20"/>
                <w:szCs w:val="20"/>
                <w:lang w:val="es-CL"/>
              </w:rPr>
            </w:pPr>
            <w:r w:rsidRPr="00933A63">
              <w:rPr>
                <w:sz w:val="20"/>
                <w:szCs w:val="20"/>
                <w:lang w:val="es-CL"/>
              </w:rPr>
              <w:t>Us</w:t>
            </w:r>
            <w:r w:rsidR="00933A63" w:rsidRPr="00933A63">
              <w:rPr>
                <w:sz w:val="20"/>
                <w:szCs w:val="20"/>
                <w:lang w:val="es-CL"/>
              </w:rPr>
              <w:t>o de recursos y publicacio</w:t>
            </w:r>
            <w:r w:rsidR="00933A63">
              <w:rPr>
                <w:sz w:val="20"/>
                <w:szCs w:val="20"/>
                <w:lang w:val="es-CL"/>
              </w:rPr>
              <w:t>nes de la</w:t>
            </w:r>
            <w:r w:rsidRPr="00933A63">
              <w:rPr>
                <w:sz w:val="20"/>
                <w:szCs w:val="20"/>
                <w:lang w:val="es-CL"/>
              </w:rPr>
              <w:t xml:space="preserve"> UNESCO</w:t>
            </w:r>
          </w:p>
          <w:p w14:paraId="5A478764" w14:textId="71A2502C" w:rsidR="00933A63" w:rsidRPr="00933A63" w:rsidRDefault="0024372F" w:rsidP="00C610D9">
            <w:pPr>
              <w:pStyle w:val="ListParagraph"/>
              <w:numPr>
                <w:ilvl w:val="0"/>
                <w:numId w:val="34"/>
              </w:numPr>
              <w:rPr>
                <w:sz w:val="20"/>
                <w:szCs w:val="20"/>
                <w:lang w:val="es-CL"/>
              </w:rPr>
            </w:pPr>
            <w:r w:rsidRPr="0024372F">
              <w:rPr>
                <w:sz w:val="20"/>
                <w:szCs w:val="20"/>
                <w:lang w:val="es-CL"/>
              </w:rPr>
              <w:t xml:space="preserve">Potencial de </w:t>
            </w:r>
            <w:r>
              <w:rPr>
                <w:sz w:val="20"/>
                <w:szCs w:val="20"/>
                <w:lang w:val="es-CL"/>
              </w:rPr>
              <w:t xml:space="preserve">presentar </w:t>
            </w:r>
            <w:r w:rsidRPr="0024372F">
              <w:rPr>
                <w:sz w:val="20"/>
                <w:szCs w:val="20"/>
                <w:lang w:val="es-CL"/>
              </w:rPr>
              <w:t>resultados antes de la COP30</w:t>
            </w:r>
          </w:p>
          <w:p w14:paraId="60261A19" w14:textId="3AD4B226" w:rsidR="00C610D9" w:rsidRPr="009626C3" w:rsidRDefault="00915C89" w:rsidP="00C610D9">
            <w:pPr>
              <w:pStyle w:val="ListParagraph"/>
              <w:numPr>
                <w:ilvl w:val="0"/>
                <w:numId w:val="34"/>
              </w:numPr>
              <w:rPr>
                <w:sz w:val="20"/>
                <w:szCs w:val="20"/>
                <w:lang w:val="es-CL"/>
              </w:rPr>
            </w:pPr>
            <w:r w:rsidRPr="009626C3">
              <w:rPr>
                <w:sz w:val="20"/>
                <w:szCs w:val="20"/>
                <w:lang w:val="es-CL"/>
              </w:rPr>
              <w:t>Opinión</w:t>
            </w:r>
            <w:r w:rsidR="009626C3" w:rsidRPr="009626C3">
              <w:rPr>
                <w:sz w:val="20"/>
                <w:szCs w:val="20"/>
                <w:lang w:val="es-CL"/>
              </w:rPr>
              <w:t xml:space="preserve"> de las Oficinas fuera de la Sede de </w:t>
            </w:r>
            <w:r w:rsidR="009626C3">
              <w:rPr>
                <w:sz w:val="20"/>
                <w:szCs w:val="20"/>
                <w:lang w:val="es-CL"/>
              </w:rPr>
              <w:t>la</w:t>
            </w:r>
            <w:r w:rsidR="00C610D9" w:rsidRPr="009626C3">
              <w:rPr>
                <w:sz w:val="20"/>
                <w:szCs w:val="20"/>
                <w:lang w:val="es-CL"/>
              </w:rPr>
              <w:t xml:space="preserve"> UNESCO</w:t>
            </w:r>
          </w:p>
        </w:tc>
        <w:tc>
          <w:tcPr>
            <w:tcW w:w="2642" w:type="dxa"/>
          </w:tcPr>
          <w:p w14:paraId="30C4224D" w14:textId="4E407540" w:rsidR="00C610D9" w:rsidRPr="00672AFA" w:rsidRDefault="00C610D9" w:rsidP="006339B9">
            <w:pPr>
              <w:jc w:val="center"/>
              <w:rPr>
                <w:sz w:val="20"/>
                <w:szCs w:val="20"/>
                <w:lang w:val="es-CL"/>
              </w:rPr>
            </w:pPr>
            <w:r w:rsidRPr="00672AFA">
              <w:rPr>
                <w:sz w:val="20"/>
                <w:szCs w:val="20"/>
                <w:lang w:val="es-CL"/>
              </w:rPr>
              <w:t xml:space="preserve">5 </w:t>
            </w:r>
            <w:r w:rsidR="00915C89">
              <w:rPr>
                <w:sz w:val="20"/>
                <w:szCs w:val="20"/>
                <w:lang w:val="es-CL"/>
              </w:rPr>
              <w:t>puntos</w:t>
            </w:r>
          </w:p>
        </w:tc>
      </w:tr>
      <w:tr w:rsidR="00C610D9" w:rsidRPr="00672AFA" w14:paraId="5C3CD67D" w14:textId="77777777" w:rsidTr="00C610D9">
        <w:tc>
          <w:tcPr>
            <w:tcW w:w="2405" w:type="dxa"/>
          </w:tcPr>
          <w:p w14:paraId="03B66A10" w14:textId="071B60C0" w:rsidR="00C610D9" w:rsidRPr="00672AFA" w:rsidRDefault="004F31C9" w:rsidP="006339B9">
            <w:pPr>
              <w:jc w:val="center"/>
              <w:rPr>
                <w:sz w:val="20"/>
                <w:szCs w:val="20"/>
                <w:lang w:val="es-CL"/>
              </w:rPr>
            </w:pPr>
            <w:r>
              <w:rPr>
                <w:sz w:val="20"/>
                <w:szCs w:val="20"/>
                <w:lang w:val="es-CL"/>
              </w:rPr>
              <w:t>Propuesta Financiera</w:t>
            </w:r>
          </w:p>
        </w:tc>
        <w:tc>
          <w:tcPr>
            <w:tcW w:w="3969" w:type="dxa"/>
          </w:tcPr>
          <w:p w14:paraId="05811ECE" w14:textId="21228A8D" w:rsidR="00285C47" w:rsidRPr="00672AFA" w:rsidRDefault="004B0141" w:rsidP="00285C47">
            <w:pPr>
              <w:pStyle w:val="ListParagraph"/>
              <w:numPr>
                <w:ilvl w:val="0"/>
                <w:numId w:val="35"/>
              </w:numPr>
              <w:jc w:val="both"/>
              <w:rPr>
                <w:sz w:val="20"/>
                <w:szCs w:val="20"/>
                <w:lang w:val="es-CL"/>
              </w:rPr>
            </w:pPr>
            <w:r>
              <w:rPr>
                <w:sz w:val="20"/>
                <w:szCs w:val="20"/>
                <w:lang w:val="es-CL"/>
              </w:rPr>
              <w:t>Desglose detallado de los costos</w:t>
            </w:r>
          </w:p>
          <w:p w14:paraId="10BB50E2" w14:textId="77777777" w:rsidR="005C425E" w:rsidRDefault="005C425E" w:rsidP="008E04F4">
            <w:pPr>
              <w:pStyle w:val="ListParagraph"/>
              <w:numPr>
                <w:ilvl w:val="0"/>
                <w:numId w:val="35"/>
              </w:numPr>
              <w:rPr>
                <w:sz w:val="20"/>
                <w:szCs w:val="20"/>
                <w:lang w:val="es-CL"/>
              </w:rPr>
            </w:pPr>
            <w:r w:rsidRPr="005C425E">
              <w:rPr>
                <w:sz w:val="20"/>
                <w:szCs w:val="20"/>
                <w:lang w:val="es-CL"/>
              </w:rPr>
              <w:t>Solo costos elegibles</w:t>
            </w:r>
          </w:p>
          <w:p w14:paraId="0EAA6E43" w14:textId="77777777" w:rsidR="0070125E" w:rsidRPr="0070125E" w:rsidRDefault="005C425E" w:rsidP="00312F66">
            <w:pPr>
              <w:pStyle w:val="ListParagraph"/>
              <w:numPr>
                <w:ilvl w:val="0"/>
                <w:numId w:val="35"/>
              </w:numPr>
              <w:rPr>
                <w:sz w:val="20"/>
                <w:szCs w:val="20"/>
                <w:lang w:val="es-CL"/>
              </w:rPr>
            </w:pPr>
            <w:r w:rsidRPr="007C5560">
              <w:rPr>
                <w:sz w:val="20"/>
                <w:szCs w:val="20"/>
                <w:lang w:val="es-CL"/>
              </w:rPr>
              <w:t>Justificación de la necesidad de recursos y relación calidad-precio</w:t>
            </w:r>
          </w:p>
          <w:p w14:paraId="69C4E3DE" w14:textId="0FB9230E" w:rsidR="0011549E" w:rsidRDefault="0011549E" w:rsidP="00312F66">
            <w:pPr>
              <w:pStyle w:val="ListParagraph"/>
              <w:numPr>
                <w:ilvl w:val="0"/>
                <w:numId w:val="35"/>
              </w:numPr>
              <w:rPr>
                <w:sz w:val="20"/>
                <w:szCs w:val="20"/>
                <w:lang w:val="es-CL"/>
              </w:rPr>
            </w:pPr>
            <w:r w:rsidRPr="0011549E">
              <w:rPr>
                <w:sz w:val="20"/>
                <w:szCs w:val="20"/>
                <w:lang w:val="es-CL"/>
              </w:rPr>
              <w:t>Razonabilidad de los costos en comparación con los estándares locales (</w:t>
            </w:r>
            <w:r>
              <w:rPr>
                <w:sz w:val="20"/>
                <w:szCs w:val="20"/>
                <w:lang w:val="es-CL"/>
              </w:rPr>
              <w:t>factibilidad</w:t>
            </w:r>
            <w:r w:rsidRPr="0011549E">
              <w:rPr>
                <w:sz w:val="20"/>
                <w:szCs w:val="20"/>
                <w:lang w:val="es-CL"/>
              </w:rPr>
              <w:t xml:space="preserve"> financiera)</w:t>
            </w:r>
          </w:p>
          <w:p w14:paraId="790A59AF" w14:textId="3A7B8E6C" w:rsidR="00312F66" w:rsidRPr="00C31D2A" w:rsidRDefault="00C31D2A" w:rsidP="00312F66">
            <w:pPr>
              <w:pStyle w:val="ListParagraph"/>
              <w:numPr>
                <w:ilvl w:val="0"/>
                <w:numId w:val="35"/>
              </w:numPr>
              <w:rPr>
                <w:sz w:val="20"/>
                <w:szCs w:val="20"/>
                <w:lang w:val="es-CL"/>
              </w:rPr>
            </w:pPr>
            <w:r w:rsidRPr="00C31D2A">
              <w:rPr>
                <w:sz w:val="20"/>
                <w:szCs w:val="20"/>
                <w:lang w:val="es-CL"/>
              </w:rPr>
              <w:t>“Valor agregado” del socio (Contribución del socio)</w:t>
            </w:r>
          </w:p>
        </w:tc>
        <w:tc>
          <w:tcPr>
            <w:tcW w:w="2642" w:type="dxa"/>
          </w:tcPr>
          <w:p w14:paraId="1D1F7E4B" w14:textId="23B1CC54" w:rsidR="00C610D9" w:rsidRPr="00672AFA" w:rsidRDefault="00C610D9" w:rsidP="006339B9">
            <w:pPr>
              <w:jc w:val="center"/>
              <w:rPr>
                <w:sz w:val="20"/>
                <w:szCs w:val="20"/>
                <w:lang w:val="es-CL"/>
              </w:rPr>
            </w:pPr>
            <w:r w:rsidRPr="00672AFA">
              <w:rPr>
                <w:sz w:val="20"/>
                <w:szCs w:val="20"/>
                <w:lang w:val="es-CL"/>
              </w:rPr>
              <w:t xml:space="preserve">5 </w:t>
            </w:r>
            <w:r w:rsidR="00C30203">
              <w:rPr>
                <w:sz w:val="20"/>
                <w:szCs w:val="20"/>
                <w:lang w:val="es-CL"/>
              </w:rPr>
              <w:t>punt</w:t>
            </w:r>
            <w:r w:rsidR="005D18AA">
              <w:rPr>
                <w:sz w:val="20"/>
                <w:szCs w:val="20"/>
                <w:lang w:val="es-CL"/>
              </w:rPr>
              <w:t>os</w:t>
            </w:r>
          </w:p>
        </w:tc>
      </w:tr>
      <w:tr w:rsidR="00C610D9" w:rsidRPr="00672AFA" w14:paraId="0EDD89BB" w14:textId="77777777" w:rsidTr="00C610D9">
        <w:tc>
          <w:tcPr>
            <w:tcW w:w="2405" w:type="dxa"/>
          </w:tcPr>
          <w:p w14:paraId="24FD720C" w14:textId="3F45A7FD" w:rsidR="00C610D9" w:rsidRPr="00672AFA" w:rsidRDefault="004B6F0C" w:rsidP="006339B9">
            <w:pPr>
              <w:jc w:val="center"/>
              <w:rPr>
                <w:sz w:val="20"/>
                <w:szCs w:val="20"/>
                <w:lang w:val="es-CL"/>
              </w:rPr>
            </w:pPr>
            <w:r>
              <w:rPr>
                <w:sz w:val="20"/>
                <w:szCs w:val="20"/>
                <w:lang w:val="es-CL"/>
              </w:rPr>
              <w:t>Capacidad del Socio</w:t>
            </w:r>
          </w:p>
        </w:tc>
        <w:tc>
          <w:tcPr>
            <w:tcW w:w="3969" w:type="dxa"/>
          </w:tcPr>
          <w:p w14:paraId="7BCE27E5" w14:textId="093FB724" w:rsidR="00DF6B42" w:rsidRDefault="00F32146" w:rsidP="00DF6B42">
            <w:pPr>
              <w:pStyle w:val="ListParagraph"/>
              <w:numPr>
                <w:ilvl w:val="0"/>
                <w:numId w:val="36"/>
              </w:numPr>
              <w:rPr>
                <w:sz w:val="20"/>
                <w:szCs w:val="20"/>
                <w:lang w:val="es-CL"/>
              </w:rPr>
            </w:pPr>
            <w:r w:rsidRPr="00F32146">
              <w:rPr>
                <w:sz w:val="20"/>
                <w:szCs w:val="20"/>
                <w:lang w:val="es-CL"/>
              </w:rPr>
              <w:t>Capacidad para contribuir al logro de los objetivos de la UNESCO</w:t>
            </w:r>
          </w:p>
          <w:p w14:paraId="75722B3F" w14:textId="072339AF" w:rsidR="00F32146" w:rsidRDefault="004C16E8" w:rsidP="00DF6B42">
            <w:pPr>
              <w:pStyle w:val="ListParagraph"/>
              <w:numPr>
                <w:ilvl w:val="0"/>
                <w:numId w:val="36"/>
              </w:numPr>
              <w:rPr>
                <w:sz w:val="20"/>
                <w:szCs w:val="20"/>
                <w:lang w:val="es-CL"/>
              </w:rPr>
            </w:pPr>
            <w:r w:rsidRPr="004C16E8">
              <w:rPr>
                <w:sz w:val="20"/>
                <w:szCs w:val="20"/>
                <w:lang w:val="es-CL"/>
              </w:rPr>
              <w:t>Compromiso con los derechos humanos, la libertad de expresión y la igualdad de género</w:t>
            </w:r>
          </w:p>
          <w:p w14:paraId="61B3432E" w14:textId="051B1F8E" w:rsidR="004C16E8" w:rsidRDefault="004C16E8" w:rsidP="00DF6B42">
            <w:pPr>
              <w:pStyle w:val="ListParagraph"/>
              <w:numPr>
                <w:ilvl w:val="0"/>
                <w:numId w:val="36"/>
              </w:numPr>
              <w:rPr>
                <w:sz w:val="20"/>
                <w:szCs w:val="20"/>
                <w:lang w:val="es-CL"/>
              </w:rPr>
            </w:pPr>
            <w:r w:rsidRPr="004C16E8">
              <w:rPr>
                <w:sz w:val="20"/>
                <w:szCs w:val="20"/>
                <w:lang w:val="es-CL"/>
              </w:rPr>
              <w:t>Sólida situación financiera</w:t>
            </w:r>
          </w:p>
          <w:p w14:paraId="61AC83AE" w14:textId="5704AED5" w:rsidR="00503A76" w:rsidRDefault="00503A76" w:rsidP="00DF6B42">
            <w:pPr>
              <w:pStyle w:val="ListParagraph"/>
              <w:numPr>
                <w:ilvl w:val="0"/>
                <w:numId w:val="36"/>
              </w:numPr>
              <w:rPr>
                <w:sz w:val="20"/>
                <w:szCs w:val="20"/>
                <w:lang w:val="es-CL"/>
              </w:rPr>
            </w:pPr>
            <w:r w:rsidRPr="00503A76">
              <w:rPr>
                <w:sz w:val="20"/>
                <w:szCs w:val="20"/>
                <w:lang w:val="es-CL"/>
              </w:rPr>
              <w:t>Procedimientos de control interno adecuados</w:t>
            </w:r>
          </w:p>
          <w:p w14:paraId="0C6FB655" w14:textId="6233FDC8" w:rsidR="008B4437" w:rsidRDefault="008B4437" w:rsidP="00DF6B42">
            <w:pPr>
              <w:pStyle w:val="ListParagraph"/>
              <w:numPr>
                <w:ilvl w:val="0"/>
                <w:numId w:val="36"/>
              </w:numPr>
              <w:rPr>
                <w:sz w:val="20"/>
                <w:szCs w:val="20"/>
                <w:lang w:val="es-CL"/>
              </w:rPr>
            </w:pPr>
            <w:r w:rsidRPr="008B4437">
              <w:rPr>
                <w:sz w:val="20"/>
                <w:szCs w:val="20"/>
                <w:lang w:val="es-CL"/>
              </w:rPr>
              <w:lastRenderedPageBreak/>
              <w:t>Capacidad para gestionar el volumen de fondos y ejecutar actividades de manera eficiente y eficaz</w:t>
            </w:r>
          </w:p>
          <w:p w14:paraId="698FBEBD" w14:textId="6E1622AA" w:rsidR="00714028" w:rsidRPr="00672AFA" w:rsidRDefault="00714028" w:rsidP="00DF6B42">
            <w:pPr>
              <w:pStyle w:val="ListParagraph"/>
              <w:numPr>
                <w:ilvl w:val="0"/>
                <w:numId w:val="36"/>
              </w:numPr>
              <w:rPr>
                <w:sz w:val="20"/>
                <w:szCs w:val="20"/>
                <w:lang w:val="es-CL"/>
              </w:rPr>
            </w:pPr>
            <w:r w:rsidRPr="00714028">
              <w:rPr>
                <w:sz w:val="20"/>
                <w:szCs w:val="20"/>
                <w:lang w:val="es-CL"/>
              </w:rPr>
              <w:t>Capacidad para participar en actividades de planificación, seguimiento</w:t>
            </w:r>
            <w:r>
              <w:rPr>
                <w:sz w:val="20"/>
                <w:szCs w:val="20"/>
                <w:lang w:val="es-CL"/>
              </w:rPr>
              <w:t>,</w:t>
            </w:r>
            <w:r w:rsidRPr="00714028">
              <w:rPr>
                <w:sz w:val="20"/>
                <w:szCs w:val="20"/>
                <w:lang w:val="es-CL"/>
              </w:rPr>
              <w:t xml:space="preserve"> y garantía</w:t>
            </w:r>
          </w:p>
          <w:p w14:paraId="22A55DA3" w14:textId="77777777" w:rsidR="001F1653" w:rsidRPr="001F1653" w:rsidRDefault="001F1653" w:rsidP="002A788B">
            <w:pPr>
              <w:pStyle w:val="ListParagraph"/>
              <w:numPr>
                <w:ilvl w:val="0"/>
                <w:numId w:val="36"/>
              </w:numPr>
              <w:rPr>
                <w:sz w:val="20"/>
                <w:szCs w:val="20"/>
                <w:lang w:val="es-CL"/>
              </w:rPr>
            </w:pPr>
            <w:r w:rsidRPr="001F1653">
              <w:rPr>
                <w:sz w:val="20"/>
                <w:szCs w:val="20"/>
                <w:lang w:val="es-CL"/>
              </w:rPr>
              <w:t>Capacidad para operar en países y zonas objetivo</w:t>
            </w:r>
          </w:p>
          <w:p w14:paraId="035BF163" w14:textId="26B0C02B" w:rsidR="001F1653" w:rsidRPr="001F1653" w:rsidRDefault="001F1653" w:rsidP="00C610D9">
            <w:pPr>
              <w:pStyle w:val="ListParagraph"/>
              <w:numPr>
                <w:ilvl w:val="0"/>
                <w:numId w:val="36"/>
              </w:numPr>
              <w:rPr>
                <w:sz w:val="20"/>
                <w:szCs w:val="20"/>
                <w:lang w:val="es-CL"/>
              </w:rPr>
            </w:pPr>
            <w:r w:rsidRPr="001F1653">
              <w:rPr>
                <w:sz w:val="20"/>
                <w:szCs w:val="20"/>
                <w:lang w:val="es-CL"/>
              </w:rPr>
              <w:t xml:space="preserve">Competencias </w:t>
            </w:r>
            <w:r>
              <w:rPr>
                <w:sz w:val="20"/>
                <w:szCs w:val="20"/>
                <w:lang w:val="es-CL"/>
              </w:rPr>
              <w:t>en materia de</w:t>
            </w:r>
            <w:r w:rsidRPr="001F1653">
              <w:rPr>
                <w:sz w:val="20"/>
                <w:szCs w:val="20"/>
                <w:lang w:val="es-CL"/>
              </w:rPr>
              <w:t xml:space="preserve"> gestión y de mantenimiento de registros</w:t>
            </w:r>
          </w:p>
          <w:p w14:paraId="22A3CCDA" w14:textId="5C1FB5D2" w:rsidR="00C610D9" w:rsidRPr="00672AFA" w:rsidRDefault="00901CA6" w:rsidP="00C610D9">
            <w:pPr>
              <w:pStyle w:val="ListParagraph"/>
              <w:numPr>
                <w:ilvl w:val="0"/>
                <w:numId w:val="36"/>
              </w:numPr>
              <w:rPr>
                <w:sz w:val="20"/>
                <w:szCs w:val="20"/>
                <w:lang w:val="es-CL"/>
              </w:rPr>
            </w:pPr>
            <w:r>
              <w:rPr>
                <w:sz w:val="20"/>
                <w:szCs w:val="20"/>
                <w:lang w:val="es-CL"/>
              </w:rPr>
              <w:t>Personal</w:t>
            </w:r>
          </w:p>
        </w:tc>
        <w:tc>
          <w:tcPr>
            <w:tcW w:w="2642" w:type="dxa"/>
          </w:tcPr>
          <w:p w14:paraId="00F695CD" w14:textId="51FDA758" w:rsidR="00C610D9" w:rsidRPr="00672AFA" w:rsidRDefault="00C610D9" w:rsidP="006339B9">
            <w:pPr>
              <w:spacing w:line="480" w:lineRule="auto"/>
              <w:jc w:val="center"/>
              <w:rPr>
                <w:sz w:val="20"/>
                <w:szCs w:val="20"/>
                <w:lang w:val="es-CL"/>
              </w:rPr>
            </w:pPr>
            <w:r w:rsidRPr="00672AFA">
              <w:rPr>
                <w:sz w:val="20"/>
                <w:szCs w:val="20"/>
                <w:lang w:val="es-CL"/>
              </w:rPr>
              <w:lastRenderedPageBreak/>
              <w:t xml:space="preserve">5 </w:t>
            </w:r>
            <w:r w:rsidR="00BC5E75">
              <w:rPr>
                <w:sz w:val="20"/>
                <w:szCs w:val="20"/>
                <w:lang w:val="es-CL"/>
              </w:rPr>
              <w:t>puntos</w:t>
            </w:r>
          </w:p>
        </w:tc>
      </w:tr>
      <w:tr w:rsidR="00C610D9" w:rsidRPr="00672AFA" w14:paraId="3ACF97BD" w14:textId="77777777" w:rsidTr="00C610D9">
        <w:tc>
          <w:tcPr>
            <w:tcW w:w="6374" w:type="dxa"/>
            <w:gridSpan w:val="2"/>
          </w:tcPr>
          <w:p w14:paraId="63F97D82" w14:textId="77FA80F2" w:rsidR="00C610D9" w:rsidRPr="00672AFA" w:rsidRDefault="00C5487A" w:rsidP="006339B9">
            <w:pPr>
              <w:jc w:val="right"/>
              <w:rPr>
                <w:sz w:val="20"/>
                <w:szCs w:val="20"/>
                <w:lang w:val="es-CL"/>
              </w:rPr>
            </w:pPr>
            <w:r>
              <w:rPr>
                <w:sz w:val="20"/>
                <w:szCs w:val="20"/>
                <w:lang w:val="es-CL"/>
              </w:rPr>
              <w:t>Puntaje</w:t>
            </w:r>
            <w:r w:rsidR="00C610D9" w:rsidRPr="00672AFA">
              <w:rPr>
                <w:sz w:val="20"/>
                <w:szCs w:val="20"/>
                <w:lang w:val="es-CL"/>
              </w:rPr>
              <w:t xml:space="preserve"> (</w:t>
            </w:r>
            <w:r w:rsidRPr="00672AFA">
              <w:rPr>
                <w:sz w:val="20"/>
                <w:szCs w:val="20"/>
                <w:lang w:val="es-CL"/>
              </w:rPr>
              <w:t>Máx</w:t>
            </w:r>
            <w:r>
              <w:rPr>
                <w:sz w:val="20"/>
                <w:szCs w:val="20"/>
                <w:lang w:val="es-CL"/>
              </w:rPr>
              <w:t>imo</w:t>
            </w:r>
            <w:r w:rsidR="00C610D9" w:rsidRPr="00672AFA">
              <w:rPr>
                <w:sz w:val="20"/>
                <w:szCs w:val="20"/>
                <w:lang w:val="es-CL"/>
              </w:rPr>
              <w:t xml:space="preserve">) </w:t>
            </w:r>
            <w:r>
              <w:rPr>
                <w:sz w:val="20"/>
                <w:szCs w:val="20"/>
                <w:lang w:val="es-CL"/>
              </w:rPr>
              <w:t>Total</w:t>
            </w:r>
          </w:p>
        </w:tc>
        <w:tc>
          <w:tcPr>
            <w:tcW w:w="2642" w:type="dxa"/>
          </w:tcPr>
          <w:p w14:paraId="7550E0DE" w14:textId="549210EF" w:rsidR="00C610D9" w:rsidRPr="00672AFA" w:rsidRDefault="00C610D9" w:rsidP="006339B9">
            <w:pPr>
              <w:jc w:val="center"/>
              <w:rPr>
                <w:b/>
                <w:bCs/>
                <w:sz w:val="20"/>
                <w:szCs w:val="20"/>
                <w:lang w:val="es-CL"/>
              </w:rPr>
            </w:pPr>
            <w:r w:rsidRPr="00672AFA">
              <w:rPr>
                <w:b/>
                <w:bCs/>
                <w:sz w:val="20"/>
                <w:szCs w:val="20"/>
                <w:lang w:val="es-CL"/>
              </w:rPr>
              <w:t>15 p</w:t>
            </w:r>
            <w:r w:rsidR="00C5487A">
              <w:rPr>
                <w:b/>
                <w:bCs/>
                <w:sz w:val="20"/>
                <w:szCs w:val="20"/>
                <w:lang w:val="es-CL"/>
              </w:rPr>
              <w:t>untos</w:t>
            </w:r>
          </w:p>
        </w:tc>
      </w:tr>
    </w:tbl>
    <w:p w14:paraId="01D743FE" w14:textId="77777777" w:rsidR="00F61A3B" w:rsidRPr="00672AFA" w:rsidRDefault="00F61A3B" w:rsidP="00C610D9">
      <w:pPr>
        <w:spacing w:after="0" w:line="259" w:lineRule="auto"/>
        <w:jc w:val="both"/>
        <w:rPr>
          <w:sz w:val="22"/>
          <w:szCs w:val="22"/>
          <w:lang w:val="es-CL"/>
        </w:rPr>
      </w:pPr>
    </w:p>
    <w:p w14:paraId="78CEBD6B" w14:textId="7ADE16D2" w:rsidR="00F61A3B" w:rsidRPr="00672AFA" w:rsidRDefault="005D3240" w:rsidP="00F61A3B">
      <w:pPr>
        <w:jc w:val="both"/>
        <w:rPr>
          <w:b/>
          <w:bCs/>
          <w:i/>
          <w:iCs/>
          <w:sz w:val="22"/>
          <w:szCs w:val="22"/>
          <w:lang w:val="es-CL"/>
        </w:rPr>
      </w:pPr>
      <w:r>
        <w:rPr>
          <w:b/>
          <w:bCs/>
          <w:i/>
          <w:iCs/>
          <w:sz w:val="22"/>
          <w:szCs w:val="22"/>
          <w:lang w:val="es-CL"/>
        </w:rPr>
        <w:t>Preselección de Propuestas</w:t>
      </w:r>
    </w:p>
    <w:p w14:paraId="04071EFA" w14:textId="73BD0D22" w:rsidR="00AE6379" w:rsidRPr="00AE6379" w:rsidRDefault="00AE6379" w:rsidP="00AE6379">
      <w:pPr>
        <w:jc w:val="both"/>
        <w:rPr>
          <w:sz w:val="22"/>
          <w:szCs w:val="22"/>
          <w:lang w:val="es-CL"/>
        </w:rPr>
      </w:pPr>
      <w:r w:rsidRPr="00AE6379">
        <w:rPr>
          <w:sz w:val="22"/>
          <w:szCs w:val="22"/>
          <w:lang w:val="es-CL"/>
        </w:rPr>
        <w:t xml:space="preserve">El Comité de Selección elaborará una lista para la clasificación de las propuestas de </w:t>
      </w:r>
      <w:r w:rsidR="00C4600E">
        <w:rPr>
          <w:sz w:val="22"/>
          <w:szCs w:val="22"/>
          <w:lang w:val="es-CL"/>
        </w:rPr>
        <w:t>asociación</w:t>
      </w:r>
      <w:r w:rsidRPr="00AE6379">
        <w:rPr>
          <w:sz w:val="22"/>
          <w:szCs w:val="22"/>
          <w:lang w:val="es-CL"/>
        </w:rPr>
        <w:t xml:space="preserve"> y preseleccionará para financiamiento aquellas que </w:t>
      </w:r>
      <w:r w:rsidR="00C4600E">
        <w:rPr>
          <w:sz w:val="22"/>
          <w:szCs w:val="22"/>
          <w:lang w:val="es-CL"/>
        </w:rPr>
        <w:t>alcancen</w:t>
      </w:r>
      <w:r w:rsidRPr="00AE6379">
        <w:rPr>
          <w:sz w:val="22"/>
          <w:szCs w:val="22"/>
          <w:lang w:val="es-CL"/>
        </w:rPr>
        <w:t xml:space="preserve"> la puntuación total más alta. La UNESCO podrá incluir las propuestas no seleccionadas y con más alta puntuación en una lista de espera</w:t>
      </w:r>
      <w:r w:rsidR="006F5537">
        <w:rPr>
          <w:sz w:val="22"/>
          <w:szCs w:val="22"/>
          <w:lang w:val="es-CL"/>
        </w:rPr>
        <w:t xml:space="preserve">, </w:t>
      </w:r>
      <w:r w:rsidRPr="00AE6379">
        <w:rPr>
          <w:sz w:val="22"/>
          <w:szCs w:val="22"/>
          <w:lang w:val="es-CL"/>
        </w:rPr>
        <w:t>a las que podrá ofrecerse un financiamiento en el evento que un proyecto con mayor puntuación no salga adelante o en el evento en que la UNESCO disponga de fondos adicionales. La UNESCO informará a los candidatos cuya propuesta se incluya en la lista de espera, indicando una fecha límite para la confirmación del financiamiento.</w:t>
      </w:r>
    </w:p>
    <w:p w14:paraId="203C0C8D" w14:textId="03EE809C" w:rsidR="00AE6379" w:rsidRPr="00AE6379" w:rsidRDefault="00AE6379" w:rsidP="00AE6379">
      <w:pPr>
        <w:jc w:val="both"/>
        <w:rPr>
          <w:sz w:val="22"/>
          <w:szCs w:val="22"/>
          <w:lang w:val="es-CL"/>
        </w:rPr>
      </w:pPr>
      <w:r w:rsidRPr="00AE6379">
        <w:rPr>
          <w:sz w:val="22"/>
          <w:szCs w:val="22"/>
          <w:lang w:val="es-CL"/>
        </w:rPr>
        <w:t xml:space="preserve">La UNESCO también informará a los solicitantes del rechazo </w:t>
      </w:r>
      <w:r w:rsidR="006F5537">
        <w:rPr>
          <w:sz w:val="22"/>
          <w:szCs w:val="22"/>
          <w:lang w:val="es-CL"/>
        </w:rPr>
        <w:t xml:space="preserve">de </w:t>
      </w:r>
      <w:r w:rsidRPr="00AE6379">
        <w:rPr>
          <w:sz w:val="22"/>
          <w:szCs w:val="22"/>
          <w:lang w:val="es-CL"/>
        </w:rPr>
        <w:t>su propuesta, aunque no será posible proporcionar información individualizada a cada uno de los candidatos cuyas propuestas no sean seleccionadas para financiamiento.</w:t>
      </w:r>
    </w:p>
    <w:p w14:paraId="3ABA4BC0" w14:textId="77777777" w:rsidR="00AE6379" w:rsidRPr="00AE6379" w:rsidRDefault="00AE6379" w:rsidP="00AE6379">
      <w:pPr>
        <w:jc w:val="both"/>
        <w:rPr>
          <w:b/>
          <w:bCs/>
          <w:sz w:val="22"/>
          <w:szCs w:val="22"/>
          <w:lang w:val="es-CL"/>
        </w:rPr>
      </w:pPr>
      <w:r w:rsidRPr="00AE6379">
        <w:rPr>
          <w:b/>
          <w:bCs/>
          <w:sz w:val="22"/>
          <w:szCs w:val="22"/>
          <w:lang w:val="es-CL"/>
        </w:rPr>
        <w:t>Los resultados del proceso de selección serán notificados a todos los candidatos por correo electrónico.</w:t>
      </w:r>
    </w:p>
    <w:p w14:paraId="03F4ADB9" w14:textId="5B0A5274" w:rsidR="009D6333" w:rsidRPr="007C5560" w:rsidRDefault="006F5537" w:rsidP="00A560FA">
      <w:pPr>
        <w:jc w:val="both"/>
        <w:rPr>
          <w:b/>
          <w:bCs/>
          <w:i/>
          <w:iCs/>
          <w:sz w:val="22"/>
          <w:szCs w:val="22"/>
          <w:lang w:val="es-CL"/>
        </w:rPr>
      </w:pPr>
      <w:r w:rsidRPr="007C5560">
        <w:rPr>
          <w:b/>
          <w:bCs/>
          <w:i/>
          <w:iCs/>
          <w:sz w:val="22"/>
          <w:szCs w:val="22"/>
          <w:lang w:val="es-CL"/>
        </w:rPr>
        <w:t xml:space="preserve">Calendario Indicativo </w:t>
      </w:r>
      <w:r w:rsidR="00A068E9" w:rsidRPr="007C5560">
        <w:rPr>
          <w:b/>
          <w:bCs/>
          <w:i/>
          <w:iCs/>
          <w:sz w:val="22"/>
          <w:szCs w:val="22"/>
          <w:lang w:val="es-CL"/>
        </w:rPr>
        <w:t>para la Convocatoria de Propuestas</w:t>
      </w:r>
    </w:p>
    <w:tbl>
      <w:tblPr>
        <w:tblStyle w:val="GridTable5Dark-Accent3"/>
        <w:tblW w:w="9067" w:type="dxa"/>
        <w:jc w:val="center"/>
        <w:tblLook w:val="04A0" w:firstRow="1" w:lastRow="0" w:firstColumn="1" w:lastColumn="0" w:noHBand="0" w:noVBand="1"/>
      </w:tblPr>
      <w:tblGrid>
        <w:gridCol w:w="421"/>
        <w:gridCol w:w="4677"/>
        <w:gridCol w:w="3969"/>
      </w:tblGrid>
      <w:tr w:rsidR="00EF4DBE" w:rsidRPr="00672AFA" w14:paraId="199583AB" w14:textId="77777777" w:rsidTr="00EF4DB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4A8EB28A" w14:textId="77777777" w:rsidR="00EF4DBE" w:rsidRPr="007C5560" w:rsidRDefault="00EF4DBE" w:rsidP="0070033C">
            <w:pPr>
              <w:jc w:val="both"/>
              <w:rPr>
                <w:lang w:val="es-CL"/>
              </w:rPr>
            </w:pPr>
          </w:p>
        </w:tc>
        <w:tc>
          <w:tcPr>
            <w:tcW w:w="4677" w:type="dxa"/>
            <w:shd w:val="clear" w:color="auto" w:fill="A6A6A6" w:themeFill="background1" w:themeFillShade="A6"/>
          </w:tcPr>
          <w:p w14:paraId="5F642203" w14:textId="40F47798" w:rsidR="00EF4DBE" w:rsidRPr="00672AFA" w:rsidRDefault="00F74960" w:rsidP="0070033C">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ETAPAS</w:t>
            </w:r>
          </w:p>
        </w:tc>
        <w:tc>
          <w:tcPr>
            <w:tcW w:w="3969" w:type="dxa"/>
            <w:shd w:val="clear" w:color="auto" w:fill="A6A6A6" w:themeFill="background1" w:themeFillShade="A6"/>
          </w:tcPr>
          <w:p w14:paraId="1F79AAAD" w14:textId="09A762C1" w:rsidR="00EF4DBE" w:rsidRPr="00672AFA" w:rsidRDefault="00EF6B34" w:rsidP="0070033C">
            <w:pPr>
              <w:jc w:val="center"/>
              <w:cnfStyle w:val="100000000000" w:firstRow="1" w:lastRow="0" w:firstColumn="0" w:lastColumn="0" w:oddVBand="0" w:evenVBand="0" w:oddHBand="0" w:evenHBand="0" w:firstRowFirstColumn="0" w:firstRowLastColumn="0" w:lastRowFirstColumn="0" w:lastRowLastColumn="0"/>
              <w:rPr>
                <w:lang w:val="es-CL"/>
              </w:rPr>
            </w:pPr>
            <w:r>
              <w:rPr>
                <w:lang w:val="es-CL"/>
              </w:rPr>
              <w:t>PERIODO INDICATIVO</w:t>
            </w:r>
          </w:p>
        </w:tc>
      </w:tr>
      <w:tr w:rsidR="001668EB" w:rsidRPr="00672AFA" w14:paraId="5F4F58A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17E90247" w14:textId="77777777" w:rsidR="001668EB" w:rsidRPr="00672AFA" w:rsidRDefault="001668EB" w:rsidP="001668EB">
            <w:pPr>
              <w:jc w:val="both"/>
              <w:rPr>
                <w:lang w:val="es-CL"/>
              </w:rPr>
            </w:pPr>
            <w:r w:rsidRPr="00672AFA">
              <w:rPr>
                <w:lang w:val="es-CL"/>
              </w:rPr>
              <w:t>1</w:t>
            </w:r>
          </w:p>
        </w:tc>
        <w:tc>
          <w:tcPr>
            <w:tcW w:w="4677" w:type="dxa"/>
            <w:shd w:val="clear" w:color="auto" w:fill="D1D1D1" w:themeFill="background2" w:themeFillShade="E6"/>
          </w:tcPr>
          <w:p w14:paraId="61091863" w14:textId="6220B35E" w:rsidR="001668EB" w:rsidRPr="00672AFA" w:rsidRDefault="001668EB" w:rsidP="001668EB">
            <w:pPr>
              <w:jc w:val="both"/>
              <w:cnfStyle w:val="000000100000" w:firstRow="0" w:lastRow="0" w:firstColumn="0" w:lastColumn="0" w:oddVBand="0" w:evenVBand="0" w:oddHBand="1" w:evenHBand="0" w:firstRowFirstColumn="0" w:firstRowLastColumn="0" w:lastRowFirstColumn="0" w:lastRowLastColumn="0"/>
              <w:rPr>
                <w:lang w:val="es-CL"/>
              </w:rPr>
            </w:pPr>
            <w:r w:rsidRPr="0023153A">
              <w:rPr>
                <w:lang w:val="es-CL"/>
              </w:rPr>
              <w:t xml:space="preserve">Lanzamiento y publicación </w:t>
            </w:r>
            <w:r>
              <w:rPr>
                <w:lang w:val="es-CL"/>
              </w:rPr>
              <w:t>de la Convocatoria</w:t>
            </w:r>
          </w:p>
        </w:tc>
        <w:tc>
          <w:tcPr>
            <w:tcW w:w="3969" w:type="dxa"/>
            <w:shd w:val="clear" w:color="auto" w:fill="D1D1D1" w:themeFill="background2" w:themeFillShade="E6"/>
          </w:tcPr>
          <w:p w14:paraId="34F96974" w14:textId="57A2E8C9" w:rsidR="001668EB" w:rsidRPr="00672AFA" w:rsidRDefault="0071524C" w:rsidP="001668EB">
            <w:pPr>
              <w:jc w:val="center"/>
              <w:cnfStyle w:val="000000100000" w:firstRow="0" w:lastRow="0" w:firstColumn="0" w:lastColumn="0" w:oddVBand="0" w:evenVBand="0" w:oddHBand="1" w:evenHBand="0" w:firstRowFirstColumn="0" w:firstRowLastColumn="0" w:lastRowFirstColumn="0" w:lastRowLastColumn="0"/>
              <w:rPr>
                <w:lang w:val="es-CL"/>
              </w:rPr>
            </w:pPr>
            <w:r>
              <w:t xml:space="preserve">2 de </w:t>
            </w:r>
            <w:proofErr w:type="spellStart"/>
            <w:r>
              <w:t>Septiembre</w:t>
            </w:r>
            <w:proofErr w:type="spellEnd"/>
            <w:r>
              <w:t xml:space="preserve"> de 2024</w:t>
            </w:r>
          </w:p>
        </w:tc>
      </w:tr>
      <w:tr w:rsidR="001668EB" w:rsidRPr="00672AFA" w14:paraId="254A2DAA"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02093D37" w14:textId="77777777" w:rsidR="001668EB" w:rsidRPr="00672AFA" w:rsidRDefault="001668EB" w:rsidP="001668EB">
            <w:pPr>
              <w:jc w:val="both"/>
              <w:rPr>
                <w:lang w:val="es-CL"/>
              </w:rPr>
            </w:pPr>
            <w:r w:rsidRPr="00672AFA">
              <w:rPr>
                <w:lang w:val="es-CL"/>
              </w:rPr>
              <w:t>2</w:t>
            </w:r>
          </w:p>
        </w:tc>
        <w:tc>
          <w:tcPr>
            <w:tcW w:w="4677" w:type="dxa"/>
            <w:shd w:val="clear" w:color="auto" w:fill="F2F2F2" w:themeFill="background1" w:themeFillShade="F2"/>
          </w:tcPr>
          <w:p w14:paraId="377E1716" w14:textId="30549911" w:rsidR="001668EB" w:rsidRPr="00672AFA" w:rsidRDefault="001668EB" w:rsidP="001668EB">
            <w:pPr>
              <w:jc w:val="both"/>
              <w:cnfStyle w:val="000000000000" w:firstRow="0" w:lastRow="0" w:firstColumn="0" w:lastColumn="0" w:oddVBand="0" w:evenVBand="0" w:oddHBand="0" w:evenHBand="0" w:firstRowFirstColumn="0" w:firstRowLastColumn="0" w:lastRowFirstColumn="0" w:lastRowLastColumn="0"/>
              <w:rPr>
                <w:lang w:val="es-CL"/>
              </w:rPr>
            </w:pPr>
            <w:r w:rsidRPr="00F4338D">
              <w:rPr>
                <w:lang w:val="es-CL"/>
              </w:rPr>
              <w:t xml:space="preserve">Fecha límite para </w:t>
            </w:r>
            <w:r>
              <w:rPr>
                <w:lang w:val="es-CL"/>
              </w:rPr>
              <w:t>el envío de propuestas</w:t>
            </w:r>
          </w:p>
        </w:tc>
        <w:tc>
          <w:tcPr>
            <w:tcW w:w="3969" w:type="dxa"/>
            <w:shd w:val="clear" w:color="auto" w:fill="F2F2F2" w:themeFill="background1" w:themeFillShade="F2"/>
          </w:tcPr>
          <w:p w14:paraId="7B4871FF" w14:textId="08035B80" w:rsidR="001668EB" w:rsidRPr="00672AFA" w:rsidRDefault="001668EB" w:rsidP="001668EB">
            <w:pPr>
              <w:jc w:val="center"/>
              <w:cnfStyle w:val="000000000000" w:firstRow="0" w:lastRow="0" w:firstColumn="0" w:lastColumn="0" w:oddVBand="0" w:evenVBand="0" w:oddHBand="0" w:evenHBand="0" w:firstRowFirstColumn="0" w:firstRowLastColumn="0" w:lastRowFirstColumn="0" w:lastRowLastColumn="0"/>
              <w:rPr>
                <w:lang w:val="es-CL"/>
              </w:rPr>
            </w:pPr>
            <w:r>
              <w:t xml:space="preserve">18 de </w:t>
            </w:r>
            <w:proofErr w:type="spellStart"/>
            <w:r w:rsidR="0071524C">
              <w:t>O</w:t>
            </w:r>
            <w:r>
              <w:t>ctubre</w:t>
            </w:r>
            <w:proofErr w:type="spellEnd"/>
            <w:r>
              <w:t xml:space="preserve"> de 2024</w:t>
            </w:r>
          </w:p>
        </w:tc>
      </w:tr>
      <w:tr w:rsidR="001668EB" w:rsidRPr="00672AFA" w14:paraId="5AF47D34"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9C68722" w14:textId="77777777" w:rsidR="001668EB" w:rsidRPr="00672AFA" w:rsidRDefault="001668EB" w:rsidP="001668EB">
            <w:pPr>
              <w:jc w:val="both"/>
              <w:rPr>
                <w:lang w:val="es-CL"/>
              </w:rPr>
            </w:pPr>
            <w:r w:rsidRPr="00672AFA">
              <w:rPr>
                <w:lang w:val="es-CL"/>
              </w:rPr>
              <w:t>3</w:t>
            </w:r>
          </w:p>
        </w:tc>
        <w:tc>
          <w:tcPr>
            <w:tcW w:w="4677" w:type="dxa"/>
            <w:shd w:val="clear" w:color="auto" w:fill="D1D1D1" w:themeFill="background2" w:themeFillShade="E6"/>
          </w:tcPr>
          <w:p w14:paraId="403AFBEB" w14:textId="44A0F75A" w:rsidR="001668EB" w:rsidRPr="00672AFA" w:rsidRDefault="001668EB" w:rsidP="001668EB">
            <w:pPr>
              <w:jc w:val="both"/>
              <w:cnfStyle w:val="000000100000" w:firstRow="0" w:lastRow="0" w:firstColumn="0" w:lastColumn="0" w:oddVBand="0" w:evenVBand="0" w:oddHBand="1" w:evenHBand="0" w:firstRowFirstColumn="0" w:firstRowLastColumn="0" w:lastRowFirstColumn="0" w:lastRowLastColumn="0"/>
              <w:rPr>
                <w:lang w:val="es-CL"/>
              </w:rPr>
            </w:pPr>
            <w:r w:rsidRPr="007E4DB2">
              <w:rPr>
                <w:lang w:val="es-CL"/>
              </w:rPr>
              <w:t>Perí</w:t>
            </w:r>
            <w:r>
              <w:rPr>
                <w:lang w:val="es-CL"/>
              </w:rPr>
              <w:t>o</w:t>
            </w:r>
            <w:r w:rsidRPr="007E4DB2">
              <w:rPr>
                <w:lang w:val="es-CL"/>
              </w:rPr>
              <w:t>do de evaluación y selección</w:t>
            </w:r>
          </w:p>
        </w:tc>
        <w:tc>
          <w:tcPr>
            <w:tcW w:w="3969" w:type="dxa"/>
            <w:shd w:val="clear" w:color="auto" w:fill="D1D1D1" w:themeFill="background2" w:themeFillShade="E6"/>
          </w:tcPr>
          <w:p w14:paraId="31DF34AC" w14:textId="32D47074" w:rsidR="001668EB" w:rsidRPr="00672AFA" w:rsidRDefault="001668EB" w:rsidP="001668EB">
            <w:pPr>
              <w:jc w:val="center"/>
              <w:cnfStyle w:val="000000100000" w:firstRow="0" w:lastRow="0" w:firstColumn="0" w:lastColumn="0" w:oddVBand="0" w:evenVBand="0" w:oddHBand="1" w:evenHBand="0" w:firstRowFirstColumn="0" w:firstRowLastColumn="0" w:lastRowFirstColumn="0" w:lastRowLastColumn="0"/>
              <w:rPr>
                <w:lang w:val="es-CL"/>
              </w:rPr>
            </w:pPr>
            <w:proofErr w:type="spellStart"/>
            <w:r>
              <w:t>Octubre</w:t>
            </w:r>
            <w:proofErr w:type="spellEnd"/>
            <w:r>
              <w:t xml:space="preserve"> – </w:t>
            </w:r>
            <w:proofErr w:type="spellStart"/>
            <w:r>
              <w:t>Diciembre</w:t>
            </w:r>
            <w:proofErr w:type="spellEnd"/>
            <w:r>
              <w:t xml:space="preserve"> 2024</w:t>
            </w:r>
          </w:p>
        </w:tc>
      </w:tr>
      <w:tr w:rsidR="001668EB" w:rsidRPr="00672AFA" w14:paraId="49678F25" w14:textId="77777777" w:rsidTr="00EF4DBE">
        <w:trPr>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7074221C" w14:textId="77777777" w:rsidR="001668EB" w:rsidRPr="00672AFA" w:rsidRDefault="001668EB" w:rsidP="001668EB">
            <w:pPr>
              <w:jc w:val="both"/>
              <w:rPr>
                <w:lang w:val="es-CL"/>
              </w:rPr>
            </w:pPr>
            <w:r w:rsidRPr="00672AFA">
              <w:rPr>
                <w:lang w:val="es-CL"/>
              </w:rPr>
              <w:t>4</w:t>
            </w:r>
          </w:p>
        </w:tc>
        <w:tc>
          <w:tcPr>
            <w:tcW w:w="4677" w:type="dxa"/>
            <w:shd w:val="clear" w:color="auto" w:fill="F2F2F2" w:themeFill="background1" w:themeFillShade="F2"/>
          </w:tcPr>
          <w:p w14:paraId="324D6D6E" w14:textId="5FBA74DA" w:rsidR="001668EB" w:rsidRPr="00672AFA" w:rsidRDefault="001668EB" w:rsidP="001668EB">
            <w:pPr>
              <w:jc w:val="both"/>
              <w:cnfStyle w:val="000000000000" w:firstRow="0" w:lastRow="0" w:firstColumn="0" w:lastColumn="0" w:oddVBand="0" w:evenVBand="0" w:oddHBand="0" w:evenHBand="0" w:firstRowFirstColumn="0" w:firstRowLastColumn="0" w:lastRowFirstColumn="0" w:lastRowLastColumn="0"/>
              <w:rPr>
                <w:lang w:val="es-CL"/>
              </w:rPr>
            </w:pPr>
            <w:r w:rsidRPr="007E4DB2">
              <w:rPr>
                <w:lang w:val="es-CL"/>
              </w:rPr>
              <w:t>Notificación a l</w:t>
            </w:r>
            <w:r>
              <w:rPr>
                <w:lang w:val="es-CL"/>
              </w:rPr>
              <w:t xml:space="preserve">as organizaciones </w:t>
            </w:r>
            <w:r w:rsidRPr="007E4DB2">
              <w:rPr>
                <w:lang w:val="es-CL"/>
              </w:rPr>
              <w:t>candidat</w:t>
            </w:r>
            <w:r>
              <w:rPr>
                <w:lang w:val="es-CL"/>
              </w:rPr>
              <w:t>a</w:t>
            </w:r>
            <w:r w:rsidRPr="007E4DB2">
              <w:rPr>
                <w:lang w:val="es-CL"/>
              </w:rPr>
              <w:t>s</w:t>
            </w:r>
          </w:p>
        </w:tc>
        <w:tc>
          <w:tcPr>
            <w:tcW w:w="3969" w:type="dxa"/>
            <w:shd w:val="clear" w:color="auto" w:fill="F2F2F2" w:themeFill="background1" w:themeFillShade="F2"/>
          </w:tcPr>
          <w:p w14:paraId="5F6BE61B" w14:textId="3DBA1867" w:rsidR="001668EB" w:rsidRPr="00672AFA" w:rsidRDefault="001668EB" w:rsidP="001668EB">
            <w:pPr>
              <w:jc w:val="center"/>
              <w:cnfStyle w:val="000000000000" w:firstRow="0" w:lastRow="0" w:firstColumn="0" w:lastColumn="0" w:oddVBand="0" w:evenVBand="0" w:oddHBand="0" w:evenHBand="0" w:firstRowFirstColumn="0" w:firstRowLastColumn="0" w:lastRowFirstColumn="0" w:lastRowLastColumn="0"/>
              <w:rPr>
                <w:lang w:val="es-CL"/>
              </w:rPr>
            </w:pPr>
            <w:proofErr w:type="spellStart"/>
            <w:r>
              <w:t>Diciembre</w:t>
            </w:r>
            <w:proofErr w:type="spellEnd"/>
            <w:r>
              <w:t xml:space="preserve"> 2024 – Enero 2025</w:t>
            </w:r>
          </w:p>
        </w:tc>
      </w:tr>
      <w:tr w:rsidR="001668EB" w:rsidRPr="00672AFA" w14:paraId="05A643B9" w14:textId="77777777" w:rsidTr="00EF4D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1" w:type="dxa"/>
            <w:shd w:val="clear" w:color="auto" w:fill="A6A6A6" w:themeFill="background1" w:themeFillShade="A6"/>
          </w:tcPr>
          <w:p w14:paraId="24EB6984" w14:textId="77777777" w:rsidR="001668EB" w:rsidRPr="00672AFA" w:rsidRDefault="001668EB" w:rsidP="001668EB">
            <w:pPr>
              <w:jc w:val="both"/>
              <w:rPr>
                <w:lang w:val="es-CL"/>
              </w:rPr>
            </w:pPr>
            <w:r w:rsidRPr="00672AFA">
              <w:rPr>
                <w:lang w:val="es-CL"/>
              </w:rPr>
              <w:t>5</w:t>
            </w:r>
          </w:p>
        </w:tc>
        <w:tc>
          <w:tcPr>
            <w:tcW w:w="4677" w:type="dxa"/>
            <w:shd w:val="clear" w:color="auto" w:fill="D1D1D1" w:themeFill="background2" w:themeFillShade="E6"/>
          </w:tcPr>
          <w:p w14:paraId="763BB615" w14:textId="1B91F699" w:rsidR="001668EB" w:rsidRPr="00672AFA" w:rsidRDefault="001668EB" w:rsidP="001668EB">
            <w:pPr>
              <w:jc w:val="both"/>
              <w:cnfStyle w:val="000000100000" w:firstRow="0" w:lastRow="0" w:firstColumn="0" w:lastColumn="0" w:oddVBand="0" w:evenVBand="0" w:oddHBand="1" w:evenHBand="0" w:firstRowFirstColumn="0" w:firstRowLastColumn="0" w:lastRowFirstColumn="0" w:lastRowLastColumn="0"/>
              <w:rPr>
                <w:lang w:val="es-CL"/>
              </w:rPr>
            </w:pPr>
            <w:r w:rsidRPr="007E315A">
              <w:rPr>
                <w:lang w:val="es-CL"/>
              </w:rPr>
              <w:t>Lanzamiento del proceso de contratación</w:t>
            </w:r>
          </w:p>
        </w:tc>
        <w:tc>
          <w:tcPr>
            <w:tcW w:w="3969" w:type="dxa"/>
            <w:shd w:val="clear" w:color="auto" w:fill="D1D1D1" w:themeFill="background2" w:themeFillShade="E6"/>
          </w:tcPr>
          <w:p w14:paraId="6BC52841" w14:textId="6BEDDCCA" w:rsidR="001668EB" w:rsidRPr="00672AFA" w:rsidRDefault="001668EB" w:rsidP="001668EB">
            <w:pPr>
              <w:jc w:val="center"/>
              <w:cnfStyle w:val="000000100000" w:firstRow="0" w:lastRow="0" w:firstColumn="0" w:lastColumn="0" w:oddVBand="0" w:evenVBand="0" w:oddHBand="1" w:evenHBand="0" w:firstRowFirstColumn="0" w:firstRowLastColumn="0" w:lastRowFirstColumn="0" w:lastRowLastColumn="0"/>
              <w:rPr>
                <w:lang w:val="es-CL"/>
              </w:rPr>
            </w:pPr>
            <w:r>
              <w:t xml:space="preserve">Enero – </w:t>
            </w:r>
            <w:proofErr w:type="spellStart"/>
            <w:r>
              <w:t>Febrero</w:t>
            </w:r>
            <w:proofErr w:type="spellEnd"/>
            <w:r>
              <w:t xml:space="preserve"> 2025</w:t>
            </w:r>
          </w:p>
        </w:tc>
      </w:tr>
    </w:tbl>
    <w:p w14:paraId="20CC91FF" w14:textId="77777777" w:rsidR="00BF0CC2" w:rsidRPr="00672AFA" w:rsidRDefault="00BF0CC2" w:rsidP="00A560FA">
      <w:pPr>
        <w:jc w:val="both"/>
        <w:rPr>
          <w:b/>
          <w:bCs/>
          <w:i/>
          <w:iCs/>
          <w:sz w:val="22"/>
          <w:szCs w:val="22"/>
          <w:lang w:val="es-CL"/>
        </w:rPr>
      </w:pPr>
    </w:p>
    <w:p w14:paraId="6ADB08BC" w14:textId="1484E8D0" w:rsidR="004047E5" w:rsidRPr="00672AFA" w:rsidRDefault="004047E5" w:rsidP="004047E5">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VI. </w:t>
      </w:r>
      <w:r w:rsidR="006116A2" w:rsidRPr="006116A2">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PROCESO DE CONTRATACIÓN Y EJECUCIÓN DEL PROYECTO</w:t>
      </w:r>
    </w:p>
    <w:tbl>
      <w:tblPr>
        <w:tblStyle w:val="TableGrid"/>
        <w:tblW w:w="0" w:type="auto"/>
        <w:tblLook w:val="04A0" w:firstRow="1" w:lastRow="0" w:firstColumn="1" w:lastColumn="0" w:noHBand="0" w:noVBand="1"/>
      </w:tblPr>
      <w:tblGrid>
        <w:gridCol w:w="9016"/>
      </w:tblGrid>
      <w:tr w:rsidR="006C6670" w:rsidRPr="0071524C" w14:paraId="66138A9C" w14:textId="77777777" w:rsidTr="00F16F02">
        <w:tc>
          <w:tcPr>
            <w:tcW w:w="9016" w:type="dxa"/>
            <w:tcBorders>
              <w:top w:val="dashed" w:sz="4" w:space="0" w:color="auto"/>
              <w:left w:val="dashed" w:sz="4" w:space="0" w:color="auto"/>
              <w:bottom w:val="dashed" w:sz="4" w:space="0" w:color="auto"/>
              <w:right w:val="dashed" w:sz="4" w:space="0" w:color="auto"/>
            </w:tcBorders>
          </w:tcPr>
          <w:p w14:paraId="67BD5931" w14:textId="39DB5F31" w:rsidR="006C6670" w:rsidRPr="00672AFA" w:rsidRDefault="006568FE" w:rsidP="00F16F02">
            <w:pPr>
              <w:jc w:val="center"/>
              <w:rPr>
                <w:rFonts w:ascii="Calibri" w:hAnsi="Calibri" w:cs="Calibri"/>
                <w:b/>
                <w:bCs/>
                <w:lang w:val="es-CL"/>
              </w:rPr>
            </w:pPr>
            <w:r w:rsidRPr="0025009A">
              <w:rPr>
                <w:b/>
                <w:bCs/>
                <w:color w:val="0C3512" w:themeColor="accent3" w:themeShade="80"/>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DESDE LA EVALUACIÓN HASTA LA FIRMA DE UN ACUERDO DE SOCIOS </w:t>
            </w:r>
            <w:r>
              <w:rPr>
                <w:b/>
                <w:bCs/>
                <w:color w:val="0C3512" w:themeColor="accent3" w:themeShade="80"/>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EJECUTORES</w:t>
            </w:r>
            <w:r w:rsidRPr="00672AFA">
              <w:rPr>
                <w:rFonts w:ascii="Calibri" w:hAnsi="Calibri" w:cs="Calibri"/>
                <w:b/>
                <w:bCs/>
                <w:noProof/>
                <w:lang w:val="es-CL"/>
              </w:rPr>
              <w:t xml:space="preserve"> </w:t>
            </w:r>
            <w:r w:rsidR="006C6670" w:rsidRPr="00672AFA">
              <w:rPr>
                <w:rFonts w:ascii="Calibri" w:hAnsi="Calibri" w:cs="Calibri"/>
                <w:b/>
                <w:bCs/>
                <w:noProof/>
                <w:lang w:val="es-CL"/>
              </w:rPr>
              <w:drawing>
                <wp:inline distT="0" distB="0" distL="0" distR="0" wp14:anchorId="16B96C66" wp14:editId="35DE5B54">
                  <wp:extent cx="5429250" cy="962025"/>
                  <wp:effectExtent l="0" t="0" r="381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tc>
      </w:tr>
    </w:tbl>
    <w:p w14:paraId="78563D6A" w14:textId="77777777" w:rsidR="006C6670" w:rsidRPr="00672AFA" w:rsidRDefault="006C6670" w:rsidP="004047E5">
      <w:pPr>
        <w:jc w:val="both"/>
        <w:rPr>
          <w:sz w:val="22"/>
          <w:szCs w:val="22"/>
          <w:lang w:val="es-CL"/>
        </w:rPr>
      </w:pPr>
    </w:p>
    <w:p w14:paraId="26402EAD" w14:textId="587206DC" w:rsidR="00403BE7" w:rsidRPr="00783821" w:rsidRDefault="00403BE7" w:rsidP="00403BE7">
      <w:pPr>
        <w:jc w:val="both"/>
        <w:rPr>
          <w:sz w:val="22"/>
          <w:szCs w:val="22"/>
          <w:highlight w:val="lightGray"/>
          <w:lang w:val="es-CL"/>
        </w:rPr>
      </w:pPr>
      <w:r w:rsidRPr="00672AFA">
        <w:rPr>
          <w:b/>
          <w:bCs/>
          <w:sz w:val="22"/>
          <w:szCs w:val="22"/>
          <w:highlight w:val="lightGray"/>
          <w:lang w:val="es-CL"/>
        </w:rPr>
        <w:t>6</w:t>
      </w:r>
      <w:r w:rsidRPr="00B92572">
        <w:rPr>
          <w:b/>
          <w:bCs/>
          <w:sz w:val="22"/>
          <w:szCs w:val="22"/>
          <w:highlight w:val="lightGray"/>
          <w:lang w:val="es-CL"/>
        </w:rPr>
        <w:t xml:space="preserve">.1.  </w:t>
      </w:r>
      <w:r w:rsidR="00706FEB" w:rsidRPr="00783821">
        <w:rPr>
          <w:b/>
          <w:bCs/>
          <w:sz w:val="22"/>
          <w:szCs w:val="22"/>
          <w:highlight w:val="lightGray"/>
          <w:lang w:val="es-CL"/>
        </w:rPr>
        <w:t xml:space="preserve">TÉRMINOS DE REFERENCIA DEL </w:t>
      </w:r>
      <w:r w:rsidR="00DC3FAE" w:rsidRPr="00783821">
        <w:rPr>
          <w:b/>
          <w:bCs/>
          <w:sz w:val="22"/>
          <w:szCs w:val="22"/>
          <w:highlight w:val="lightGray"/>
          <w:lang w:val="es-CL"/>
        </w:rPr>
        <w:t xml:space="preserve">ACUERDO </w:t>
      </w:r>
      <w:r w:rsidR="00B92572" w:rsidRPr="00783821">
        <w:rPr>
          <w:b/>
          <w:bCs/>
          <w:sz w:val="22"/>
          <w:szCs w:val="22"/>
          <w:highlight w:val="lightGray"/>
          <w:lang w:val="es-CL"/>
        </w:rPr>
        <w:t xml:space="preserve">&amp; </w:t>
      </w:r>
      <w:r w:rsidR="00783821" w:rsidRPr="00783821">
        <w:rPr>
          <w:b/>
          <w:bCs/>
          <w:sz w:val="22"/>
          <w:szCs w:val="22"/>
          <w:highlight w:val="lightGray"/>
          <w:lang w:val="es-CL"/>
        </w:rPr>
        <w:t>RACIONALIZACIÓN DE LAS ACTIVIDADES/PRESUPUESTO</w:t>
      </w:r>
    </w:p>
    <w:p w14:paraId="2BC18B51" w14:textId="0FF15DD9" w:rsidR="00170842" w:rsidRPr="00170842" w:rsidRDefault="00170842" w:rsidP="00170842">
      <w:pPr>
        <w:jc w:val="both"/>
        <w:rPr>
          <w:sz w:val="22"/>
          <w:szCs w:val="22"/>
          <w:lang w:val="es-CL"/>
        </w:rPr>
      </w:pPr>
      <w:r w:rsidRPr="00170842">
        <w:rPr>
          <w:sz w:val="22"/>
          <w:szCs w:val="22"/>
          <w:lang w:val="es-CL"/>
        </w:rPr>
        <w:t>Luego de la preselección</w:t>
      </w:r>
      <w:r w:rsidRPr="00170842">
        <w:rPr>
          <w:rStyle w:val="FootnoteReference"/>
          <w:sz w:val="22"/>
          <w:szCs w:val="22"/>
        </w:rPr>
        <w:footnoteReference w:id="7"/>
      </w:r>
      <w:r w:rsidRPr="00170842">
        <w:rPr>
          <w:sz w:val="22"/>
          <w:szCs w:val="22"/>
          <w:lang w:val="es-CL"/>
        </w:rPr>
        <w:t xml:space="preserve"> de</w:t>
      </w:r>
      <w:r w:rsidR="005322FD">
        <w:rPr>
          <w:sz w:val="22"/>
          <w:szCs w:val="22"/>
          <w:lang w:val="es-CL"/>
        </w:rPr>
        <w:t xml:space="preserve"> un candidato</w:t>
      </w:r>
      <w:r w:rsidRPr="00170842">
        <w:rPr>
          <w:sz w:val="22"/>
          <w:szCs w:val="22"/>
          <w:lang w:val="es-CL"/>
        </w:rPr>
        <w:t>, la UNESCO</w:t>
      </w:r>
      <w:r w:rsidR="005322FD">
        <w:rPr>
          <w:sz w:val="22"/>
          <w:szCs w:val="22"/>
          <w:lang w:val="es-CL"/>
        </w:rPr>
        <w:t xml:space="preserve"> </w:t>
      </w:r>
      <w:r w:rsidRPr="00170842">
        <w:rPr>
          <w:sz w:val="22"/>
          <w:szCs w:val="22"/>
          <w:lang w:val="es-CL"/>
        </w:rPr>
        <w:t>invitará a</w:t>
      </w:r>
      <w:r w:rsidR="005322FD">
        <w:rPr>
          <w:sz w:val="22"/>
          <w:szCs w:val="22"/>
          <w:lang w:val="es-CL"/>
        </w:rPr>
        <w:t xml:space="preserve"> la organización a</w:t>
      </w:r>
      <w:r w:rsidRPr="00170842">
        <w:rPr>
          <w:sz w:val="22"/>
          <w:szCs w:val="22"/>
          <w:lang w:val="es-CL"/>
        </w:rPr>
        <w:t xml:space="preserve"> iniciar los preparativos para la racionalización, cuando sea necesario, y/o la negociación de los Términos de Referencia (T</w:t>
      </w:r>
      <w:r w:rsidR="005322FD">
        <w:rPr>
          <w:sz w:val="22"/>
          <w:szCs w:val="22"/>
          <w:lang w:val="es-CL"/>
        </w:rPr>
        <w:t>D</w:t>
      </w:r>
      <w:r w:rsidRPr="00170842">
        <w:rPr>
          <w:sz w:val="22"/>
          <w:szCs w:val="22"/>
          <w:lang w:val="es-CL"/>
        </w:rPr>
        <w:t xml:space="preserve">R) del </w:t>
      </w:r>
      <w:r w:rsidRPr="00170842">
        <w:rPr>
          <w:i/>
          <w:iCs/>
          <w:sz w:val="22"/>
          <w:szCs w:val="22"/>
          <w:lang w:val="es-CL"/>
        </w:rPr>
        <w:t>Acuerdo de Socios Ejecutores</w:t>
      </w:r>
      <w:r w:rsidRPr="00170842">
        <w:rPr>
          <w:sz w:val="22"/>
          <w:szCs w:val="22"/>
          <w:lang w:val="es-CL"/>
        </w:rPr>
        <w:t xml:space="preserve"> (IPA</w:t>
      </w:r>
      <w:r w:rsidR="005322FD">
        <w:rPr>
          <w:sz w:val="22"/>
          <w:szCs w:val="22"/>
          <w:lang w:val="es-CL"/>
        </w:rPr>
        <w:t>, por sus siglas en inglés</w:t>
      </w:r>
      <w:r w:rsidRPr="00170842">
        <w:rPr>
          <w:sz w:val="22"/>
          <w:szCs w:val="22"/>
          <w:lang w:val="es-CL"/>
        </w:rPr>
        <w:t xml:space="preserve">) que se </w:t>
      </w:r>
      <w:r w:rsidR="0042249C">
        <w:rPr>
          <w:sz w:val="22"/>
          <w:szCs w:val="22"/>
          <w:lang w:val="es-CL"/>
        </w:rPr>
        <w:t>formalizar</w:t>
      </w:r>
      <w:r w:rsidRPr="00170842">
        <w:rPr>
          <w:sz w:val="22"/>
          <w:szCs w:val="22"/>
          <w:lang w:val="es-CL"/>
        </w:rPr>
        <w:t>á entre la Organización y el socio preseleccionado, en conformidad con las normas y reglamentos administrativos de la UNESCO.</w:t>
      </w:r>
    </w:p>
    <w:p w14:paraId="7E878204" w14:textId="38A6B0E7" w:rsidR="00293B4F" w:rsidRDefault="00293B4F" w:rsidP="00293B4F">
      <w:pPr>
        <w:jc w:val="both"/>
        <w:rPr>
          <w:sz w:val="22"/>
          <w:szCs w:val="22"/>
          <w:lang w:val="es-CL"/>
        </w:rPr>
      </w:pPr>
      <w:r w:rsidRPr="00293B4F">
        <w:rPr>
          <w:sz w:val="22"/>
          <w:szCs w:val="22"/>
          <w:lang w:val="es-CL"/>
        </w:rPr>
        <w:t>Los términos y condiciones de</w:t>
      </w:r>
      <w:r>
        <w:rPr>
          <w:sz w:val="22"/>
          <w:szCs w:val="22"/>
          <w:lang w:val="es-CL"/>
        </w:rPr>
        <w:t>l I</w:t>
      </w:r>
      <w:r w:rsidRPr="00293B4F">
        <w:rPr>
          <w:sz w:val="22"/>
          <w:szCs w:val="22"/>
          <w:lang w:val="es-CL"/>
        </w:rPr>
        <w:t xml:space="preserve">PA </w:t>
      </w:r>
      <w:r>
        <w:rPr>
          <w:sz w:val="22"/>
          <w:szCs w:val="22"/>
          <w:lang w:val="es-CL"/>
        </w:rPr>
        <w:t>se encuentran</w:t>
      </w:r>
      <w:r w:rsidRPr="00293B4F">
        <w:rPr>
          <w:sz w:val="22"/>
          <w:szCs w:val="22"/>
          <w:lang w:val="es-CL"/>
        </w:rPr>
        <w:t xml:space="preserve"> disponibles en el Anexo </w:t>
      </w:r>
      <w:r>
        <w:rPr>
          <w:sz w:val="22"/>
          <w:szCs w:val="22"/>
          <w:lang w:val="es-CL"/>
        </w:rPr>
        <w:t>5</w:t>
      </w:r>
      <w:r w:rsidRPr="00293B4F">
        <w:rPr>
          <w:sz w:val="22"/>
          <w:szCs w:val="22"/>
          <w:lang w:val="es-CL"/>
        </w:rPr>
        <w:t xml:space="preserve"> (</w:t>
      </w:r>
      <w:r>
        <w:rPr>
          <w:sz w:val="22"/>
          <w:szCs w:val="22"/>
          <w:lang w:val="es-CL"/>
        </w:rPr>
        <w:t>M</w:t>
      </w:r>
      <w:r w:rsidRPr="00293B4F">
        <w:rPr>
          <w:sz w:val="22"/>
          <w:szCs w:val="22"/>
          <w:lang w:val="es-CL"/>
        </w:rPr>
        <w:t xml:space="preserve">odelo de Acuerdo de Socios Ejecutores, compartido con el propósito de que los candidatos </w:t>
      </w:r>
      <w:r>
        <w:rPr>
          <w:sz w:val="22"/>
          <w:szCs w:val="22"/>
          <w:lang w:val="es-CL"/>
        </w:rPr>
        <w:t>puedan familiarizarse</w:t>
      </w:r>
      <w:r w:rsidRPr="00293B4F">
        <w:rPr>
          <w:sz w:val="22"/>
          <w:szCs w:val="22"/>
          <w:lang w:val="es-CL"/>
        </w:rPr>
        <w:t xml:space="preserve"> con los términos y condiciones estándar de un IPA).</w:t>
      </w:r>
    </w:p>
    <w:p w14:paraId="210A3804" w14:textId="700A6A77" w:rsidR="00403BE7" w:rsidRPr="007C5560" w:rsidRDefault="00C9281A" w:rsidP="00942ADA">
      <w:pPr>
        <w:jc w:val="both"/>
        <w:rPr>
          <w:sz w:val="22"/>
          <w:szCs w:val="22"/>
          <w:lang w:val="es-CL"/>
        </w:rPr>
      </w:pPr>
      <w:r w:rsidRPr="00BE1A50">
        <w:rPr>
          <w:sz w:val="22"/>
          <w:szCs w:val="22"/>
          <w:lang w:val="es-CL"/>
        </w:rPr>
        <w:t>En el caso en que se produzcan retrasos injustificados en la conclusión del IPA por causas ajenas a la UNESCO, o si no es posible llegar a un acuerdo sobre los Términos de Referencia y/u otros contenidos del IPA,</w:t>
      </w:r>
      <w:r w:rsidR="006303B4">
        <w:rPr>
          <w:sz w:val="22"/>
          <w:szCs w:val="22"/>
          <w:lang w:val="es-CL"/>
        </w:rPr>
        <w:t xml:space="preserve"> o si los resultados del proceso de validación final realizado por la Organización son desfavorables,</w:t>
      </w:r>
      <w:r w:rsidRPr="00BE1A50">
        <w:rPr>
          <w:sz w:val="22"/>
          <w:szCs w:val="22"/>
          <w:lang w:val="es-CL"/>
        </w:rPr>
        <w:t xml:space="preserve"> </w:t>
      </w:r>
      <w:r w:rsidR="00C86725" w:rsidRPr="006303B4">
        <w:rPr>
          <w:sz w:val="22"/>
          <w:szCs w:val="22"/>
          <w:lang w:val="es-CL"/>
        </w:rPr>
        <w:t xml:space="preserve">la oferta de subvención </w:t>
      </w:r>
      <w:r w:rsidR="00C86725">
        <w:rPr>
          <w:sz w:val="22"/>
          <w:szCs w:val="22"/>
          <w:lang w:val="es-CL"/>
        </w:rPr>
        <w:t>podrá</w:t>
      </w:r>
      <w:r w:rsidR="00C86725" w:rsidRPr="006303B4">
        <w:rPr>
          <w:sz w:val="22"/>
          <w:szCs w:val="22"/>
          <w:lang w:val="es-CL"/>
        </w:rPr>
        <w:t xml:space="preserve"> retirarse</w:t>
      </w:r>
      <w:r w:rsidR="00942ADA">
        <w:rPr>
          <w:sz w:val="22"/>
          <w:szCs w:val="22"/>
          <w:lang w:val="es-CL"/>
        </w:rPr>
        <w:t>,</w:t>
      </w:r>
      <w:r w:rsidR="00C86725" w:rsidRPr="006303B4">
        <w:rPr>
          <w:sz w:val="22"/>
          <w:szCs w:val="22"/>
          <w:lang w:val="es-CL"/>
        </w:rPr>
        <w:t xml:space="preserve"> y la subvención </w:t>
      </w:r>
      <w:r w:rsidR="00942ADA">
        <w:rPr>
          <w:sz w:val="22"/>
          <w:szCs w:val="22"/>
          <w:lang w:val="es-CL"/>
        </w:rPr>
        <w:t>podrá</w:t>
      </w:r>
      <w:r w:rsidR="00C86725" w:rsidRPr="006303B4">
        <w:rPr>
          <w:sz w:val="22"/>
          <w:szCs w:val="22"/>
          <w:lang w:val="es-CL"/>
        </w:rPr>
        <w:t xml:space="preserve"> o no otorgarse a </w:t>
      </w:r>
      <w:r w:rsidR="00942ADA">
        <w:rPr>
          <w:sz w:val="22"/>
          <w:szCs w:val="22"/>
          <w:lang w:val="es-CL"/>
        </w:rPr>
        <w:t>otra organización candidata.</w:t>
      </w:r>
    </w:p>
    <w:p w14:paraId="1D99AC92" w14:textId="232F9708" w:rsidR="00C94667" w:rsidRPr="00B22099" w:rsidRDefault="00C94667" w:rsidP="00C94667">
      <w:pPr>
        <w:jc w:val="both"/>
        <w:rPr>
          <w:sz w:val="22"/>
          <w:szCs w:val="22"/>
          <w:highlight w:val="lightGray"/>
          <w:lang w:val="es-CL"/>
        </w:rPr>
      </w:pPr>
      <w:r w:rsidRPr="00672AFA">
        <w:rPr>
          <w:b/>
          <w:bCs/>
          <w:sz w:val="22"/>
          <w:szCs w:val="22"/>
          <w:highlight w:val="lightGray"/>
          <w:lang w:val="es-CL"/>
        </w:rPr>
        <w:t xml:space="preserve">6.2.  </w:t>
      </w:r>
      <w:r w:rsidR="000F1A9A" w:rsidRPr="00B22099">
        <w:rPr>
          <w:b/>
          <w:bCs/>
          <w:sz w:val="22"/>
          <w:szCs w:val="22"/>
          <w:highlight w:val="lightGray"/>
          <w:lang w:val="es-CL"/>
        </w:rPr>
        <w:t>ENTREGA</w:t>
      </w:r>
      <w:r w:rsidR="007A6C49">
        <w:rPr>
          <w:b/>
          <w:bCs/>
          <w:sz w:val="22"/>
          <w:szCs w:val="22"/>
          <w:highlight w:val="lightGray"/>
          <w:lang w:val="es-CL"/>
        </w:rPr>
        <w:t>BLES</w:t>
      </w:r>
      <w:r w:rsidR="000F1A9A" w:rsidRPr="00B22099">
        <w:rPr>
          <w:b/>
          <w:bCs/>
          <w:sz w:val="22"/>
          <w:szCs w:val="22"/>
          <w:highlight w:val="lightGray"/>
          <w:lang w:val="es-CL"/>
        </w:rPr>
        <w:t xml:space="preserve"> Y CALENDARIO </w:t>
      </w:r>
      <w:r w:rsidR="00B22099" w:rsidRPr="00B22099">
        <w:rPr>
          <w:b/>
          <w:bCs/>
          <w:sz w:val="22"/>
          <w:szCs w:val="22"/>
          <w:highlight w:val="lightGray"/>
          <w:lang w:val="es-CL"/>
        </w:rPr>
        <w:t>DE PA</w:t>
      </w:r>
      <w:r w:rsidR="00B22099">
        <w:rPr>
          <w:b/>
          <w:bCs/>
          <w:sz w:val="22"/>
          <w:szCs w:val="22"/>
          <w:highlight w:val="lightGray"/>
          <w:lang w:val="es-CL"/>
        </w:rPr>
        <w:t>GOS</w:t>
      </w:r>
    </w:p>
    <w:p w14:paraId="7B7553A1" w14:textId="317A6452" w:rsidR="004E2960" w:rsidRDefault="004E2960" w:rsidP="005455E7">
      <w:pPr>
        <w:jc w:val="both"/>
        <w:rPr>
          <w:sz w:val="22"/>
          <w:szCs w:val="22"/>
          <w:lang w:val="es-CL"/>
        </w:rPr>
      </w:pPr>
      <w:r w:rsidRPr="004E2960">
        <w:rPr>
          <w:sz w:val="22"/>
          <w:szCs w:val="22"/>
          <w:lang w:val="es-CL"/>
        </w:rPr>
        <w:t>El monto total de la contribución del GMDF se</w:t>
      </w:r>
      <w:r>
        <w:rPr>
          <w:sz w:val="22"/>
          <w:szCs w:val="22"/>
          <w:lang w:val="es-CL"/>
        </w:rPr>
        <w:t>rá</w:t>
      </w:r>
      <w:r w:rsidRPr="004E2960">
        <w:rPr>
          <w:sz w:val="22"/>
          <w:szCs w:val="22"/>
          <w:lang w:val="es-CL"/>
        </w:rPr>
        <w:t xml:space="preserve"> transferi</w:t>
      </w:r>
      <w:r>
        <w:rPr>
          <w:sz w:val="22"/>
          <w:szCs w:val="22"/>
          <w:lang w:val="es-CL"/>
        </w:rPr>
        <w:t>do</w:t>
      </w:r>
      <w:r w:rsidRPr="004E2960">
        <w:rPr>
          <w:sz w:val="22"/>
          <w:szCs w:val="22"/>
          <w:lang w:val="es-CL"/>
        </w:rPr>
        <w:t xml:space="preserve"> a los socios </w:t>
      </w:r>
      <w:r>
        <w:rPr>
          <w:sz w:val="22"/>
          <w:szCs w:val="22"/>
          <w:lang w:val="es-CL"/>
        </w:rPr>
        <w:t>ejecutores</w:t>
      </w:r>
      <w:r w:rsidRPr="004E2960">
        <w:rPr>
          <w:sz w:val="22"/>
          <w:szCs w:val="22"/>
          <w:lang w:val="es-CL"/>
        </w:rPr>
        <w:t xml:space="preserve"> seleccionados en cuotas (al inicio del proyecto, a mitad del proyecto y al finalizar el proyecto), cuyo pago dependerá de la presentación y aprobación de</w:t>
      </w:r>
      <w:r w:rsidR="00417500">
        <w:rPr>
          <w:sz w:val="22"/>
          <w:szCs w:val="22"/>
          <w:lang w:val="es-CL"/>
        </w:rPr>
        <w:t xml:space="preserve"> entrega</w:t>
      </w:r>
      <w:r w:rsidR="007A6C49">
        <w:rPr>
          <w:sz w:val="22"/>
          <w:szCs w:val="22"/>
          <w:lang w:val="es-CL"/>
        </w:rPr>
        <w:t>bles</w:t>
      </w:r>
      <w:r w:rsidR="00417500">
        <w:rPr>
          <w:sz w:val="22"/>
          <w:szCs w:val="22"/>
          <w:lang w:val="es-CL"/>
        </w:rPr>
        <w:t xml:space="preserve"> </w:t>
      </w:r>
      <w:r w:rsidRPr="004E2960">
        <w:rPr>
          <w:sz w:val="22"/>
          <w:szCs w:val="22"/>
          <w:lang w:val="es-CL"/>
        </w:rPr>
        <w:t xml:space="preserve">que informarán a la UNESCO sobre el progreso real en la </w:t>
      </w:r>
      <w:r w:rsidR="00E73920">
        <w:rPr>
          <w:sz w:val="22"/>
          <w:szCs w:val="22"/>
          <w:lang w:val="es-CL"/>
        </w:rPr>
        <w:t>ejecución</w:t>
      </w:r>
      <w:r w:rsidR="007A6C49">
        <w:rPr>
          <w:sz w:val="22"/>
          <w:szCs w:val="22"/>
          <w:lang w:val="es-CL"/>
        </w:rPr>
        <w:t xml:space="preserve"> del proyecto</w:t>
      </w:r>
      <w:r w:rsidR="00E73920">
        <w:rPr>
          <w:sz w:val="22"/>
          <w:szCs w:val="22"/>
          <w:lang w:val="es-CL"/>
        </w:rPr>
        <w:t>.</w:t>
      </w:r>
    </w:p>
    <w:p w14:paraId="1DA5C819" w14:textId="11208CF7" w:rsidR="00FF5AE1" w:rsidRDefault="00FF5AE1" w:rsidP="005455E7">
      <w:pPr>
        <w:jc w:val="both"/>
        <w:rPr>
          <w:sz w:val="22"/>
          <w:szCs w:val="22"/>
          <w:lang w:val="es-CL"/>
        </w:rPr>
      </w:pPr>
      <w:r w:rsidRPr="00FF5AE1">
        <w:rPr>
          <w:sz w:val="22"/>
          <w:szCs w:val="22"/>
          <w:lang w:val="es-CL"/>
        </w:rPr>
        <w:t xml:space="preserve">La primera cuota del contrato no </w:t>
      </w:r>
      <w:r>
        <w:rPr>
          <w:sz w:val="22"/>
          <w:szCs w:val="22"/>
          <w:lang w:val="es-CL"/>
        </w:rPr>
        <w:t>podr</w:t>
      </w:r>
      <w:r w:rsidRPr="00FF5AE1">
        <w:rPr>
          <w:sz w:val="22"/>
          <w:szCs w:val="22"/>
          <w:lang w:val="es-CL"/>
        </w:rPr>
        <w:t xml:space="preserve">á exceder </w:t>
      </w:r>
      <w:r>
        <w:rPr>
          <w:sz w:val="22"/>
          <w:szCs w:val="22"/>
          <w:lang w:val="es-CL"/>
        </w:rPr>
        <w:t>el monto correspondiente a</w:t>
      </w:r>
      <w:r w:rsidRPr="00FF5AE1">
        <w:rPr>
          <w:sz w:val="22"/>
          <w:szCs w:val="22"/>
          <w:lang w:val="es-CL"/>
        </w:rPr>
        <w:t xml:space="preserve"> 90 días de necesidades opera</w:t>
      </w:r>
      <w:r w:rsidR="00A34043">
        <w:rPr>
          <w:sz w:val="22"/>
          <w:szCs w:val="22"/>
          <w:lang w:val="es-CL"/>
        </w:rPr>
        <w:t>cionales</w:t>
      </w:r>
      <w:r w:rsidRPr="00FF5AE1">
        <w:rPr>
          <w:sz w:val="22"/>
          <w:szCs w:val="22"/>
          <w:lang w:val="es-CL"/>
        </w:rPr>
        <w:t xml:space="preserve">, </w:t>
      </w:r>
      <w:r w:rsidR="00A34043">
        <w:rPr>
          <w:sz w:val="22"/>
          <w:szCs w:val="22"/>
          <w:lang w:val="es-CL"/>
        </w:rPr>
        <w:t>a pagarse</w:t>
      </w:r>
      <w:r w:rsidRPr="00FF5AE1">
        <w:rPr>
          <w:sz w:val="22"/>
          <w:szCs w:val="22"/>
          <w:lang w:val="es-CL"/>
        </w:rPr>
        <w:t xml:space="preserve"> contra la recepción y aprobación de un informe inicial, mientras que la última cuota deberá representar al menos el 10% del presupuesto total del proyecto financiado por la UNESCO</w:t>
      </w:r>
      <w:r w:rsidR="00FD0304">
        <w:rPr>
          <w:sz w:val="22"/>
          <w:szCs w:val="22"/>
          <w:lang w:val="es-CL"/>
        </w:rPr>
        <w:t>,</w:t>
      </w:r>
      <w:r w:rsidRPr="00FF5AE1">
        <w:rPr>
          <w:sz w:val="22"/>
          <w:szCs w:val="22"/>
          <w:lang w:val="es-CL"/>
        </w:rPr>
        <w:t xml:space="preserve"> pagadera contra la recepción y aprobación de</w:t>
      </w:r>
      <w:r w:rsidR="002F56FF">
        <w:rPr>
          <w:sz w:val="22"/>
          <w:szCs w:val="22"/>
          <w:lang w:val="es-CL"/>
        </w:rPr>
        <w:t xml:space="preserve"> un</w:t>
      </w:r>
      <w:r w:rsidRPr="00FF5AE1">
        <w:rPr>
          <w:sz w:val="22"/>
          <w:szCs w:val="22"/>
          <w:lang w:val="es-CL"/>
        </w:rPr>
        <w:t xml:space="preserve"> informe </w:t>
      </w:r>
      <w:r w:rsidR="00FD0304">
        <w:rPr>
          <w:sz w:val="22"/>
          <w:szCs w:val="22"/>
          <w:lang w:val="es-CL"/>
        </w:rPr>
        <w:t>final narrativo</w:t>
      </w:r>
      <w:r w:rsidR="007C65EC">
        <w:rPr>
          <w:rStyle w:val="FootnoteReference"/>
          <w:sz w:val="22"/>
          <w:szCs w:val="22"/>
          <w:lang w:val="es-CL"/>
        </w:rPr>
        <w:footnoteReference w:id="8"/>
      </w:r>
      <w:r w:rsidR="00FD0304">
        <w:rPr>
          <w:sz w:val="22"/>
          <w:szCs w:val="22"/>
          <w:lang w:val="es-CL"/>
        </w:rPr>
        <w:t xml:space="preserve"> y</w:t>
      </w:r>
      <w:r w:rsidR="002F56FF">
        <w:rPr>
          <w:sz w:val="22"/>
          <w:szCs w:val="22"/>
          <w:lang w:val="es-CL"/>
        </w:rPr>
        <w:t xml:space="preserve"> un informe final</w:t>
      </w:r>
      <w:r w:rsidR="00FD0304">
        <w:rPr>
          <w:sz w:val="22"/>
          <w:szCs w:val="22"/>
          <w:lang w:val="es-CL"/>
        </w:rPr>
        <w:t xml:space="preserve"> </w:t>
      </w:r>
      <w:r w:rsidRPr="00FF5AE1">
        <w:rPr>
          <w:sz w:val="22"/>
          <w:szCs w:val="22"/>
          <w:lang w:val="es-CL"/>
        </w:rPr>
        <w:t>financiero certificado</w:t>
      </w:r>
      <w:r w:rsidR="00702DAD">
        <w:rPr>
          <w:rStyle w:val="FootnoteReference"/>
          <w:sz w:val="22"/>
          <w:szCs w:val="22"/>
          <w:lang w:val="es-CL"/>
        </w:rPr>
        <w:footnoteReference w:id="9"/>
      </w:r>
      <w:r w:rsidRPr="00FF5AE1">
        <w:rPr>
          <w:sz w:val="22"/>
          <w:szCs w:val="22"/>
          <w:lang w:val="es-CL"/>
        </w:rPr>
        <w:t>.</w:t>
      </w:r>
    </w:p>
    <w:p w14:paraId="756F55F8" w14:textId="5A1A53C7" w:rsidR="00444CF3" w:rsidRDefault="00444CF3" w:rsidP="005455E7">
      <w:pPr>
        <w:jc w:val="both"/>
        <w:rPr>
          <w:sz w:val="22"/>
          <w:szCs w:val="22"/>
          <w:lang w:val="es-CL"/>
        </w:rPr>
      </w:pPr>
      <w:r w:rsidRPr="00444CF3">
        <w:rPr>
          <w:sz w:val="22"/>
          <w:szCs w:val="22"/>
          <w:lang w:val="es-CL"/>
        </w:rPr>
        <w:lastRenderedPageBreak/>
        <w:t xml:space="preserve">El número de informes narrativos </w:t>
      </w:r>
      <w:r>
        <w:rPr>
          <w:sz w:val="22"/>
          <w:szCs w:val="22"/>
          <w:lang w:val="es-CL"/>
        </w:rPr>
        <w:t xml:space="preserve">de progreso </w:t>
      </w:r>
      <w:r w:rsidRPr="00444CF3">
        <w:rPr>
          <w:sz w:val="22"/>
          <w:szCs w:val="22"/>
          <w:lang w:val="es-CL"/>
        </w:rPr>
        <w:t xml:space="preserve">se determinará durante la negociación de los términos de referencia del IPA que se </w:t>
      </w:r>
      <w:r>
        <w:rPr>
          <w:sz w:val="22"/>
          <w:szCs w:val="22"/>
          <w:lang w:val="es-CL"/>
        </w:rPr>
        <w:t>formalizará</w:t>
      </w:r>
      <w:r w:rsidRPr="00444CF3">
        <w:rPr>
          <w:sz w:val="22"/>
          <w:szCs w:val="22"/>
          <w:lang w:val="es-CL"/>
        </w:rPr>
        <w:t xml:space="preserve"> entre la Organización y el socio preseleccionado, y dependerá de factores</w:t>
      </w:r>
      <w:r>
        <w:rPr>
          <w:sz w:val="22"/>
          <w:szCs w:val="22"/>
          <w:lang w:val="es-CL"/>
        </w:rPr>
        <w:t xml:space="preserve"> tales</w:t>
      </w:r>
      <w:r w:rsidRPr="00444CF3">
        <w:rPr>
          <w:sz w:val="22"/>
          <w:szCs w:val="22"/>
          <w:lang w:val="es-CL"/>
        </w:rPr>
        <w:t xml:space="preserve"> como la duración de la acción, el desempeño satisfactorio previo del socio, la naturaleza de las actividades del proyecto, etc. </w:t>
      </w:r>
      <w:r w:rsidR="00A80F17">
        <w:rPr>
          <w:sz w:val="22"/>
          <w:szCs w:val="22"/>
          <w:lang w:val="es-CL"/>
        </w:rPr>
        <w:t>En conformidad con las reglas de la UNESCO,</w:t>
      </w:r>
      <w:r w:rsidRPr="00444CF3">
        <w:rPr>
          <w:sz w:val="22"/>
          <w:szCs w:val="22"/>
          <w:lang w:val="es-CL"/>
        </w:rPr>
        <w:t xml:space="preserve"> se exigirá </w:t>
      </w:r>
      <w:r w:rsidR="00A80F17">
        <w:rPr>
          <w:sz w:val="22"/>
          <w:szCs w:val="22"/>
          <w:lang w:val="es-CL"/>
        </w:rPr>
        <w:t xml:space="preserve">también </w:t>
      </w:r>
      <w:r w:rsidRPr="00444CF3">
        <w:rPr>
          <w:sz w:val="22"/>
          <w:szCs w:val="22"/>
          <w:lang w:val="es-CL"/>
        </w:rPr>
        <w:t xml:space="preserve">la presentación de un informe financiero trimestral, además de la presentación de las actas de las reuniones del proyecto. En el caso de contratos de mayor valor, </w:t>
      </w:r>
      <w:r w:rsidR="008C0476">
        <w:rPr>
          <w:sz w:val="22"/>
          <w:szCs w:val="22"/>
          <w:lang w:val="es-CL"/>
        </w:rPr>
        <w:t xml:space="preserve">la UNESCO podrá exigir un control de mitad de período </w:t>
      </w:r>
      <w:r w:rsidRPr="00444CF3">
        <w:rPr>
          <w:sz w:val="22"/>
          <w:szCs w:val="22"/>
          <w:lang w:val="es-CL"/>
        </w:rPr>
        <w:t xml:space="preserve">mediante </w:t>
      </w:r>
      <w:r w:rsidR="006B7F62">
        <w:rPr>
          <w:sz w:val="22"/>
          <w:szCs w:val="22"/>
          <w:lang w:val="es-CL"/>
        </w:rPr>
        <w:t xml:space="preserve">el </w:t>
      </w:r>
      <w:r w:rsidRPr="00444CF3">
        <w:rPr>
          <w:sz w:val="22"/>
          <w:szCs w:val="22"/>
          <w:lang w:val="es-CL"/>
        </w:rPr>
        <w:t>seguimiento remoto o una verificación in situ</w:t>
      </w:r>
      <w:r w:rsidR="008C0476">
        <w:rPr>
          <w:sz w:val="22"/>
          <w:szCs w:val="22"/>
          <w:lang w:val="es-CL"/>
        </w:rPr>
        <w:t>.</w:t>
      </w:r>
    </w:p>
    <w:p w14:paraId="5F39D78E" w14:textId="2C8E6FD3" w:rsidR="00CD7981" w:rsidRDefault="00CD7981" w:rsidP="005455E7">
      <w:pPr>
        <w:jc w:val="both"/>
        <w:rPr>
          <w:sz w:val="22"/>
          <w:szCs w:val="22"/>
          <w:lang w:val="es-CL"/>
        </w:rPr>
      </w:pPr>
      <w:r>
        <w:rPr>
          <w:sz w:val="22"/>
          <w:szCs w:val="22"/>
          <w:lang w:val="es-CL"/>
        </w:rPr>
        <w:t xml:space="preserve">La UNESCO proporcionará los modelos estándar </w:t>
      </w:r>
      <w:r w:rsidR="0004615B">
        <w:rPr>
          <w:sz w:val="22"/>
          <w:szCs w:val="22"/>
          <w:lang w:val="es-CL"/>
        </w:rPr>
        <w:t xml:space="preserve">para los informes mencionados anteriormente. </w:t>
      </w:r>
      <w:r>
        <w:rPr>
          <w:sz w:val="22"/>
          <w:szCs w:val="22"/>
          <w:lang w:val="es-CL"/>
        </w:rPr>
        <w:t xml:space="preserve"> </w:t>
      </w:r>
      <w:r w:rsidR="00FB79D9" w:rsidRPr="00FB79D9">
        <w:rPr>
          <w:sz w:val="22"/>
          <w:szCs w:val="22"/>
          <w:lang w:val="es-CL"/>
        </w:rPr>
        <w:t>Los informes del proyecto deberán ser entregados en inglés, f</w:t>
      </w:r>
      <w:r w:rsidR="00FB79D9">
        <w:rPr>
          <w:sz w:val="22"/>
          <w:szCs w:val="22"/>
          <w:lang w:val="es-CL"/>
        </w:rPr>
        <w:t xml:space="preserve">rancés, o español. </w:t>
      </w:r>
    </w:p>
    <w:p w14:paraId="2E66537B" w14:textId="5F809542" w:rsidR="007A5DE9" w:rsidRDefault="007A5DE9" w:rsidP="005455E7">
      <w:pPr>
        <w:jc w:val="both"/>
        <w:rPr>
          <w:sz w:val="22"/>
          <w:szCs w:val="22"/>
          <w:lang w:val="es-CL"/>
        </w:rPr>
      </w:pPr>
      <w:r w:rsidRPr="007A5DE9">
        <w:rPr>
          <w:sz w:val="22"/>
          <w:szCs w:val="22"/>
          <w:lang w:val="es-CL"/>
        </w:rPr>
        <w:t>Todos los pagos del contrato dependerán de la certificación</w:t>
      </w:r>
      <w:r>
        <w:rPr>
          <w:sz w:val="22"/>
          <w:szCs w:val="22"/>
          <w:lang w:val="es-CL"/>
        </w:rPr>
        <w:t>,</w:t>
      </w:r>
      <w:r w:rsidRPr="007A5DE9">
        <w:rPr>
          <w:sz w:val="22"/>
          <w:szCs w:val="22"/>
          <w:lang w:val="es-CL"/>
        </w:rPr>
        <w:t xml:space="preserve"> por parte del </w:t>
      </w:r>
      <w:proofErr w:type="gramStart"/>
      <w:r w:rsidRPr="007A5DE9">
        <w:rPr>
          <w:sz w:val="22"/>
          <w:szCs w:val="22"/>
          <w:lang w:val="es-CL"/>
        </w:rPr>
        <w:t>Funcionario</w:t>
      </w:r>
      <w:proofErr w:type="gramEnd"/>
      <w:r w:rsidRPr="007A5DE9">
        <w:rPr>
          <w:sz w:val="22"/>
          <w:szCs w:val="22"/>
          <w:lang w:val="es-CL"/>
        </w:rPr>
        <w:t xml:space="preserve"> de la UNESCO responsable del IPA</w:t>
      </w:r>
      <w:r>
        <w:rPr>
          <w:sz w:val="22"/>
          <w:szCs w:val="22"/>
          <w:lang w:val="es-CL"/>
        </w:rPr>
        <w:t>,</w:t>
      </w:r>
      <w:r w:rsidRPr="007A5DE9">
        <w:rPr>
          <w:sz w:val="22"/>
          <w:szCs w:val="22"/>
          <w:lang w:val="es-CL"/>
        </w:rPr>
        <w:t xml:space="preserve"> de</w:t>
      </w:r>
      <w:r>
        <w:rPr>
          <w:sz w:val="22"/>
          <w:szCs w:val="22"/>
          <w:lang w:val="es-CL"/>
        </w:rPr>
        <w:t xml:space="preserve"> la ejecución </w:t>
      </w:r>
      <w:r w:rsidRPr="007A5DE9">
        <w:rPr>
          <w:sz w:val="22"/>
          <w:szCs w:val="22"/>
          <w:lang w:val="es-CL"/>
        </w:rPr>
        <w:t>satisfactori</w:t>
      </w:r>
      <w:r>
        <w:rPr>
          <w:sz w:val="22"/>
          <w:szCs w:val="22"/>
          <w:lang w:val="es-CL"/>
        </w:rPr>
        <w:t>a</w:t>
      </w:r>
      <w:r w:rsidRPr="007A5DE9">
        <w:rPr>
          <w:sz w:val="22"/>
          <w:szCs w:val="22"/>
          <w:lang w:val="es-CL"/>
        </w:rPr>
        <w:t xml:space="preserve"> del trabajo por parte del socio antes de la fecha de pago de cada cuota.</w:t>
      </w:r>
    </w:p>
    <w:p w14:paraId="3FFC12A8" w14:textId="10A58F15" w:rsidR="00C67ED6" w:rsidRPr="00C67ED6" w:rsidRDefault="00C67ED6" w:rsidP="00C67ED6">
      <w:pPr>
        <w:jc w:val="both"/>
        <w:rPr>
          <w:sz w:val="22"/>
          <w:szCs w:val="22"/>
          <w:lang w:val="es-CL"/>
        </w:rPr>
      </w:pPr>
      <w:r w:rsidRPr="00C67ED6">
        <w:rPr>
          <w:sz w:val="22"/>
          <w:szCs w:val="22"/>
          <w:lang w:val="es-CL"/>
        </w:rPr>
        <w:t>Los socios deberán presentar una factura firmada o una solicitud de pago en formato de factura para el pago de cada cuota del contrato. Salvo excepciones justificadas (</w:t>
      </w:r>
      <w:proofErr w:type="spellStart"/>
      <w:r w:rsidRPr="00C67ED6">
        <w:rPr>
          <w:sz w:val="22"/>
          <w:szCs w:val="22"/>
          <w:lang w:val="es-CL"/>
        </w:rPr>
        <w:t>e.g</w:t>
      </w:r>
      <w:proofErr w:type="spellEnd"/>
      <w:r w:rsidRPr="00C67ED6">
        <w:rPr>
          <w:sz w:val="22"/>
          <w:szCs w:val="22"/>
          <w:lang w:val="es-CL"/>
        </w:rPr>
        <w:t xml:space="preserve">. cuenta bancaria en </w:t>
      </w:r>
      <w:proofErr w:type="gramStart"/>
      <w:r w:rsidR="00E97271">
        <w:rPr>
          <w:sz w:val="22"/>
          <w:szCs w:val="22"/>
          <w:lang w:val="es-CL"/>
        </w:rPr>
        <w:t>E</w:t>
      </w:r>
      <w:r w:rsidRPr="00C67ED6">
        <w:rPr>
          <w:sz w:val="22"/>
          <w:szCs w:val="22"/>
          <w:lang w:val="es-CL"/>
        </w:rPr>
        <w:t>uros</w:t>
      </w:r>
      <w:proofErr w:type="gramEnd"/>
      <w:r w:rsidRPr="00C67ED6">
        <w:rPr>
          <w:sz w:val="22"/>
          <w:szCs w:val="22"/>
          <w:lang w:val="es-CL"/>
        </w:rPr>
        <w:t>), las cuotas se pagarán en dólares estadounidenses.</w:t>
      </w:r>
    </w:p>
    <w:p w14:paraId="4B800816" w14:textId="320A1317" w:rsidR="006D468F" w:rsidRPr="00672AFA" w:rsidRDefault="006D468F" w:rsidP="006D468F">
      <w:pPr>
        <w:shd w:val="clear" w:color="auto" w:fill="215E99" w:themeFill="text2" w:themeFillTint="BF"/>
        <w:tabs>
          <w:tab w:val="center" w:pos="4536"/>
          <w:tab w:val="left" w:pos="7095"/>
        </w:tabs>
        <w:spacing w:before="240" w:after="100" w:afterAutospacing="1"/>
        <w:jc w:val="both"/>
        <w:outlineLvl w:val="2"/>
        <w:rPr>
          <w:rFonts w:cs="Arial"/>
          <w:b/>
          <w:bCs/>
          <w:color w:val="FFFFFF" w:themeColor="background1"/>
          <w:sz w:val="44"/>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672AFA">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VII. </w:t>
      </w:r>
      <w:r w:rsidR="00A022E4">
        <w:rPr>
          <w:rFonts w:cs="Arial"/>
          <w:b/>
          <w:bCs/>
          <w:color w:val="FFFFFF" w:themeColor="background1"/>
          <w:szCs w:val="44"/>
          <w:lang w:val="es-C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PRESENTACIÓN DE PROPUESTAS DE ASOCIACIÓN</w:t>
      </w:r>
    </w:p>
    <w:p w14:paraId="5AD11578" w14:textId="4276C9B6" w:rsidR="00BC45E1" w:rsidRPr="005B1C75" w:rsidRDefault="005B1C75" w:rsidP="005B1C75">
      <w:pPr>
        <w:jc w:val="both"/>
        <w:rPr>
          <w:sz w:val="22"/>
          <w:szCs w:val="22"/>
          <w:lang w:val="es-CL"/>
        </w:rPr>
      </w:pPr>
      <w:r w:rsidRPr="005B1C75">
        <w:rPr>
          <w:sz w:val="22"/>
          <w:szCs w:val="22"/>
          <w:lang w:val="es-CL"/>
        </w:rPr>
        <w:t xml:space="preserve">Toda la información necesaria para preparar una propuesta de </w:t>
      </w:r>
      <w:r>
        <w:rPr>
          <w:sz w:val="22"/>
          <w:szCs w:val="22"/>
          <w:lang w:val="es-CL"/>
        </w:rPr>
        <w:t>asociación</w:t>
      </w:r>
      <w:r w:rsidRPr="005B1C75">
        <w:rPr>
          <w:sz w:val="22"/>
          <w:szCs w:val="22"/>
          <w:lang w:val="es-CL"/>
        </w:rPr>
        <w:t xml:space="preserve"> se encuentra disponible en el sitio web del Mercado Mundial de las Naciones Unidas (UNGM</w:t>
      </w:r>
      <w:r>
        <w:rPr>
          <w:sz w:val="22"/>
          <w:szCs w:val="22"/>
          <w:lang w:val="es-CL"/>
        </w:rPr>
        <w:t>, por sus siglas en inglés).</w:t>
      </w:r>
    </w:p>
    <w:p w14:paraId="07B1ABB4" w14:textId="46CD47E7" w:rsidR="005B1DA2" w:rsidRDefault="00E80BE0" w:rsidP="00E80BE0">
      <w:pPr>
        <w:jc w:val="both"/>
        <w:rPr>
          <w:sz w:val="22"/>
          <w:szCs w:val="22"/>
          <w:lang w:val="es-CL"/>
        </w:rPr>
      </w:pPr>
      <w:r w:rsidRPr="00672AFA">
        <w:rPr>
          <w:b/>
          <w:bCs/>
          <w:sz w:val="22"/>
          <w:szCs w:val="22"/>
          <w:u w:val="single"/>
          <w:lang w:val="es-CL"/>
        </w:rPr>
        <w:t>CHECKLIST</w:t>
      </w:r>
      <w:r w:rsidRPr="00672AFA">
        <w:rPr>
          <w:sz w:val="22"/>
          <w:szCs w:val="22"/>
          <w:lang w:val="es-CL"/>
        </w:rPr>
        <w:t xml:space="preserve">: </w:t>
      </w:r>
      <w:proofErr w:type="gramStart"/>
      <w:r w:rsidR="005B1DA2" w:rsidRPr="005B1DA2">
        <w:rPr>
          <w:sz w:val="22"/>
          <w:szCs w:val="22"/>
          <w:lang w:val="es-CL"/>
        </w:rPr>
        <w:t xml:space="preserve">Todos </w:t>
      </w:r>
      <w:r w:rsidR="001202A7">
        <w:rPr>
          <w:sz w:val="22"/>
          <w:szCs w:val="22"/>
          <w:lang w:val="es-CL"/>
        </w:rPr>
        <w:t>las organizaciones</w:t>
      </w:r>
      <w:proofErr w:type="gramEnd"/>
      <w:r w:rsidR="001202A7">
        <w:rPr>
          <w:sz w:val="22"/>
          <w:szCs w:val="22"/>
          <w:lang w:val="es-CL"/>
        </w:rPr>
        <w:t xml:space="preserve"> candidatas </w:t>
      </w:r>
      <w:r w:rsidR="005B1DA2" w:rsidRPr="005B1DA2">
        <w:rPr>
          <w:sz w:val="22"/>
          <w:szCs w:val="22"/>
          <w:lang w:val="es-CL"/>
        </w:rPr>
        <w:t xml:space="preserve">deben presentar los siguientes </w:t>
      </w:r>
      <w:r w:rsidR="005B1DA2" w:rsidRPr="005B1DA2">
        <w:rPr>
          <w:b/>
          <w:bCs/>
          <w:sz w:val="22"/>
          <w:szCs w:val="22"/>
          <w:lang w:val="es-CL"/>
        </w:rPr>
        <w:t>formularios y documentos justificativos</w:t>
      </w:r>
      <w:r w:rsidR="005B1DA2" w:rsidRPr="005B1DA2">
        <w:rPr>
          <w:sz w:val="22"/>
          <w:szCs w:val="22"/>
          <w:lang w:val="es-CL"/>
        </w:rPr>
        <w:t>:</w:t>
      </w:r>
    </w:p>
    <w:p w14:paraId="28878D54" w14:textId="544FF4BE" w:rsidR="00E80BE0" w:rsidRPr="0039097E" w:rsidRDefault="001A3E0F" w:rsidP="00E80BE0">
      <w:pPr>
        <w:pStyle w:val="ListParagraph"/>
        <w:numPr>
          <w:ilvl w:val="0"/>
          <w:numId w:val="24"/>
        </w:numPr>
        <w:spacing w:line="259" w:lineRule="auto"/>
        <w:jc w:val="both"/>
        <w:rPr>
          <w:sz w:val="22"/>
          <w:szCs w:val="22"/>
          <w:lang w:val="es-CL"/>
        </w:rPr>
      </w:pPr>
      <w:r w:rsidRPr="0039097E">
        <w:rPr>
          <w:sz w:val="22"/>
          <w:szCs w:val="22"/>
          <w:lang w:val="es-CL"/>
        </w:rPr>
        <w:t>Formulario de Candidatura</w:t>
      </w:r>
      <w:r w:rsidR="00E80BE0" w:rsidRPr="0039097E">
        <w:rPr>
          <w:sz w:val="22"/>
          <w:szCs w:val="22"/>
          <w:lang w:val="es-CL"/>
        </w:rPr>
        <w:t xml:space="preserve"> </w:t>
      </w:r>
      <w:r w:rsidR="00A2127A" w:rsidRPr="0039097E">
        <w:rPr>
          <w:sz w:val="22"/>
          <w:szCs w:val="22"/>
          <w:lang w:val="es-CL"/>
        </w:rPr>
        <w:t>(An</w:t>
      </w:r>
      <w:r w:rsidRPr="0039097E">
        <w:rPr>
          <w:sz w:val="22"/>
          <w:szCs w:val="22"/>
          <w:lang w:val="es-CL"/>
        </w:rPr>
        <w:t>e</w:t>
      </w:r>
      <w:r w:rsidR="00A2127A" w:rsidRPr="0039097E">
        <w:rPr>
          <w:sz w:val="22"/>
          <w:szCs w:val="22"/>
          <w:lang w:val="es-CL"/>
        </w:rPr>
        <w:t>x</w:t>
      </w:r>
      <w:r w:rsidRPr="0039097E">
        <w:rPr>
          <w:sz w:val="22"/>
          <w:szCs w:val="22"/>
          <w:lang w:val="es-CL"/>
        </w:rPr>
        <w:t>o</w:t>
      </w:r>
      <w:r w:rsidR="00A2127A" w:rsidRPr="0039097E">
        <w:rPr>
          <w:sz w:val="22"/>
          <w:szCs w:val="22"/>
          <w:lang w:val="es-CL"/>
        </w:rPr>
        <w:t xml:space="preserve"> 3) </w:t>
      </w:r>
      <w:r w:rsidR="00E80BE0" w:rsidRPr="0039097E">
        <w:rPr>
          <w:sz w:val="22"/>
          <w:szCs w:val="22"/>
          <w:lang w:val="es-CL"/>
        </w:rPr>
        <w:t>(</w:t>
      </w:r>
      <w:r w:rsidRPr="0039097E">
        <w:rPr>
          <w:sz w:val="22"/>
          <w:szCs w:val="22"/>
          <w:lang w:val="es-CL"/>
        </w:rPr>
        <w:t>firma requerida</w:t>
      </w:r>
      <w:proofErr w:type="gramStart"/>
      <w:r w:rsidR="00E80BE0" w:rsidRPr="0039097E">
        <w:rPr>
          <w:sz w:val="22"/>
          <w:szCs w:val="22"/>
          <w:lang w:val="es-CL"/>
        </w:rPr>
        <w:t>)</w:t>
      </w:r>
      <w:r w:rsidR="00030995" w:rsidRPr="0039097E">
        <w:rPr>
          <w:sz w:val="22"/>
          <w:szCs w:val="22"/>
          <w:lang w:val="es-CL"/>
        </w:rPr>
        <w:t> ;</w:t>
      </w:r>
      <w:proofErr w:type="gramEnd"/>
    </w:p>
    <w:p w14:paraId="7345A5C1" w14:textId="1BA346FC" w:rsidR="00E80BE0" w:rsidRPr="005C3F56" w:rsidRDefault="0039097E" w:rsidP="00E80BE0">
      <w:pPr>
        <w:pStyle w:val="ListParagraph"/>
        <w:numPr>
          <w:ilvl w:val="0"/>
          <w:numId w:val="24"/>
        </w:numPr>
        <w:spacing w:line="259" w:lineRule="auto"/>
        <w:jc w:val="both"/>
        <w:rPr>
          <w:sz w:val="22"/>
          <w:szCs w:val="22"/>
          <w:lang w:val="es-CL"/>
        </w:rPr>
      </w:pPr>
      <w:r w:rsidRPr="005C3F56">
        <w:rPr>
          <w:sz w:val="22"/>
          <w:szCs w:val="22"/>
          <w:lang w:val="es-CL"/>
        </w:rPr>
        <w:t xml:space="preserve">Modelo de Propuesta de Presupuesto </w:t>
      </w:r>
      <w:r w:rsidR="00A2127A" w:rsidRPr="005C3F56">
        <w:rPr>
          <w:sz w:val="22"/>
          <w:szCs w:val="22"/>
          <w:lang w:val="es-CL"/>
        </w:rPr>
        <w:t>(Anex</w:t>
      </w:r>
      <w:r w:rsidRPr="005C3F56">
        <w:rPr>
          <w:sz w:val="22"/>
          <w:szCs w:val="22"/>
          <w:lang w:val="es-CL"/>
        </w:rPr>
        <w:t>o</w:t>
      </w:r>
      <w:r w:rsidR="00A2127A" w:rsidRPr="005C3F56">
        <w:rPr>
          <w:sz w:val="22"/>
          <w:szCs w:val="22"/>
          <w:lang w:val="es-CL"/>
        </w:rPr>
        <w:t xml:space="preserve"> 4)</w:t>
      </w:r>
      <w:r w:rsidR="00E80BE0" w:rsidRPr="005C3F56">
        <w:rPr>
          <w:sz w:val="22"/>
          <w:szCs w:val="22"/>
          <w:lang w:val="es-CL"/>
        </w:rPr>
        <w:t xml:space="preserve">, </w:t>
      </w:r>
      <w:r w:rsidRPr="005C3F56">
        <w:rPr>
          <w:sz w:val="22"/>
          <w:szCs w:val="22"/>
          <w:lang w:val="es-CL"/>
        </w:rPr>
        <w:t xml:space="preserve">incluyendo el logo de la </w:t>
      </w:r>
      <w:r w:rsidR="005C3F56" w:rsidRPr="005C3F56">
        <w:rPr>
          <w:sz w:val="22"/>
          <w:szCs w:val="22"/>
          <w:lang w:val="es-CL"/>
        </w:rPr>
        <w:t>organización</w:t>
      </w:r>
      <w:r w:rsidRPr="005C3F56">
        <w:rPr>
          <w:sz w:val="22"/>
          <w:szCs w:val="22"/>
          <w:lang w:val="es-CL"/>
        </w:rPr>
        <w:t xml:space="preserve"> candidate </w:t>
      </w:r>
      <w:r w:rsidR="005C3F56" w:rsidRPr="005C3F56">
        <w:rPr>
          <w:sz w:val="22"/>
          <w:szCs w:val="22"/>
          <w:lang w:val="es-CL"/>
        </w:rPr>
        <w:t xml:space="preserve">y la firma </w:t>
      </w:r>
      <w:r w:rsidR="005C3F56">
        <w:rPr>
          <w:sz w:val="22"/>
          <w:szCs w:val="22"/>
          <w:lang w:val="es-CL"/>
        </w:rPr>
        <w:t>de un representante autorizado en la parte inferior</w:t>
      </w:r>
      <w:r w:rsidR="00E80BE0" w:rsidRPr="005C3F56">
        <w:rPr>
          <w:sz w:val="22"/>
          <w:szCs w:val="22"/>
          <w:lang w:val="es-CL"/>
        </w:rPr>
        <w:t xml:space="preserve"> (</w:t>
      </w:r>
      <w:r w:rsidR="005C3F56">
        <w:rPr>
          <w:sz w:val="22"/>
          <w:szCs w:val="22"/>
          <w:lang w:val="es-CL"/>
        </w:rPr>
        <w:t>firma y fecha requeridas</w:t>
      </w:r>
      <w:r w:rsidR="00E80BE0" w:rsidRPr="005C3F56">
        <w:rPr>
          <w:sz w:val="22"/>
          <w:szCs w:val="22"/>
          <w:lang w:val="es-CL"/>
        </w:rPr>
        <w:t>)</w:t>
      </w:r>
      <w:r w:rsidR="00030995" w:rsidRPr="005C3F56">
        <w:rPr>
          <w:sz w:val="22"/>
          <w:szCs w:val="22"/>
          <w:lang w:val="es-CL"/>
        </w:rPr>
        <w:t>;</w:t>
      </w:r>
    </w:p>
    <w:p w14:paraId="51F4DFF0" w14:textId="6469F452" w:rsidR="00E80BE0" w:rsidRPr="003F35AE" w:rsidRDefault="00E10019" w:rsidP="00E80BE0">
      <w:pPr>
        <w:pStyle w:val="ListParagraph"/>
        <w:numPr>
          <w:ilvl w:val="0"/>
          <w:numId w:val="24"/>
        </w:numPr>
        <w:spacing w:line="259" w:lineRule="auto"/>
        <w:jc w:val="both"/>
        <w:rPr>
          <w:sz w:val="22"/>
          <w:szCs w:val="22"/>
          <w:lang w:val="es-CL"/>
        </w:rPr>
      </w:pPr>
      <w:r w:rsidRPr="003F35AE">
        <w:rPr>
          <w:sz w:val="22"/>
          <w:szCs w:val="22"/>
          <w:lang w:val="es-CL"/>
        </w:rPr>
        <w:t>Formulario de Identificación de Socio de la UNESCO</w:t>
      </w:r>
      <w:r w:rsidR="00A2127A" w:rsidRPr="003F35AE">
        <w:rPr>
          <w:sz w:val="22"/>
          <w:szCs w:val="22"/>
          <w:lang w:val="es-CL"/>
        </w:rPr>
        <w:t xml:space="preserve"> (An</w:t>
      </w:r>
      <w:r w:rsidRPr="003F35AE">
        <w:rPr>
          <w:sz w:val="22"/>
          <w:szCs w:val="22"/>
          <w:lang w:val="es-CL"/>
        </w:rPr>
        <w:t>exo</w:t>
      </w:r>
      <w:r w:rsidR="00A2127A" w:rsidRPr="003F35AE">
        <w:rPr>
          <w:sz w:val="22"/>
          <w:szCs w:val="22"/>
          <w:lang w:val="es-CL"/>
        </w:rPr>
        <w:t xml:space="preserve"> 2)</w:t>
      </w:r>
      <w:r w:rsidR="00E80BE0" w:rsidRPr="003F35AE">
        <w:rPr>
          <w:sz w:val="22"/>
          <w:szCs w:val="22"/>
          <w:lang w:val="es-CL"/>
        </w:rPr>
        <w:t xml:space="preserve"> (</w:t>
      </w:r>
      <w:r w:rsidRPr="003F35AE">
        <w:rPr>
          <w:sz w:val="22"/>
          <w:szCs w:val="22"/>
          <w:lang w:val="es-CL"/>
        </w:rPr>
        <w:t>firma y fecha requeridas</w:t>
      </w:r>
      <w:r w:rsidR="00E80BE0" w:rsidRPr="003F35AE">
        <w:rPr>
          <w:sz w:val="22"/>
          <w:szCs w:val="22"/>
          <w:lang w:val="es-CL"/>
        </w:rPr>
        <w:t>)</w:t>
      </w:r>
      <w:r w:rsidR="00030995" w:rsidRPr="003F35AE">
        <w:rPr>
          <w:sz w:val="22"/>
          <w:szCs w:val="22"/>
          <w:lang w:val="es-CL"/>
        </w:rPr>
        <w:t>;</w:t>
      </w:r>
    </w:p>
    <w:p w14:paraId="3A3FD9B9" w14:textId="74A97B52" w:rsidR="00E80BE0" w:rsidRPr="003F35AE" w:rsidRDefault="00BA7D5F" w:rsidP="00E80BE0">
      <w:pPr>
        <w:pStyle w:val="ListParagraph"/>
        <w:numPr>
          <w:ilvl w:val="0"/>
          <w:numId w:val="24"/>
        </w:numPr>
        <w:spacing w:line="259" w:lineRule="auto"/>
        <w:jc w:val="both"/>
        <w:rPr>
          <w:sz w:val="22"/>
          <w:szCs w:val="22"/>
          <w:lang w:val="es-CL"/>
        </w:rPr>
      </w:pPr>
      <w:r w:rsidRPr="003F35AE">
        <w:rPr>
          <w:sz w:val="22"/>
          <w:szCs w:val="22"/>
          <w:lang w:val="es-CL"/>
        </w:rPr>
        <w:t xml:space="preserve">Certificado Oficial de Situación Jurídica </w:t>
      </w:r>
      <w:r w:rsidR="003F35AE" w:rsidRPr="003F35AE">
        <w:rPr>
          <w:sz w:val="22"/>
          <w:szCs w:val="22"/>
          <w:lang w:val="es-CL"/>
        </w:rPr>
        <w:t>(si el certificado está disponible en un idioma distinto del inglés y el francés, el candidato deberá acompañar el certificado con una traducción)</w:t>
      </w:r>
      <w:r w:rsidR="00D40A66">
        <w:rPr>
          <w:sz w:val="22"/>
          <w:szCs w:val="22"/>
          <w:lang w:val="es-CL"/>
        </w:rPr>
        <w:t>;</w:t>
      </w:r>
    </w:p>
    <w:p w14:paraId="7B7939C1" w14:textId="567A16D0" w:rsidR="005B1F57" w:rsidRDefault="005B1F57" w:rsidP="005B1F57">
      <w:pPr>
        <w:pStyle w:val="ListParagraph"/>
        <w:numPr>
          <w:ilvl w:val="0"/>
          <w:numId w:val="24"/>
        </w:numPr>
        <w:spacing w:line="259" w:lineRule="auto"/>
        <w:jc w:val="both"/>
        <w:rPr>
          <w:sz w:val="22"/>
          <w:szCs w:val="22"/>
          <w:lang w:val="es-CL"/>
        </w:rPr>
      </w:pPr>
      <w:r w:rsidRPr="005B1F57">
        <w:rPr>
          <w:sz w:val="22"/>
          <w:szCs w:val="22"/>
          <w:lang w:val="es-CL"/>
        </w:rPr>
        <w:t xml:space="preserve">Estados financieros (incluidos el balance, la cuenta de ingresos y gastos y los anexos pertinentes) de los dos últimos ejercicios financieros cerrados, firmados y certificados por la autoridad financiera </w:t>
      </w:r>
      <w:r>
        <w:rPr>
          <w:sz w:val="22"/>
          <w:szCs w:val="22"/>
          <w:lang w:val="es-CL"/>
        </w:rPr>
        <w:t>de la organización candidata</w:t>
      </w:r>
      <w:r w:rsidRPr="005B1F57">
        <w:rPr>
          <w:sz w:val="22"/>
          <w:szCs w:val="22"/>
          <w:lang w:val="es-CL"/>
        </w:rPr>
        <w:t xml:space="preserve"> (contralor o equivalente) y auditados, si fuere procedente</w:t>
      </w:r>
      <w:r w:rsidR="00F94CDB">
        <w:rPr>
          <w:sz w:val="22"/>
          <w:szCs w:val="22"/>
          <w:lang w:val="es-CL"/>
        </w:rPr>
        <w:t>, de conformidad</w:t>
      </w:r>
      <w:r w:rsidR="00F94CDB" w:rsidRPr="00F94CDB">
        <w:rPr>
          <w:sz w:val="22"/>
          <w:szCs w:val="22"/>
          <w:lang w:val="es-CL"/>
        </w:rPr>
        <w:t xml:space="preserve"> con las Normas Internacionales de Auditoría </w:t>
      </w:r>
      <w:r w:rsidRPr="005B1F57">
        <w:rPr>
          <w:sz w:val="22"/>
          <w:szCs w:val="22"/>
          <w:lang w:val="es-CL"/>
        </w:rPr>
        <w:t>(firma y fecha requeridas)</w:t>
      </w:r>
      <w:r w:rsidR="00D40A66">
        <w:rPr>
          <w:sz w:val="22"/>
          <w:szCs w:val="22"/>
          <w:lang w:val="es-CL"/>
        </w:rPr>
        <w:t>;</w:t>
      </w:r>
    </w:p>
    <w:p w14:paraId="688D92D6" w14:textId="5E55487A" w:rsidR="00A6293E" w:rsidRDefault="009445CF" w:rsidP="009445CF">
      <w:pPr>
        <w:pStyle w:val="ListParagraph"/>
        <w:numPr>
          <w:ilvl w:val="0"/>
          <w:numId w:val="24"/>
        </w:numPr>
        <w:spacing w:line="259" w:lineRule="auto"/>
        <w:jc w:val="both"/>
        <w:rPr>
          <w:sz w:val="22"/>
          <w:szCs w:val="22"/>
          <w:lang w:val="es-CL"/>
        </w:rPr>
      </w:pPr>
      <w:r w:rsidRPr="009445CF">
        <w:rPr>
          <w:sz w:val="22"/>
          <w:szCs w:val="22"/>
          <w:lang w:val="es-CL"/>
        </w:rPr>
        <w:lastRenderedPageBreak/>
        <w:t xml:space="preserve">Un informe anual de actividades de la entidad, que abarque las actividades realizadas durante el último año (como </w:t>
      </w:r>
      <w:r>
        <w:rPr>
          <w:sz w:val="22"/>
          <w:szCs w:val="22"/>
          <w:lang w:val="es-CL"/>
        </w:rPr>
        <w:t xml:space="preserve">forma </w:t>
      </w:r>
      <w:r w:rsidRPr="009445CF">
        <w:rPr>
          <w:sz w:val="22"/>
          <w:szCs w:val="22"/>
          <w:lang w:val="es-CL"/>
        </w:rPr>
        <w:t xml:space="preserve">de acreditar las competencias profesionales de </w:t>
      </w:r>
      <w:proofErr w:type="gramStart"/>
      <w:r w:rsidRPr="009445CF">
        <w:rPr>
          <w:sz w:val="22"/>
          <w:szCs w:val="22"/>
          <w:lang w:val="es-CL"/>
        </w:rPr>
        <w:t xml:space="preserve">los </w:t>
      </w:r>
      <w:r>
        <w:rPr>
          <w:sz w:val="22"/>
          <w:szCs w:val="22"/>
          <w:lang w:val="es-CL"/>
        </w:rPr>
        <w:t>las</w:t>
      </w:r>
      <w:proofErr w:type="gramEnd"/>
      <w:r>
        <w:rPr>
          <w:sz w:val="22"/>
          <w:szCs w:val="22"/>
          <w:lang w:val="es-CL"/>
        </w:rPr>
        <w:t xml:space="preserve"> organizaciones candidatas</w:t>
      </w:r>
      <w:r w:rsidRPr="009445CF">
        <w:rPr>
          <w:sz w:val="22"/>
          <w:szCs w:val="22"/>
          <w:lang w:val="es-CL"/>
        </w:rPr>
        <w:t xml:space="preserve"> y </w:t>
      </w:r>
      <w:r w:rsidR="00D40A66">
        <w:rPr>
          <w:sz w:val="22"/>
          <w:szCs w:val="22"/>
          <w:lang w:val="es-CL"/>
        </w:rPr>
        <w:t>las calificaciones adecuadas</w:t>
      </w:r>
      <w:r w:rsidRPr="009445CF">
        <w:rPr>
          <w:sz w:val="22"/>
          <w:szCs w:val="22"/>
          <w:lang w:val="es-CL"/>
        </w:rPr>
        <w:t>)</w:t>
      </w:r>
      <w:r w:rsidR="00D40A66">
        <w:rPr>
          <w:sz w:val="22"/>
          <w:szCs w:val="22"/>
          <w:lang w:val="es-CL"/>
        </w:rPr>
        <w:t>;</w:t>
      </w:r>
    </w:p>
    <w:p w14:paraId="6DC5A654" w14:textId="077EAAF8" w:rsidR="00B64FE0" w:rsidRPr="00B64FE0" w:rsidRDefault="00B0356E" w:rsidP="00E80BE0">
      <w:pPr>
        <w:pStyle w:val="ListParagraph"/>
        <w:numPr>
          <w:ilvl w:val="0"/>
          <w:numId w:val="24"/>
        </w:numPr>
        <w:spacing w:line="259" w:lineRule="auto"/>
        <w:jc w:val="both"/>
        <w:rPr>
          <w:sz w:val="22"/>
          <w:szCs w:val="22"/>
          <w:lang w:val="es-CL"/>
        </w:rPr>
      </w:pPr>
      <w:r w:rsidRPr="00B0356E">
        <w:rPr>
          <w:sz w:val="22"/>
          <w:szCs w:val="22"/>
          <w:lang w:val="es-CL"/>
        </w:rPr>
        <w:t>Currículum vitae (CV) del personal clave que esté o vaya a estar involucrado en la ejecución del proyecto</w:t>
      </w:r>
      <w:r>
        <w:rPr>
          <w:sz w:val="22"/>
          <w:szCs w:val="22"/>
          <w:lang w:val="es-CL"/>
        </w:rPr>
        <w:t xml:space="preserve"> (y no solo e</w:t>
      </w:r>
      <w:r w:rsidR="007C5560">
        <w:rPr>
          <w:sz w:val="22"/>
          <w:szCs w:val="22"/>
          <w:lang w:val="es-CL"/>
        </w:rPr>
        <w:t>l del coordinador</w:t>
      </w:r>
      <w:r w:rsidR="00E110B1">
        <w:rPr>
          <w:sz w:val="22"/>
          <w:szCs w:val="22"/>
          <w:lang w:val="es-CL"/>
        </w:rPr>
        <w:t xml:space="preserve"> o coordinadora</w:t>
      </w:r>
      <w:r>
        <w:rPr>
          <w:sz w:val="22"/>
          <w:szCs w:val="22"/>
          <w:lang w:val="es-CL"/>
        </w:rPr>
        <w:t xml:space="preserve"> del proyecto).</w:t>
      </w:r>
    </w:p>
    <w:p w14:paraId="7A31A417" w14:textId="48C32305" w:rsidR="00B64FE0" w:rsidRPr="00B64FE0" w:rsidRDefault="00B64FE0" w:rsidP="00B64FE0">
      <w:pPr>
        <w:jc w:val="both"/>
        <w:rPr>
          <w:b/>
          <w:bCs/>
          <w:sz w:val="22"/>
          <w:szCs w:val="22"/>
          <w:lang w:val="es-CL"/>
        </w:rPr>
      </w:pPr>
      <w:r w:rsidRPr="00B64FE0">
        <w:rPr>
          <w:b/>
          <w:bCs/>
          <w:sz w:val="22"/>
          <w:szCs w:val="22"/>
          <w:lang w:val="es-CL"/>
        </w:rPr>
        <w:t>Sólo serán consideradas las propuestas que cumplan los criterios de elegibilidad.</w:t>
      </w:r>
    </w:p>
    <w:p w14:paraId="20C631D5" w14:textId="02CC6BAE" w:rsidR="00832448" w:rsidRDefault="00832448" w:rsidP="00832448">
      <w:pPr>
        <w:jc w:val="both"/>
        <w:rPr>
          <w:b/>
          <w:bCs/>
          <w:sz w:val="22"/>
          <w:szCs w:val="22"/>
          <w:lang w:val="es-CL"/>
        </w:rPr>
      </w:pPr>
      <w:r w:rsidRPr="00832448">
        <w:rPr>
          <w:b/>
          <w:bCs/>
          <w:sz w:val="22"/>
          <w:szCs w:val="22"/>
          <w:lang w:val="es-CL"/>
        </w:rPr>
        <w:t>Todas las propuestas</w:t>
      </w:r>
      <w:r>
        <w:rPr>
          <w:b/>
          <w:bCs/>
          <w:sz w:val="22"/>
          <w:szCs w:val="22"/>
          <w:lang w:val="es-CL"/>
        </w:rPr>
        <w:t xml:space="preserve"> de asociación</w:t>
      </w:r>
      <w:r w:rsidRPr="00832448">
        <w:rPr>
          <w:b/>
          <w:bCs/>
          <w:sz w:val="22"/>
          <w:szCs w:val="22"/>
          <w:lang w:val="es-CL"/>
        </w:rPr>
        <w:t xml:space="preserve"> deben ser presentadas en inglés, francés o español, sin excepción.</w:t>
      </w:r>
    </w:p>
    <w:p w14:paraId="1E778FB2" w14:textId="50B8C233" w:rsidR="00731433" w:rsidRPr="00672AFA" w:rsidRDefault="001F56AB" w:rsidP="00A560FA">
      <w:pPr>
        <w:jc w:val="both"/>
        <w:rPr>
          <w:sz w:val="22"/>
          <w:szCs w:val="22"/>
          <w:lang w:val="es-CL"/>
        </w:rPr>
      </w:pPr>
      <w:r w:rsidRPr="001F56AB">
        <w:rPr>
          <w:sz w:val="22"/>
          <w:szCs w:val="22"/>
          <w:lang w:val="es-CL"/>
        </w:rPr>
        <w:t xml:space="preserve">Para presentar una propuesta de asociación, </w:t>
      </w:r>
      <w:r w:rsidR="00AC7204">
        <w:rPr>
          <w:sz w:val="22"/>
          <w:szCs w:val="22"/>
          <w:lang w:val="es-CL"/>
        </w:rPr>
        <w:t>favor enviar</w:t>
      </w:r>
      <w:r w:rsidRPr="001F56AB">
        <w:rPr>
          <w:sz w:val="22"/>
          <w:szCs w:val="22"/>
          <w:lang w:val="es-CL"/>
        </w:rPr>
        <w:t xml:space="preserve"> los formularios completados (y firmados, donde sea necesario) y los documentos justificativos a la siguiente dirección de correo electrónico: </w:t>
      </w:r>
      <w:hyperlink r:id="rId34" w:history="1">
        <w:r w:rsidRPr="001F56AB">
          <w:rPr>
            <w:rStyle w:val="Hyperlink"/>
            <w:sz w:val="22"/>
            <w:szCs w:val="22"/>
            <w:lang w:val="es-CL"/>
          </w:rPr>
          <w:t>gmdf@unesco.org</w:t>
        </w:r>
      </w:hyperlink>
      <w:r w:rsidRPr="001F56AB">
        <w:rPr>
          <w:sz w:val="22"/>
          <w:szCs w:val="22"/>
          <w:lang w:val="es-CL"/>
        </w:rPr>
        <w:t>. Todos los documentos debe</w:t>
      </w:r>
      <w:r w:rsidR="004C635F">
        <w:rPr>
          <w:sz w:val="22"/>
          <w:szCs w:val="22"/>
          <w:lang w:val="es-CL"/>
        </w:rPr>
        <w:t>n ser compartidos</w:t>
      </w:r>
      <w:r w:rsidRPr="001F56AB">
        <w:rPr>
          <w:sz w:val="22"/>
          <w:szCs w:val="22"/>
          <w:lang w:val="es-CL"/>
        </w:rPr>
        <w:t xml:space="preserve"> en un formato legible (Word o PDF para los formularios, PDF</w:t>
      </w:r>
      <w:r w:rsidR="004C635F">
        <w:rPr>
          <w:sz w:val="22"/>
          <w:szCs w:val="22"/>
          <w:lang w:val="es-CL"/>
        </w:rPr>
        <w:t xml:space="preserve">, </w:t>
      </w:r>
      <w:r w:rsidRPr="001F56AB">
        <w:rPr>
          <w:sz w:val="22"/>
          <w:szCs w:val="22"/>
          <w:lang w:val="es-CL"/>
        </w:rPr>
        <w:t>JPG</w:t>
      </w:r>
      <w:r w:rsidR="004C635F">
        <w:rPr>
          <w:sz w:val="22"/>
          <w:szCs w:val="22"/>
          <w:lang w:val="es-CL"/>
        </w:rPr>
        <w:t xml:space="preserve"> o PNG</w:t>
      </w:r>
      <w:r w:rsidRPr="001F56AB">
        <w:rPr>
          <w:sz w:val="22"/>
          <w:szCs w:val="22"/>
          <w:lang w:val="es-CL"/>
        </w:rPr>
        <w:t xml:space="preserve"> para los documentos justificativos). No se aceptará ningún otro método de presentación.</w:t>
      </w:r>
    </w:p>
    <w:sectPr w:rsidR="00731433" w:rsidRPr="00672AFA" w:rsidSect="005B4A72">
      <w:headerReference w:type="default" r:id="rId35"/>
      <w:footerReference w:type="default" r:id="rId36"/>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AC9BB" w14:textId="77777777" w:rsidR="0006193B" w:rsidRDefault="0006193B" w:rsidP="00EA3E90">
      <w:pPr>
        <w:spacing w:after="0" w:line="240" w:lineRule="auto"/>
      </w:pPr>
      <w:r>
        <w:separator/>
      </w:r>
    </w:p>
  </w:endnote>
  <w:endnote w:type="continuationSeparator" w:id="0">
    <w:p w14:paraId="3E1F39B1" w14:textId="77777777" w:rsidR="0006193B" w:rsidRDefault="0006193B" w:rsidP="00EA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320653003"/>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7B7C2E34" w14:textId="0004BD79" w:rsidR="00B52044" w:rsidRPr="00B52044" w:rsidRDefault="00B52044">
            <w:pPr>
              <w:pStyle w:val="Footer"/>
              <w:jc w:val="right"/>
              <w:rPr>
                <w:sz w:val="20"/>
                <w:szCs w:val="20"/>
              </w:rPr>
            </w:pPr>
            <w:proofErr w:type="spellStart"/>
            <w:r w:rsidRPr="00B52044">
              <w:rPr>
                <w:sz w:val="20"/>
                <w:szCs w:val="20"/>
              </w:rPr>
              <w:t>P</w:t>
            </w:r>
            <w:r w:rsidR="004B47E6" w:rsidRPr="004B47E6">
              <w:rPr>
                <w:sz w:val="20"/>
                <w:szCs w:val="20"/>
              </w:rPr>
              <w:t>á</w:t>
            </w:r>
            <w:r w:rsidR="004B47E6">
              <w:rPr>
                <w:sz w:val="20"/>
                <w:szCs w:val="20"/>
              </w:rPr>
              <w:t>gina</w:t>
            </w:r>
            <w:proofErr w:type="spellEnd"/>
            <w:r w:rsidR="004B47E6">
              <w:rPr>
                <w:sz w:val="20"/>
                <w:szCs w:val="20"/>
              </w:rPr>
              <w:t xml:space="preserve"> </w:t>
            </w:r>
            <w:r w:rsidRPr="00B52044">
              <w:rPr>
                <w:b/>
                <w:bCs/>
                <w:sz w:val="20"/>
                <w:szCs w:val="20"/>
              </w:rPr>
              <w:fldChar w:fldCharType="begin"/>
            </w:r>
            <w:r w:rsidRPr="00B52044">
              <w:rPr>
                <w:b/>
                <w:bCs/>
                <w:sz w:val="20"/>
                <w:szCs w:val="20"/>
              </w:rPr>
              <w:instrText xml:space="preserve"> PAGE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r w:rsidRPr="00B52044">
              <w:rPr>
                <w:sz w:val="20"/>
                <w:szCs w:val="20"/>
              </w:rPr>
              <w:t xml:space="preserve"> of </w:t>
            </w:r>
            <w:r w:rsidRPr="00B52044">
              <w:rPr>
                <w:b/>
                <w:bCs/>
                <w:sz w:val="20"/>
                <w:szCs w:val="20"/>
              </w:rPr>
              <w:fldChar w:fldCharType="begin"/>
            </w:r>
            <w:r w:rsidRPr="00B52044">
              <w:rPr>
                <w:b/>
                <w:bCs/>
                <w:sz w:val="20"/>
                <w:szCs w:val="20"/>
              </w:rPr>
              <w:instrText xml:space="preserve"> NUMPAGES  </w:instrText>
            </w:r>
            <w:r w:rsidRPr="00B52044">
              <w:rPr>
                <w:b/>
                <w:bCs/>
                <w:sz w:val="20"/>
                <w:szCs w:val="20"/>
              </w:rPr>
              <w:fldChar w:fldCharType="separate"/>
            </w:r>
            <w:r w:rsidRPr="00B52044">
              <w:rPr>
                <w:b/>
                <w:bCs/>
                <w:noProof/>
                <w:sz w:val="20"/>
                <w:szCs w:val="20"/>
              </w:rPr>
              <w:t>2</w:t>
            </w:r>
            <w:r w:rsidRPr="00B52044">
              <w:rPr>
                <w:b/>
                <w:bCs/>
                <w:sz w:val="20"/>
                <w:szCs w:val="20"/>
              </w:rPr>
              <w:fldChar w:fldCharType="end"/>
            </w:r>
          </w:p>
        </w:sdtContent>
      </w:sdt>
    </w:sdtContent>
  </w:sdt>
  <w:p w14:paraId="32919839" w14:textId="77777777" w:rsidR="00657F2B" w:rsidRDefault="00657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3C536" w14:textId="77777777" w:rsidR="0006193B" w:rsidRDefault="0006193B" w:rsidP="00EA3E90">
      <w:pPr>
        <w:spacing w:after="0" w:line="240" w:lineRule="auto"/>
      </w:pPr>
      <w:r>
        <w:separator/>
      </w:r>
    </w:p>
  </w:footnote>
  <w:footnote w:type="continuationSeparator" w:id="0">
    <w:p w14:paraId="4A5400EC" w14:textId="77777777" w:rsidR="0006193B" w:rsidRDefault="0006193B" w:rsidP="00EA3E90">
      <w:pPr>
        <w:spacing w:after="0" w:line="240" w:lineRule="auto"/>
      </w:pPr>
      <w:r>
        <w:continuationSeparator/>
      </w:r>
    </w:p>
  </w:footnote>
  <w:footnote w:id="1">
    <w:p w14:paraId="33F17567" w14:textId="6CDA7C77" w:rsidR="00F75DE1" w:rsidRPr="006B0058" w:rsidRDefault="00F75DE1" w:rsidP="003F2EC9">
      <w:pPr>
        <w:spacing w:after="0"/>
        <w:jc w:val="both"/>
        <w:rPr>
          <w:sz w:val="20"/>
          <w:szCs w:val="20"/>
          <w:lang w:val="es-CL"/>
        </w:rPr>
      </w:pPr>
      <w:r>
        <w:rPr>
          <w:rStyle w:val="FootnoteReference"/>
        </w:rPr>
        <w:footnoteRef/>
      </w:r>
      <w:r w:rsidRPr="00F75DE1">
        <w:rPr>
          <w:lang w:val="es-CL"/>
        </w:rPr>
        <w:t xml:space="preserve"> </w:t>
      </w:r>
      <w:r w:rsidRPr="006B0058">
        <w:rPr>
          <w:sz w:val="20"/>
          <w:szCs w:val="20"/>
          <w:lang w:val="es-CL"/>
        </w:rPr>
        <w:t xml:space="preserve">Los </w:t>
      </w:r>
      <w:r w:rsidR="003F2EC9" w:rsidRPr="006B0058">
        <w:rPr>
          <w:sz w:val="20"/>
          <w:szCs w:val="20"/>
          <w:lang w:val="es-CL"/>
        </w:rPr>
        <w:t>o</w:t>
      </w:r>
      <w:r w:rsidRPr="006B0058">
        <w:rPr>
          <w:sz w:val="20"/>
          <w:szCs w:val="20"/>
          <w:lang w:val="es-CL"/>
        </w:rPr>
        <w:t>bjeti</w:t>
      </w:r>
      <w:r w:rsidR="003F2EC9" w:rsidRPr="006B0058">
        <w:rPr>
          <w:sz w:val="20"/>
          <w:szCs w:val="20"/>
          <w:lang w:val="es-CL"/>
        </w:rPr>
        <w:t>v</w:t>
      </w:r>
      <w:r w:rsidRPr="006B0058">
        <w:rPr>
          <w:sz w:val="20"/>
          <w:szCs w:val="20"/>
          <w:lang w:val="es-CL"/>
        </w:rPr>
        <w:t xml:space="preserve">os de un proyecto son </w:t>
      </w:r>
      <w:r w:rsidRPr="006B0058">
        <w:rPr>
          <w:b/>
          <w:bCs/>
          <w:sz w:val="20"/>
          <w:szCs w:val="20"/>
          <w:lang w:val="es-CL"/>
        </w:rPr>
        <w:t xml:space="preserve">S.M.A.R.T. </w:t>
      </w:r>
      <w:r w:rsidRPr="006B0058">
        <w:rPr>
          <w:sz w:val="20"/>
          <w:szCs w:val="20"/>
          <w:lang w:val="es-CL"/>
        </w:rPr>
        <w:t>cuando éstos son:</w:t>
      </w:r>
    </w:p>
    <w:p w14:paraId="5131C8E8" w14:textId="77777777" w:rsidR="00F75DE1" w:rsidRPr="006B0058" w:rsidRDefault="00F75DE1" w:rsidP="003F2EC9">
      <w:pPr>
        <w:spacing w:after="0" w:line="276" w:lineRule="auto"/>
        <w:jc w:val="both"/>
        <w:rPr>
          <w:sz w:val="20"/>
          <w:szCs w:val="20"/>
          <w:lang w:val="es-CL"/>
        </w:rPr>
      </w:pPr>
      <w:r w:rsidRPr="006B0058">
        <w:rPr>
          <w:b/>
          <w:bCs/>
          <w:sz w:val="20"/>
          <w:szCs w:val="20"/>
          <w:lang w:val="es-CL"/>
        </w:rPr>
        <w:t>Específicos (</w:t>
      </w:r>
      <w:proofErr w:type="spellStart"/>
      <w:r w:rsidRPr="006B0058">
        <w:rPr>
          <w:b/>
          <w:bCs/>
          <w:sz w:val="20"/>
          <w:szCs w:val="20"/>
          <w:lang w:val="es-CL"/>
        </w:rPr>
        <w:t>Specific</w:t>
      </w:r>
      <w:proofErr w:type="spellEnd"/>
      <w:r w:rsidRPr="006B0058">
        <w:rPr>
          <w:b/>
          <w:bCs/>
          <w:sz w:val="20"/>
          <w:szCs w:val="20"/>
          <w:lang w:val="es-CL"/>
        </w:rPr>
        <w:t>):</w:t>
      </w:r>
      <w:r w:rsidRPr="006B0058">
        <w:rPr>
          <w:sz w:val="20"/>
          <w:szCs w:val="20"/>
          <w:lang w:val="es-CL"/>
        </w:rPr>
        <w:t xml:space="preserve"> Claros, concretos y sin ambigüedades (no están abiertos a diferentes interpretaciones por parte de distintas personas).</w:t>
      </w:r>
    </w:p>
    <w:p w14:paraId="7DF559F9" w14:textId="3C446BA7" w:rsidR="00F75DE1" w:rsidRPr="006B0058" w:rsidRDefault="00F75DE1" w:rsidP="003F2EC9">
      <w:pPr>
        <w:spacing w:after="0" w:line="276" w:lineRule="auto"/>
        <w:jc w:val="both"/>
        <w:rPr>
          <w:sz w:val="20"/>
          <w:szCs w:val="20"/>
          <w:lang w:val="es-CL"/>
        </w:rPr>
      </w:pPr>
      <w:r w:rsidRPr="006B0058">
        <w:rPr>
          <w:b/>
          <w:bCs/>
          <w:sz w:val="20"/>
          <w:szCs w:val="20"/>
          <w:lang w:val="es-CL"/>
        </w:rPr>
        <w:t>Mensurables (</w:t>
      </w:r>
      <w:proofErr w:type="spellStart"/>
      <w:r w:rsidRPr="006B0058">
        <w:rPr>
          <w:b/>
          <w:bCs/>
          <w:sz w:val="20"/>
          <w:szCs w:val="20"/>
          <w:lang w:val="es-CL"/>
        </w:rPr>
        <w:t>Measurable</w:t>
      </w:r>
      <w:proofErr w:type="spellEnd"/>
      <w:r w:rsidRPr="006B0058">
        <w:rPr>
          <w:b/>
          <w:bCs/>
          <w:sz w:val="20"/>
          <w:szCs w:val="20"/>
          <w:lang w:val="es-CL"/>
        </w:rPr>
        <w:t>):</w:t>
      </w:r>
      <w:r w:rsidRPr="006B0058">
        <w:rPr>
          <w:sz w:val="20"/>
          <w:szCs w:val="20"/>
          <w:lang w:val="es-CL"/>
        </w:rPr>
        <w:t xml:space="preserve"> Defin</w:t>
      </w:r>
      <w:r w:rsidR="008C0B72">
        <w:rPr>
          <w:sz w:val="20"/>
          <w:szCs w:val="20"/>
          <w:lang w:val="es-CL"/>
        </w:rPr>
        <w:t>en</w:t>
      </w:r>
      <w:r w:rsidRPr="006B0058">
        <w:rPr>
          <w:sz w:val="20"/>
          <w:szCs w:val="20"/>
          <w:lang w:val="es-CL"/>
        </w:rPr>
        <w:t xml:space="preserve"> los objetivos deseados en términos</w:t>
      </w:r>
      <w:r w:rsidR="00147348">
        <w:rPr>
          <w:sz w:val="20"/>
          <w:szCs w:val="20"/>
          <w:lang w:val="es-CL"/>
        </w:rPr>
        <w:t xml:space="preserve"> medibles</w:t>
      </w:r>
      <w:r w:rsidRPr="006B0058">
        <w:rPr>
          <w:sz w:val="20"/>
          <w:szCs w:val="20"/>
          <w:lang w:val="es-CL"/>
        </w:rPr>
        <w:t xml:space="preserve">, que permitan verificar su consecución. Estos términos deben cuantificarse o basarse en mediciones fácilmente identificables </w:t>
      </w:r>
      <w:r w:rsidRPr="006B0058">
        <w:rPr>
          <w:i/>
          <w:iCs/>
          <w:sz w:val="20"/>
          <w:szCs w:val="20"/>
          <w:lang w:val="es-CL"/>
        </w:rPr>
        <w:t>(</w:t>
      </w:r>
      <w:proofErr w:type="spellStart"/>
      <w:r w:rsidRPr="006B0058">
        <w:rPr>
          <w:i/>
          <w:iCs/>
          <w:sz w:val="20"/>
          <w:szCs w:val="20"/>
          <w:lang w:val="es-CL"/>
        </w:rPr>
        <w:t>e.g</w:t>
      </w:r>
      <w:proofErr w:type="spellEnd"/>
      <w:r w:rsidRPr="006B0058">
        <w:rPr>
          <w:i/>
          <w:iCs/>
          <w:sz w:val="20"/>
          <w:szCs w:val="20"/>
          <w:lang w:val="es-CL"/>
        </w:rPr>
        <w:t xml:space="preserve">. garantizar el acceso de </w:t>
      </w:r>
      <w:r w:rsidRPr="004B0700">
        <w:rPr>
          <w:i/>
          <w:iCs/>
          <w:sz w:val="20"/>
          <w:szCs w:val="20"/>
          <w:lang w:val="es-CL"/>
        </w:rPr>
        <w:t xml:space="preserve">al menos 20 </w:t>
      </w:r>
      <w:r w:rsidRPr="006B0058">
        <w:rPr>
          <w:i/>
          <w:iCs/>
          <w:sz w:val="20"/>
          <w:szCs w:val="20"/>
          <w:lang w:val="es-CL"/>
        </w:rPr>
        <w:t xml:space="preserve">periodistas a una asistencia jurídica rápida, especializada y con perspectiva de género en X país objetivo). </w:t>
      </w:r>
    </w:p>
    <w:p w14:paraId="4889A2A9" w14:textId="77777777" w:rsidR="00F75DE1" w:rsidRPr="006B0058" w:rsidRDefault="00F75DE1" w:rsidP="003F2EC9">
      <w:pPr>
        <w:spacing w:after="0" w:line="276" w:lineRule="auto"/>
        <w:jc w:val="both"/>
        <w:rPr>
          <w:sz w:val="20"/>
          <w:szCs w:val="20"/>
          <w:lang w:val="es-CL"/>
        </w:rPr>
      </w:pPr>
      <w:r w:rsidRPr="006B0058">
        <w:rPr>
          <w:b/>
          <w:bCs/>
          <w:sz w:val="20"/>
          <w:szCs w:val="20"/>
          <w:lang w:val="es-CL"/>
        </w:rPr>
        <w:t>Alcanzables (</w:t>
      </w:r>
      <w:proofErr w:type="spellStart"/>
      <w:r w:rsidRPr="006B0058">
        <w:rPr>
          <w:b/>
          <w:bCs/>
          <w:sz w:val="20"/>
          <w:szCs w:val="20"/>
          <w:lang w:val="es-CL"/>
        </w:rPr>
        <w:t>Achievable</w:t>
      </w:r>
      <w:proofErr w:type="spellEnd"/>
      <w:r w:rsidRPr="006B0058">
        <w:rPr>
          <w:b/>
          <w:bCs/>
          <w:sz w:val="20"/>
          <w:szCs w:val="20"/>
          <w:lang w:val="es-CL"/>
        </w:rPr>
        <w:t>):</w:t>
      </w:r>
      <w:r w:rsidRPr="006B0058">
        <w:rPr>
          <w:sz w:val="20"/>
          <w:szCs w:val="20"/>
          <w:lang w:val="es-CL"/>
        </w:rPr>
        <w:t xml:space="preserve"> Ambiciosos pero posibles de alcanzar de forma realista.</w:t>
      </w:r>
    </w:p>
    <w:p w14:paraId="63321B50" w14:textId="77777777" w:rsidR="00F75DE1" w:rsidRPr="006B0058" w:rsidRDefault="00F75DE1" w:rsidP="003F2EC9">
      <w:pPr>
        <w:spacing w:after="0" w:line="276" w:lineRule="auto"/>
        <w:jc w:val="both"/>
        <w:rPr>
          <w:sz w:val="20"/>
          <w:szCs w:val="20"/>
          <w:lang w:val="es-CL"/>
        </w:rPr>
      </w:pPr>
      <w:r w:rsidRPr="006B0058">
        <w:rPr>
          <w:b/>
          <w:bCs/>
          <w:sz w:val="20"/>
          <w:szCs w:val="20"/>
          <w:lang w:val="es-CL"/>
        </w:rPr>
        <w:t>Pertinentes (</w:t>
      </w:r>
      <w:proofErr w:type="spellStart"/>
      <w:r w:rsidRPr="006B0058">
        <w:rPr>
          <w:b/>
          <w:bCs/>
          <w:sz w:val="20"/>
          <w:szCs w:val="20"/>
          <w:lang w:val="es-CL"/>
        </w:rPr>
        <w:t>Relevant</w:t>
      </w:r>
      <w:proofErr w:type="spellEnd"/>
      <w:r w:rsidRPr="006B0058">
        <w:rPr>
          <w:b/>
          <w:bCs/>
          <w:sz w:val="20"/>
          <w:szCs w:val="20"/>
          <w:lang w:val="es-CL"/>
        </w:rPr>
        <w:t>):</w:t>
      </w:r>
      <w:r w:rsidRPr="006B0058">
        <w:rPr>
          <w:sz w:val="20"/>
          <w:szCs w:val="20"/>
          <w:lang w:val="es-CL"/>
        </w:rPr>
        <w:t xml:space="preserve"> Directamente relacionados con la necesidad/problema identificado en terreno y sus causas fundamentales.</w:t>
      </w:r>
    </w:p>
    <w:p w14:paraId="6A43F16F" w14:textId="653D59F9" w:rsidR="00F75DE1" w:rsidRPr="003F2EC9" w:rsidRDefault="00F75DE1" w:rsidP="003F2EC9">
      <w:pPr>
        <w:spacing w:after="0" w:line="276" w:lineRule="auto"/>
        <w:jc w:val="both"/>
        <w:rPr>
          <w:sz w:val="20"/>
          <w:szCs w:val="20"/>
          <w:lang w:val="es-CL"/>
        </w:rPr>
      </w:pPr>
      <w:r w:rsidRPr="006B0058">
        <w:rPr>
          <w:b/>
          <w:bCs/>
          <w:sz w:val="20"/>
          <w:szCs w:val="20"/>
          <w:lang w:val="es-CL"/>
        </w:rPr>
        <w:t>Limitados en el tiempo (Time-</w:t>
      </w:r>
      <w:proofErr w:type="spellStart"/>
      <w:r w:rsidRPr="006B0058">
        <w:rPr>
          <w:b/>
          <w:bCs/>
          <w:sz w:val="20"/>
          <w:szCs w:val="20"/>
          <w:lang w:val="es-CL"/>
        </w:rPr>
        <w:t>bound</w:t>
      </w:r>
      <w:proofErr w:type="spellEnd"/>
      <w:r w:rsidRPr="006B0058">
        <w:rPr>
          <w:b/>
          <w:bCs/>
          <w:sz w:val="20"/>
          <w:szCs w:val="20"/>
          <w:lang w:val="es-CL"/>
        </w:rPr>
        <w:t>):</w:t>
      </w:r>
      <w:r w:rsidRPr="006B0058">
        <w:rPr>
          <w:sz w:val="20"/>
          <w:szCs w:val="20"/>
          <w:lang w:val="es-CL"/>
        </w:rPr>
        <w:t xml:space="preserve"> Basados en una fecha fija o un período de tiempo preciso que permita evaluar su consecución.</w:t>
      </w:r>
    </w:p>
  </w:footnote>
  <w:footnote w:id="2">
    <w:p w14:paraId="08AFA702" w14:textId="2072763F" w:rsidR="00D0194B" w:rsidRPr="00D0194B" w:rsidRDefault="00D0194B">
      <w:pPr>
        <w:pStyle w:val="FootnoteText"/>
        <w:rPr>
          <w:lang w:val="es-CL"/>
        </w:rPr>
      </w:pPr>
      <w:r>
        <w:rPr>
          <w:rStyle w:val="FootnoteReference"/>
        </w:rPr>
        <w:footnoteRef/>
      </w:r>
      <w:r w:rsidRPr="00D0194B">
        <w:rPr>
          <w:lang w:val="es-CL"/>
        </w:rPr>
        <w:t xml:space="preserve"> </w:t>
      </w:r>
      <w:r w:rsidRPr="009059D7">
        <w:rPr>
          <w:lang w:val="es-CL"/>
        </w:rPr>
        <w:t>“La "relación calidad-precio" se refiere al uso óptimo de los recursos para lograr los resultados previstos. La relación calidad-precio no consiste en lograr el menor costo inicial. La evaluación de la relación calidad-precio implica una combinación de economía (mantener los insumos -recursos humanos y financieros- lo más ajustados posible); eficiencia (cómo se convierten los insumos en productos que se transfieren a los beneficiarios); y eficacia (mantener la calidad de los productos lo más alta posible para tener el mayor resultado e impacto posibles).</w:t>
      </w:r>
    </w:p>
  </w:footnote>
  <w:footnote w:id="3">
    <w:p w14:paraId="48A6F57C" w14:textId="1792BAF7" w:rsidR="00CF23E4" w:rsidRPr="00CF23E4" w:rsidRDefault="00CF23E4">
      <w:pPr>
        <w:pStyle w:val="FootnoteText"/>
        <w:rPr>
          <w:lang w:val="es-CL"/>
        </w:rPr>
      </w:pPr>
      <w:r>
        <w:rPr>
          <w:rStyle w:val="FootnoteReference"/>
        </w:rPr>
        <w:footnoteRef/>
      </w:r>
      <w:r w:rsidRPr="00CF23E4">
        <w:rPr>
          <w:lang w:val="es-CL"/>
        </w:rPr>
        <w:t xml:space="preserve"> Las contribuciones en especie deben cuantificarse.</w:t>
      </w:r>
    </w:p>
  </w:footnote>
  <w:footnote w:id="4">
    <w:p w14:paraId="2BD37147" w14:textId="1B488714" w:rsidR="003444D6" w:rsidRPr="00CF2605" w:rsidRDefault="003444D6" w:rsidP="00CF2605">
      <w:pPr>
        <w:pStyle w:val="FootnoteText"/>
        <w:jc w:val="both"/>
        <w:rPr>
          <w:lang w:val="es-CL"/>
        </w:rPr>
      </w:pPr>
      <w:r>
        <w:rPr>
          <w:rStyle w:val="FootnoteReference"/>
        </w:rPr>
        <w:footnoteRef/>
      </w:r>
      <w:r w:rsidRPr="00CF2605">
        <w:rPr>
          <w:lang w:val="es-CL"/>
        </w:rPr>
        <w:t xml:space="preserve"> </w:t>
      </w:r>
      <w:r w:rsidR="00CF2605" w:rsidRPr="00CF2605">
        <w:rPr>
          <w:lang w:val="es-CL"/>
        </w:rPr>
        <w:t>Cada v</w:t>
      </w:r>
      <w:r w:rsidR="00CF2605">
        <w:rPr>
          <w:lang w:val="es-CL"/>
        </w:rPr>
        <w:t xml:space="preserve">ez que se incluyan sumas globales, la </w:t>
      </w:r>
      <w:r w:rsidR="00C235D8">
        <w:rPr>
          <w:lang w:val="es-CL"/>
        </w:rPr>
        <w:t>justificación</w:t>
      </w:r>
      <w:r w:rsidR="00CF2605">
        <w:rPr>
          <w:lang w:val="es-CL"/>
        </w:rPr>
        <w:t xml:space="preserve"> de la línea presupuestaria debe </w:t>
      </w:r>
      <w:r w:rsidR="00CF2605" w:rsidRPr="00CF2605">
        <w:rPr>
          <w:lang w:val="es-CL"/>
        </w:rPr>
        <w:t xml:space="preserve">proporcionar </w:t>
      </w:r>
      <w:r w:rsidR="006B350D">
        <w:rPr>
          <w:lang w:val="es-CL"/>
        </w:rPr>
        <w:t>un desglose detallado</w:t>
      </w:r>
      <w:r w:rsidR="00CF2605" w:rsidRPr="00CF2605">
        <w:rPr>
          <w:lang w:val="es-CL"/>
        </w:rPr>
        <w:t xml:space="preserve"> con respecto a los costos</w:t>
      </w:r>
      <w:r w:rsidR="006B350D">
        <w:rPr>
          <w:lang w:val="es-CL"/>
        </w:rPr>
        <w:t xml:space="preserve"> estimados</w:t>
      </w:r>
      <w:r w:rsidR="00CF2605" w:rsidRPr="00CF2605">
        <w:rPr>
          <w:lang w:val="es-CL"/>
        </w:rPr>
        <w:t xml:space="preserve"> (por ejemplo, “Evento de lanzamiento” </w:t>
      </w:r>
      <w:r w:rsidR="00C235D8">
        <w:rPr>
          <w:lang w:val="es-CL"/>
        </w:rPr>
        <w:t>–</w:t>
      </w:r>
      <w:r w:rsidR="00CF2605" w:rsidRPr="00CF2605">
        <w:rPr>
          <w:lang w:val="es-CL"/>
        </w:rPr>
        <w:t xml:space="preserve"> Suma global </w:t>
      </w:r>
      <w:r w:rsidR="00C235D8">
        <w:rPr>
          <w:lang w:val="es-CL"/>
        </w:rPr>
        <w:t>–</w:t>
      </w:r>
      <w:r w:rsidR="00CF2605" w:rsidRPr="00CF2605">
        <w:rPr>
          <w:lang w:val="es-CL"/>
        </w:rPr>
        <w:t xml:space="preserve"> USD 1 000 </w:t>
      </w:r>
      <w:r w:rsidR="00C235D8">
        <w:rPr>
          <w:lang w:val="es-CL"/>
        </w:rPr>
        <w:t>–</w:t>
      </w:r>
      <w:r w:rsidR="00CF2605" w:rsidRPr="00CF2605">
        <w:rPr>
          <w:lang w:val="es-CL"/>
        </w:rPr>
        <w:t xml:space="preserve"> Justificación: </w:t>
      </w:r>
      <w:r w:rsidR="006B350D">
        <w:rPr>
          <w:lang w:val="es-CL"/>
        </w:rPr>
        <w:t xml:space="preserve">Arriendo de sala </w:t>
      </w:r>
      <w:r w:rsidR="00CF2605" w:rsidRPr="00CF2605">
        <w:rPr>
          <w:lang w:val="es-CL"/>
        </w:rPr>
        <w:t>(estimad</w:t>
      </w:r>
      <w:r w:rsidR="0048539E">
        <w:rPr>
          <w:lang w:val="es-CL"/>
        </w:rPr>
        <w:t>o</w:t>
      </w:r>
      <w:r w:rsidR="00CF2605" w:rsidRPr="00CF2605">
        <w:rPr>
          <w:lang w:val="es-CL"/>
        </w:rPr>
        <w:t xml:space="preserve"> en $500 según el valor del precio de mercado sobre la base de...); </w:t>
      </w:r>
      <w:r w:rsidR="006B350D">
        <w:rPr>
          <w:lang w:val="es-CL"/>
        </w:rPr>
        <w:t>colación</w:t>
      </w:r>
      <w:r w:rsidR="00CF2605" w:rsidRPr="00CF2605">
        <w:rPr>
          <w:lang w:val="es-CL"/>
        </w:rPr>
        <w:t xml:space="preserve"> (estimados en $200 para 30 participantes sobre la base de 3 cotizaciones); facilitador (estimado en $100 sobre la base del valor del precio de mercado); viáticos (estimados en $200 sobre la base del precio actual del transporte público).</w:t>
      </w:r>
    </w:p>
  </w:footnote>
  <w:footnote w:id="5">
    <w:p w14:paraId="44874520" w14:textId="5D355A1B" w:rsidR="006241FE" w:rsidRPr="006241FE" w:rsidRDefault="006241FE" w:rsidP="006241FE">
      <w:pPr>
        <w:pStyle w:val="FootnoteText"/>
        <w:jc w:val="both"/>
        <w:rPr>
          <w:lang w:val="es-CL"/>
        </w:rPr>
      </w:pPr>
      <w:r>
        <w:rPr>
          <w:rStyle w:val="FootnoteReference"/>
        </w:rPr>
        <w:footnoteRef/>
      </w:r>
      <w:r w:rsidRPr="006241FE">
        <w:rPr>
          <w:lang w:val="es-CL"/>
        </w:rPr>
        <w:t xml:space="preserve"> </w:t>
      </w:r>
      <w:r>
        <w:rPr>
          <w:lang w:val="es-CL"/>
        </w:rPr>
        <w:t>Cualquier gasto relacionado con la</w:t>
      </w:r>
      <w:r w:rsidRPr="006241FE">
        <w:rPr>
          <w:lang w:val="es-CL"/>
        </w:rPr>
        <w:t xml:space="preserve"> intermediación bancaria, así como los gastos bancarios propios del socio </w:t>
      </w:r>
      <w:r>
        <w:rPr>
          <w:lang w:val="es-CL"/>
        </w:rPr>
        <w:t xml:space="preserve">ejecutor </w:t>
      </w:r>
      <w:r w:rsidRPr="006241FE">
        <w:rPr>
          <w:lang w:val="es-CL"/>
        </w:rPr>
        <w:t>asociados a las transferencias de efectivo de</w:t>
      </w:r>
      <w:r w:rsidR="009F0F8C">
        <w:rPr>
          <w:lang w:val="es-CL"/>
        </w:rPr>
        <w:t>sde</w:t>
      </w:r>
      <w:r w:rsidRPr="006241FE">
        <w:rPr>
          <w:lang w:val="es-CL"/>
        </w:rPr>
        <w:t xml:space="preserve"> la UNESCO </w:t>
      </w:r>
      <w:r w:rsidR="009F0F8C">
        <w:rPr>
          <w:lang w:val="es-CL"/>
        </w:rPr>
        <w:t>hacia e</w:t>
      </w:r>
      <w:r>
        <w:rPr>
          <w:lang w:val="es-CL"/>
        </w:rPr>
        <w:t>l socio ejecutor</w:t>
      </w:r>
      <w:r w:rsidRPr="006241FE">
        <w:rPr>
          <w:lang w:val="es-CL"/>
        </w:rPr>
        <w:t xml:space="preserve"> correrán </w:t>
      </w:r>
      <w:r w:rsidR="009F0F8C">
        <w:rPr>
          <w:lang w:val="es-CL"/>
        </w:rPr>
        <w:t>por</w:t>
      </w:r>
      <w:r w:rsidRPr="006241FE">
        <w:rPr>
          <w:lang w:val="es-CL"/>
        </w:rPr>
        <w:t xml:space="preserve"> cargo de</w:t>
      </w:r>
      <w:r w:rsidR="009A565B">
        <w:rPr>
          <w:lang w:val="es-CL"/>
        </w:rPr>
        <w:t xml:space="preserve"> la organización socia.</w:t>
      </w:r>
    </w:p>
  </w:footnote>
  <w:footnote w:id="6">
    <w:p w14:paraId="48C1F2B6" w14:textId="35F2BDE8" w:rsidR="00923319" w:rsidRPr="00923319" w:rsidRDefault="008A35F5" w:rsidP="007365E3">
      <w:pPr>
        <w:spacing w:line="240" w:lineRule="auto"/>
        <w:jc w:val="both"/>
        <w:rPr>
          <w:i/>
          <w:iCs/>
          <w:sz w:val="19"/>
          <w:szCs w:val="19"/>
          <w:lang w:val="es-CL"/>
        </w:rPr>
      </w:pPr>
      <w:r>
        <w:rPr>
          <w:rStyle w:val="FootnoteReference"/>
        </w:rPr>
        <w:footnoteRef/>
      </w:r>
      <w:r w:rsidRPr="00923319">
        <w:rPr>
          <w:lang w:val="es-CL"/>
        </w:rPr>
        <w:t xml:space="preserve"> </w:t>
      </w:r>
      <w:r w:rsidR="00923319" w:rsidRPr="00E81738">
        <w:rPr>
          <w:b/>
          <w:bCs/>
          <w:i/>
          <w:iCs/>
          <w:sz w:val="19"/>
          <w:szCs w:val="19"/>
          <w:lang w:val="es-CL"/>
        </w:rPr>
        <w:t xml:space="preserve">Mejor relación calidad-precio: </w:t>
      </w:r>
      <w:r w:rsidR="00923319" w:rsidRPr="00E81738">
        <w:rPr>
          <w:i/>
          <w:iCs/>
          <w:sz w:val="19"/>
          <w:szCs w:val="19"/>
          <w:lang w:val="es-CL"/>
        </w:rPr>
        <w:t xml:space="preserve">La UNESCO aceptará las propuestas de </w:t>
      </w:r>
      <w:r w:rsidR="00923319">
        <w:rPr>
          <w:i/>
          <w:iCs/>
          <w:sz w:val="19"/>
          <w:szCs w:val="19"/>
          <w:lang w:val="es-CL"/>
        </w:rPr>
        <w:t xml:space="preserve">proyecto </w:t>
      </w:r>
      <w:r w:rsidR="00923319" w:rsidRPr="00E81738">
        <w:rPr>
          <w:i/>
          <w:iCs/>
          <w:sz w:val="19"/>
          <w:szCs w:val="19"/>
          <w:lang w:val="es-CL"/>
        </w:rPr>
        <w:t>que cumplan efectivamente con los requisitos de la UNESCO (tal y como se indican en es</w:t>
      </w:r>
      <w:r w:rsidR="00923319">
        <w:rPr>
          <w:i/>
          <w:iCs/>
          <w:sz w:val="19"/>
          <w:szCs w:val="19"/>
          <w:lang w:val="es-CL"/>
        </w:rPr>
        <w:t>te Llamado a Propuestas</w:t>
      </w:r>
      <w:r w:rsidR="00923319" w:rsidRPr="00E81738">
        <w:rPr>
          <w:i/>
          <w:iCs/>
          <w:sz w:val="19"/>
          <w:szCs w:val="19"/>
          <w:lang w:val="es-CL"/>
        </w:rPr>
        <w:t>) basándose en una evaluación integrada de los elementos de la propuesta (incluidos los factores técnicos, organizativos y de precios) a la luz de su importancia relativa (es decir, los cost</w:t>
      </w:r>
      <w:r w:rsidR="00923319">
        <w:rPr>
          <w:i/>
          <w:iCs/>
          <w:sz w:val="19"/>
          <w:szCs w:val="19"/>
          <w:lang w:val="es-CL"/>
        </w:rPr>
        <w:t>o</w:t>
      </w:r>
      <w:r w:rsidR="00923319" w:rsidRPr="00E81738">
        <w:rPr>
          <w:i/>
          <w:iCs/>
          <w:sz w:val="19"/>
          <w:szCs w:val="19"/>
          <w:lang w:val="es-CL"/>
        </w:rPr>
        <w:t>s y beneficios del ciclo de vida, la fiabilidad, la calidad, la experiencia, la reputación, los resultados anteriores, el realismo de los costes/tarifas y la razonabilidad). Los parámetros de la UNESCO también incluyen factores sociales y medioambientales, así como los objetivos estratégicos del GMDF. Para garantizar una buena relación calidad-precio, la convocatoria y los procesos de evaluación y selección correspondientes deberán</w:t>
      </w:r>
      <w:r w:rsidR="00923319" w:rsidRPr="00E81738">
        <w:rPr>
          <w:b/>
          <w:bCs/>
          <w:i/>
          <w:iCs/>
          <w:sz w:val="19"/>
          <w:szCs w:val="19"/>
          <w:lang w:val="es-CL"/>
        </w:rPr>
        <w:t xml:space="preserve"> </w:t>
      </w:r>
      <w:r w:rsidR="00923319" w:rsidRPr="00E81738">
        <w:rPr>
          <w:i/>
          <w:iCs/>
          <w:sz w:val="19"/>
          <w:szCs w:val="19"/>
          <w:lang w:val="es-CL"/>
        </w:rPr>
        <w:t xml:space="preserve">maximizar la competencia, garantizar una evaluación imparcial y exhaustiva de las propuestas, y asegurar la selección de </w:t>
      </w:r>
      <w:r w:rsidR="00923319">
        <w:rPr>
          <w:i/>
          <w:iCs/>
          <w:sz w:val="19"/>
          <w:szCs w:val="19"/>
          <w:lang w:val="es-CL"/>
        </w:rPr>
        <w:t xml:space="preserve">los candidatos </w:t>
      </w:r>
      <w:r w:rsidR="00923319" w:rsidRPr="00E81738">
        <w:rPr>
          <w:i/>
          <w:iCs/>
          <w:sz w:val="19"/>
          <w:szCs w:val="19"/>
          <w:lang w:val="es-CL"/>
        </w:rPr>
        <w:t>cuyas propuestas tengan el mayor grado de pertinencia, realismo y cuyo rendimiento se espera que se ajuste mejor a las normas, especificaciones, declaración de obras y términos de referencia de la UNESCO.</w:t>
      </w:r>
    </w:p>
    <w:p w14:paraId="4983E25E" w14:textId="7D9FEB8C" w:rsidR="00923319" w:rsidRPr="00697261" w:rsidRDefault="00923319" w:rsidP="00697261">
      <w:pPr>
        <w:pStyle w:val="FootnoteText"/>
        <w:spacing w:after="240"/>
        <w:jc w:val="both"/>
        <w:rPr>
          <w:b/>
          <w:bCs/>
          <w:i/>
          <w:iCs/>
          <w:sz w:val="19"/>
          <w:szCs w:val="19"/>
          <w:lang w:val="es-CL"/>
        </w:rPr>
      </w:pPr>
      <w:r w:rsidRPr="00661583">
        <w:rPr>
          <w:b/>
          <w:bCs/>
          <w:i/>
          <w:iCs/>
          <w:sz w:val="19"/>
          <w:szCs w:val="19"/>
          <w:lang w:val="es-CL"/>
        </w:rPr>
        <w:t xml:space="preserve">Equidad, integridad y transparencia: </w:t>
      </w:r>
      <w:r w:rsidRPr="00661583">
        <w:rPr>
          <w:i/>
          <w:iCs/>
          <w:sz w:val="19"/>
          <w:szCs w:val="19"/>
          <w:lang w:val="es-CL"/>
        </w:rPr>
        <w:t>La equidad se refiere a ser razonable e imparcial, y a tratar a todos de la misma manera. La integridad se refiere a aspectos del comportamiento personal e institucional, incluyendo cualidades como la honestidad, la veracidad, la imparcialidad y la incorruptibilidad. La transparencia, la visibilidad y apertura sin trabas de todas las transacciones, garantiza que toda la información sobre políticas, procedimientos, oportunidades y procesos esté claramente definida y sea ampliamente conocida y disponible. Un sistema transparente aumenta la posibilidad de detectar cualquier desviación del trato justo e igualitario y, por tanto, hace menos probable que se produzcan dichas desviaciones. La transparencia protege así la integridad del proceso y los intereses de la UNESCO. La UNESCO será responsable de proteger la integridad del proceso y de mantener la equidad en el tratamiento de todos los posibles beneficiarios. La selección adecuada de los beneficiarios (es decir, la apertura del proceso; la probidad; los registros completos y precisos; la responsabilidad; la confidencialidad) se garantizará mediante normas y procedimientos que sean alcanzables e inequívocos.</w:t>
      </w:r>
    </w:p>
    <w:p w14:paraId="639010BB" w14:textId="77777777" w:rsidR="00923319" w:rsidRDefault="00923319" w:rsidP="007365E3">
      <w:pPr>
        <w:spacing w:after="0" w:line="240" w:lineRule="auto"/>
        <w:jc w:val="both"/>
        <w:rPr>
          <w:b/>
          <w:bCs/>
          <w:i/>
          <w:iCs/>
          <w:sz w:val="19"/>
          <w:szCs w:val="19"/>
          <w:lang w:val="es-CL"/>
        </w:rPr>
      </w:pPr>
      <w:r w:rsidRPr="00D4727F">
        <w:rPr>
          <w:b/>
          <w:bCs/>
          <w:i/>
          <w:iCs/>
          <w:sz w:val="19"/>
          <w:szCs w:val="19"/>
          <w:lang w:val="es-CL"/>
        </w:rPr>
        <w:t xml:space="preserve">Economía y </w:t>
      </w:r>
      <w:r>
        <w:rPr>
          <w:b/>
          <w:bCs/>
          <w:i/>
          <w:iCs/>
          <w:sz w:val="19"/>
          <w:szCs w:val="19"/>
          <w:lang w:val="es-CL"/>
        </w:rPr>
        <w:t>E</w:t>
      </w:r>
      <w:r w:rsidRPr="00D4727F">
        <w:rPr>
          <w:b/>
          <w:bCs/>
          <w:i/>
          <w:iCs/>
          <w:sz w:val="19"/>
          <w:szCs w:val="19"/>
          <w:lang w:val="es-CL"/>
        </w:rPr>
        <w:t xml:space="preserve">ficacia: </w:t>
      </w:r>
      <w:r w:rsidRPr="00D4727F">
        <w:rPr>
          <w:i/>
          <w:iCs/>
          <w:sz w:val="19"/>
          <w:szCs w:val="19"/>
          <w:lang w:val="es-CL"/>
        </w:rPr>
        <w:t>La Economía y la Eficacia se refieren a la medida en que la UNESCO tiene éxito en la realización de sus operaciones, asegurando la cantidad y la calidad adecuadas, en el momento adecuado, al precio adecuado y al lugar adecuado, y también a la medida en que se minimizan los costes globales en interés del presupuesto general de la Organización. Mediante este principio, la UNESCO protegerá los intereses de los Estados miembros y de los donantes en la selección de los candidatos. La eficacia ayuda a garantizar el interés de los beneficiarios mediante la selección de candidatos que puedan satisfacer sus necesidades.</w:t>
      </w:r>
    </w:p>
    <w:p w14:paraId="292F0833" w14:textId="28DEB4F2" w:rsidR="008A35F5" w:rsidRPr="00923319" w:rsidRDefault="008A35F5">
      <w:pPr>
        <w:pStyle w:val="FootnoteText"/>
        <w:rPr>
          <w:lang w:val="es-CL"/>
        </w:rPr>
      </w:pPr>
    </w:p>
  </w:footnote>
  <w:footnote w:id="7">
    <w:p w14:paraId="3B0A693C" w14:textId="792021BA" w:rsidR="00170842" w:rsidRPr="002155A8" w:rsidRDefault="00170842" w:rsidP="00170842">
      <w:pPr>
        <w:pStyle w:val="FootnoteText"/>
        <w:jc w:val="both"/>
        <w:rPr>
          <w:lang w:val="es-CL"/>
        </w:rPr>
      </w:pPr>
      <w:r>
        <w:rPr>
          <w:rStyle w:val="FootnoteReference"/>
        </w:rPr>
        <w:footnoteRef/>
      </w:r>
      <w:r w:rsidRPr="002155A8">
        <w:rPr>
          <w:lang w:val="es-CL"/>
        </w:rPr>
        <w:t xml:space="preserve"> </w:t>
      </w:r>
      <w:r>
        <w:rPr>
          <w:lang w:val="es-CL"/>
        </w:rPr>
        <w:t>Para los</w:t>
      </w:r>
      <w:r w:rsidRPr="002155A8">
        <w:rPr>
          <w:lang w:val="es-CL"/>
        </w:rPr>
        <w:t xml:space="preserve"> efectos de </w:t>
      </w:r>
      <w:r>
        <w:rPr>
          <w:lang w:val="es-CL"/>
        </w:rPr>
        <w:t>esta Convocatoria de Propuestas</w:t>
      </w:r>
      <w:r w:rsidRPr="002155A8">
        <w:rPr>
          <w:lang w:val="es-CL"/>
        </w:rPr>
        <w:t xml:space="preserve">, </w:t>
      </w:r>
      <w:r>
        <w:rPr>
          <w:lang w:val="es-CL"/>
        </w:rPr>
        <w:t>serán</w:t>
      </w:r>
      <w:r w:rsidRPr="002155A8">
        <w:rPr>
          <w:lang w:val="es-CL"/>
        </w:rPr>
        <w:t xml:space="preserve"> "socios preseleccionados" aquellos que</w:t>
      </w:r>
      <w:r>
        <w:rPr>
          <w:lang w:val="es-CL"/>
        </w:rPr>
        <w:t xml:space="preserve">, habiendo presentado una de las propuestas de proyecto mejor evaluadas, </w:t>
      </w:r>
      <w:r w:rsidR="006954BC">
        <w:rPr>
          <w:lang w:val="es-CL"/>
        </w:rPr>
        <w:t>serán invitados</w:t>
      </w:r>
      <w:r>
        <w:rPr>
          <w:lang w:val="es-CL"/>
        </w:rPr>
        <w:t xml:space="preserve"> </w:t>
      </w:r>
      <w:r w:rsidRPr="002155A8">
        <w:rPr>
          <w:lang w:val="es-CL"/>
        </w:rPr>
        <w:t xml:space="preserve">a entablar negociaciones con la UNESCO para racionalizar el presupuesto y las actividades propuestas y/o definir los </w:t>
      </w:r>
      <w:r>
        <w:rPr>
          <w:lang w:val="es-CL"/>
        </w:rPr>
        <w:t>T</w:t>
      </w:r>
      <w:r w:rsidRPr="002155A8">
        <w:rPr>
          <w:lang w:val="es-CL"/>
        </w:rPr>
        <w:t xml:space="preserve">érminos de </w:t>
      </w:r>
      <w:r>
        <w:rPr>
          <w:lang w:val="es-CL"/>
        </w:rPr>
        <w:t>R</w:t>
      </w:r>
      <w:r w:rsidRPr="002155A8">
        <w:rPr>
          <w:lang w:val="es-CL"/>
        </w:rPr>
        <w:t xml:space="preserve">eferencia de un </w:t>
      </w:r>
      <w:r>
        <w:rPr>
          <w:lang w:val="es-CL"/>
        </w:rPr>
        <w:t>futuro A</w:t>
      </w:r>
      <w:r w:rsidRPr="002155A8">
        <w:rPr>
          <w:lang w:val="es-CL"/>
        </w:rPr>
        <w:t xml:space="preserve">cuerdo de </w:t>
      </w:r>
      <w:r>
        <w:rPr>
          <w:lang w:val="es-CL"/>
        </w:rPr>
        <w:t>Socios Ejecutores</w:t>
      </w:r>
      <w:r w:rsidRPr="002155A8">
        <w:rPr>
          <w:lang w:val="es-CL"/>
        </w:rPr>
        <w:t xml:space="preserve">, </w:t>
      </w:r>
      <w:r>
        <w:rPr>
          <w:lang w:val="es-CL"/>
        </w:rPr>
        <w:t>previo a la</w:t>
      </w:r>
      <w:r w:rsidRPr="002155A8">
        <w:rPr>
          <w:lang w:val="es-CL"/>
        </w:rPr>
        <w:t xml:space="preserve"> </w:t>
      </w:r>
      <w:r>
        <w:rPr>
          <w:lang w:val="es-CL"/>
        </w:rPr>
        <w:t>validac</w:t>
      </w:r>
      <w:r w:rsidRPr="002155A8">
        <w:rPr>
          <w:lang w:val="es-CL"/>
        </w:rPr>
        <w:t>ión</w:t>
      </w:r>
      <w:r w:rsidR="006954BC">
        <w:rPr>
          <w:lang w:val="es-CL"/>
        </w:rPr>
        <w:t xml:space="preserve"> final</w:t>
      </w:r>
      <w:r w:rsidRPr="002155A8">
        <w:rPr>
          <w:lang w:val="es-CL"/>
        </w:rPr>
        <w:t xml:space="preserve"> y</w:t>
      </w:r>
      <w:r w:rsidR="006954BC">
        <w:rPr>
          <w:lang w:val="es-CL"/>
        </w:rPr>
        <w:t xml:space="preserve"> </w:t>
      </w:r>
      <w:r w:rsidR="002F07BE">
        <w:rPr>
          <w:lang w:val="es-CL"/>
        </w:rPr>
        <w:t xml:space="preserve">a </w:t>
      </w:r>
      <w:r w:rsidR="006954BC">
        <w:rPr>
          <w:lang w:val="es-CL"/>
        </w:rPr>
        <w:t>la</w:t>
      </w:r>
      <w:r w:rsidRPr="002155A8">
        <w:rPr>
          <w:lang w:val="es-CL"/>
        </w:rPr>
        <w:t xml:space="preserve"> firma del contrato.</w:t>
      </w:r>
    </w:p>
  </w:footnote>
  <w:footnote w:id="8">
    <w:p w14:paraId="578FC751" w14:textId="4F3BAD96" w:rsidR="007C65EC" w:rsidRPr="007C65EC" w:rsidRDefault="007C65EC" w:rsidP="00E05E8C">
      <w:pPr>
        <w:pStyle w:val="FootnoteText"/>
        <w:jc w:val="both"/>
        <w:rPr>
          <w:lang w:val="es-CL"/>
        </w:rPr>
      </w:pPr>
      <w:r>
        <w:rPr>
          <w:rStyle w:val="FootnoteReference"/>
        </w:rPr>
        <w:footnoteRef/>
      </w:r>
      <w:r w:rsidRPr="007C65EC">
        <w:rPr>
          <w:lang w:val="es-CL"/>
        </w:rPr>
        <w:t xml:space="preserve"> </w:t>
      </w:r>
      <w:r>
        <w:rPr>
          <w:lang w:val="es-CL"/>
        </w:rPr>
        <w:t>El</w:t>
      </w:r>
      <w:r w:rsidRPr="00BB47BE">
        <w:rPr>
          <w:lang w:val="es-CL"/>
        </w:rPr>
        <w:t xml:space="preserve"> informe narrativo final </w:t>
      </w:r>
      <w:r>
        <w:rPr>
          <w:lang w:val="es-CL"/>
        </w:rPr>
        <w:t>resumirá</w:t>
      </w:r>
      <w:r w:rsidRPr="00BB47BE">
        <w:rPr>
          <w:lang w:val="es-CL"/>
        </w:rPr>
        <w:t xml:space="preserve"> todas las acciones </w:t>
      </w:r>
      <w:r>
        <w:rPr>
          <w:lang w:val="es-CL"/>
        </w:rPr>
        <w:t>ejecutadas</w:t>
      </w:r>
      <w:r w:rsidRPr="00BB47BE">
        <w:rPr>
          <w:lang w:val="es-CL"/>
        </w:rPr>
        <w:t xml:space="preserve"> durante la duración del IPA. El informe proporcionará un análisis de los avances logrados con respecto a los objetivos dentro de las limitaciones de tiempo, cantidad, calidad y presupuesto: en otras palabras, una evaluación analítica del rendimiento del proyecto en términos de progreso hacia la consecución de los resultados en cuanto a los efectos del proyecto, la entrega de productos y la ejecución de actividades, incluyendo referencias a los desafíos en la ejecución, las acciones correctivas y las lecciones aprendidas; una propuesta sobre los próximos pasos o acciones para ir más allá de los objetivos del proyecto; e información sobre cómo se </w:t>
      </w:r>
      <w:r w:rsidR="00E05E8C">
        <w:rPr>
          <w:lang w:val="es-CL"/>
        </w:rPr>
        <w:t xml:space="preserve">incorporaron </w:t>
      </w:r>
      <w:r w:rsidRPr="00BB47BE">
        <w:rPr>
          <w:lang w:val="es-CL"/>
        </w:rPr>
        <w:t>las consideraciones de igualdad de género a lo largo del desarrollo y la ejecución del proyecto, proporcionando datos desglosados por género.</w:t>
      </w:r>
    </w:p>
  </w:footnote>
  <w:footnote w:id="9">
    <w:p w14:paraId="28CC8CB0" w14:textId="7D151EDE" w:rsidR="00702DAD" w:rsidRPr="00702DAD" w:rsidRDefault="00702DAD" w:rsidP="007B1333">
      <w:pPr>
        <w:pStyle w:val="FootnoteText"/>
        <w:jc w:val="both"/>
        <w:rPr>
          <w:lang w:val="es-CL"/>
        </w:rPr>
      </w:pPr>
      <w:r>
        <w:rPr>
          <w:rStyle w:val="FootnoteReference"/>
        </w:rPr>
        <w:footnoteRef/>
      </w:r>
      <w:r w:rsidRPr="00702DAD">
        <w:rPr>
          <w:lang w:val="es-CL"/>
        </w:rPr>
        <w:t xml:space="preserve"> </w:t>
      </w:r>
      <w:r w:rsidR="007B1333">
        <w:rPr>
          <w:lang w:val="es-CL"/>
        </w:rPr>
        <w:t>Los informes financieros</w:t>
      </w:r>
      <w:r w:rsidRPr="00F22261">
        <w:rPr>
          <w:lang w:val="es-CL"/>
        </w:rPr>
        <w:t xml:space="preserve"> deben </w:t>
      </w:r>
      <w:r w:rsidR="007B1333">
        <w:rPr>
          <w:lang w:val="es-CL"/>
        </w:rPr>
        <w:t>ser</w:t>
      </w:r>
      <w:r w:rsidRPr="00F22261">
        <w:rPr>
          <w:lang w:val="es-CL"/>
        </w:rPr>
        <w:t xml:space="preserve"> certificados por un funcionario autorizado </w:t>
      </w:r>
      <w:r>
        <w:rPr>
          <w:lang w:val="es-CL"/>
        </w:rPr>
        <w:t>de la organización</w:t>
      </w:r>
      <w:r w:rsidRPr="00F22261">
        <w:rPr>
          <w:lang w:val="es-CL"/>
        </w:rPr>
        <w:t xml:space="preserve"> que certifi</w:t>
      </w:r>
      <w:r>
        <w:rPr>
          <w:lang w:val="es-CL"/>
        </w:rPr>
        <w:t>cará</w:t>
      </w:r>
      <w:r w:rsidRPr="00F22261">
        <w:rPr>
          <w:lang w:val="es-CL"/>
        </w:rPr>
        <w:t xml:space="preserve"> que los gastos </w:t>
      </w:r>
      <w:r>
        <w:rPr>
          <w:lang w:val="es-CL"/>
        </w:rPr>
        <w:t>informados</w:t>
      </w:r>
      <w:r w:rsidRPr="00F22261">
        <w:rPr>
          <w:lang w:val="es-CL"/>
        </w:rPr>
        <w:t xml:space="preserve"> son exactos, que los recursos se han utilizado de acuerdo con las disposiciones presupuestarias y los términos y condiciones del Acuerdo de Socios </w:t>
      </w:r>
      <w:r>
        <w:rPr>
          <w:lang w:val="es-CL"/>
        </w:rPr>
        <w:t>Ejecutores</w:t>
      </w:r>
      <w:r w:rsidRPr="00F22261">
        <w:rPr>
          <w:lang w:val="es-CL"/>
        </w:rPr>
        <w:t>, y que todos los gastos</w:t>
      </w:r>
      <w:r>
        <w:rPr>
          <w:lang w:val="es-CL"/>
        </w:rPr>
        <w:t xml:space="preserve"> se encuentran</w:t>
      </w:r>
      <w:r w:rsidRPr="00F22261">
        <w:rPr>
          <w:lang w:val="es-CL"/>
        </w:rPr>
        <w:t xml:space="preserve"> respaldados por los documentos pertinentes. La UNESCO sólo aceptará</w:t>
      </w:r>
      <w:r>
        <w:rPr>
          <w:lang w:val="es-CL"/>
        </w:rPr>
        <w:t xml:space="preserve"> </w:t>
      </w:r>
      <w:r w:rsidRPr="00F22261">
        <w:rPr>
          <w:lang w:val="es-CL"/>
        </w:rPr>
        <w:t>gastos que se ajusten al presupuesto aprobado. El informe financiero debe ser certificado por la propia autoridad financiera del socio (contralor o equivalente), o por el auditor externo del socio.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0599" w14:textId="4E7604F7" w:rsidR="00EA3E90" w:rsidRPr="00C07342" w:rsidRDefault="00EA3E90" w:rsidP="00EA3E90">
    <w:pPr>
      <w:spacing w:after="0"/>
      <w:jc w:val="right"/>
      <w:rPr>
        <w:i/>
        <w:iCs/>
        <w:sz w:val="22"/>
        <w:szCs w:val="22"/>
        <w:lang w:val="es-CL"/>
      </w:rPr>
    </w:pPr>
    <w:r w:rsidRPr="00C07342">
      <w:rPr>
        <w:noProof/>
        <w:sz w:val="22"/>
        <w:szCs w:val="22"/>
        <w:lang w:val="es-CL" w:eastAsia="fr-FR"/>
      </w:rPr>
      <w:drawing>
        <wp:anchor distT="0" distB="0" distL="114300" distR="114300" simplePos="0" relativeHeight="251658240" behindDoc="0" locked="0" layoutInCell="1" allowOverlap="1" wp14:anchorId="07CC9B6C" wp14:editId="28FCF7A9">
          <wp:simplePos x="0" y="0"/>
          <wp:positionH relativeFrom="column">
            <wp:posOffset>0</wp:posOffset>
          </wp:positionH>
          <wp:positionV relativeFrom="paragraph">
            <wp:posOffset>-635</wp:posOffset>
          </wp:positionV>
          <wp:extent cx="2057400" cy="438150"/>
          <wp:effectExtent l="0" t="0" r="0" b="0"/>
          <wp:wrapNone/>
          <wp:docPr id="549971416" name="Picture 549971416"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blue and white 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74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342">
      <w:rPr>
        <w:b/>
        <w:bCs/>
        <w:i/>
        <w:iCs/>
        <w:sz w:val="22"/>
        <w:szCs w:val="22"/>
        <w:lang w:val="es-CL"/>
      </w:rPr>
      <w:t>Referenc</w:t>
    </w:r>
    <w:r w:rsidR="00C07342" w:rsidRPr="00C07342">
      <w:rPr>
        <w:b/>
        <w:bCs/>
        <w:i/>
        <w:iCs/>
        <w:sz w:val="22"/>
        <w:szCs w:val="22"/>
        <w:lang w:val="es-CL"/>
      </w:rPr>
      <w:t>ia</w:t>
    </w:r>
    <w:r w:rsidRPr="00C07342">
      <w:rPr>
        <w:b/>
        <w:bCs/>
        <w:i/>
        <w:iCs/>
        <w:sz w:val="22"/>
        <w:szCs w:val="22"/>
        <w:lang w:val="es-CL"/>
      </w:rPr>
      <w:t>:</w:t>
    </w:r>
    <w:r w:rsidRPr="00C07342">
      <w:rPr>
        <w:i/>
        <w:iCs/>
        <w:sz w:val="22"/>
        <w:szCs w:val="22"/>
        <w:lang w:val="es-CL"/>
      </w:rPr>
      <w:t xml:space="preserve"> CI/FMD/FEJ/2024/</w:t>
    </w:r>
    <w:r w:rsidR="0008249A" w:rsidRPr="00C07342">
      <w:rPr>
        <w:i/>
        <w:iCs/>
        <w:sz w:val="22"/>
        <w:szCs w:val="22"/>
        <w:lang w:val="es-CL"/>
      </w:rPr>
      <w:t>80</w:t>
    </w:r>
  </w:p>
  <w:p w14:paraId="4448D909" w14:textId="17C532FD" w:rsidR="00EA3E90" w:rsidRPr="00C07342" w:rsidRDefault="00C07342" w:rsidP="00EA3E90">
    <w:pPr>
      <w:jc w:val="right"/>
      <w:rPr>
        <w:i/>
        <w:iCs/>
        <w:sz w:val="22"/>
        <w:szCs w:val="22"/>
        <w:lang w:val="es-CL"/>
      </w:rPr>
    </w:pPr>
    <w:r w:rsidRPr="00C07342">
      <w:rPr>
        <w:b/>
        <w:bCs/>
        <w:i/>
        <w:iCs/>
        <w:sz w:val="22"/>
        <w:szCs w:val="22"/>
        <w:lang w:val="es-CL"/>
      </w:rPr>
      <w:t>Fecha Límite</w:t>
    </w:r>
    <w:r w:rsidR="00EA3E90" w:rsidRPr="00C07342">
      <w:rPr>
        <w:b/>
        <w:bCs/>
        <w:i/>
        <w:iCs/>
        <w:sz w:val="22"/>
        <w:szCs w:val="22"/>
        <w:lang w:val="es-CL"/>
      </w:rPr>
      <w:t xml:space="preserve">: </w:t>
    </w:r>
    <w:proofErr w:type="gramStart"/>
    <w:r>
      <w:rPr>
        <w:i/>
        <w:iCs/>
        <w:sz w:val="22"/>
        <w:szCs w:val="22"/>
        <w:lang w:val="es-CL"/>
      </w:rPr>
      <w:t>Viernes</w:t>
    </w:r>
    <w:proofErr w:type="gramEnd"/>
    <w:r w:rsidR="00800331" w:rsidRPr="00C07342">
      <w:rPr>
        <w:i/>
        <w:iCs/>
        <w:sz w:val="22"/>
        <w:szCs w:val="22"/>
        <w:lang w:val="es-CL"/>
      </w:rPr>
      <w:t xml:space="preserve"> </w:t>
    </w:r>
    <w:r w:rsidR="00656379" w:rsidRPr="00C07342">
      <w:rPr>
        <w:i/>
        <w:iCs/>
        <w:sz w:val="22"/>
        <w:szCs w:val="22"/>
        <w:lang w:val="es-CL"/>
      </w:rPr>
      <w:t>18</w:t>
    </w:r>
    <w:r w:rsidR="00EA3E90" w:rsidRPr="00C07342">
      <w:rPr>
        <w:i/>
        <w:iCs/>
        <w:sz w:val="22"/>
        <w:szCs w:val="22"/>
        <w:lang w:val="es-CL"/>
      </w:rPr>
      <w:t xml:space="preserve"> </w:t>
    </w:r>
    <w:r>
      <w:rPr>
        <w:i/>
        <w:iCs/>
        <w:sz w:val="22"/>
        <w:szCs w:val="22"/>
        <w:lang w:val="es-CL"/>
      </w:rPr>
      <w:t>de octubre de</w:t>
    </w:r>
    <w:r w:rsidR="00EA3E90" w:rsidRPr="00C07342">
      <w:rPr>
        <w:i/>
        <w:iCs/>
        <w:sz w:val="22"/>
        <w:szCs w:val="22"/>
        <w:lang w:val="es-CL"/>
      </w:rPr>
      <w:t xml:space="preserve"> 202</w:t>
    </w:r>
    <w:r w:rsidR="009A702C" w:rsidRPr="00C07342">
      <w:rPr>
        <w:i/>
        <w:iCs/>
        <w:sz w:val="22"/>
        <w:szCs w:val="22"/>
        <w:lang w:val="es-CL"/>
      </w:rPr>
      <w:t>4</w:t>
    </w:r>
    <w:r w:rsidR="00D37C09" w:rsidRPr="00C07342">
      <w:rPr>
        <w:i/>
        <w:iCs/>
        <w:sz w:val="22"/>
        <w:szCs w:val="22"/>
        <w:lang w:val="es-CL"/>
      </w:rPr>
      <w:t>,</w:t>
    </w:r>
    <w:r w:rsidR="00EA3E90" w:rsidRPr="00C07342">
      <w:rPr>
        <w:i/>
        <w:iCs/>
        <w:sz w:val="22"/>
        <w:szCs w:val="22"/>
        <w:lang w:val="es-CL"/>
      </w:rPr>
      <w:t xml:space="preserve"> 23:59 GMT+2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4AAC"/>
    <w:multiLevelType w:val="hybridMultilevel"/>
    <w:tmpl w:val="B26681FA"/>
    <w:lvl w:ilvl="0" w:tplc="A0B0EE0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1E33D3"/>
    <w:multiLevelType w:val="hybridMultilevel"/>
    <w:tmpl w:val="BF9AE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95418"/>
    <w:multiLevelType w:val="hybridMultilevel"/>
    <w:tmpl w:val="E6F2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10B0"/>
    <w:multiLevelType w:val="hybridMultilevel"/>
    <w:tmpl w:val="B218E1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D36B6A"/>
    <w:multiLevelType w:val="multilevel"/>
    <w:tmpl w:val="19B6C8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105B30"/>
    <w:multiLevelType w:val="hybridMultilevel"/>
    <w:tmpl w:val="1616B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A0CC4"/>
    <w:multiLevelType w:val="hybridMultilevel"/>
    <w:tmpl w:val="D452C97C"/>
    <w:lvl w:ilvl="0" w:tplc="4AC4A106">
      <w:start w:val="1"/>
      <w:numFmt w:val="bullet"/>
      <w:lvlText w:val="-"/>
      <w:lvlJc w:val="left"/>
      <w:pPr>
        <w:ind w:left="720" w:hanging="360"/>
      </w:pPr>
      <w:rPr>
        <w:rFonts w:ascii="Aptos" w:eastAsiaTheme="minorEastAsia" w:hAnsi="Apto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4431DA"/>
    <w:multiLevelType w:val="hybridMultilevel"/>
    <w:tmpl w:val="CF84713A"/>
    <w:lvl w:ilvl="0" w:tplc="5CD27EBE">
      <w:start w:val="1"/>
      <w:numFmt w:val="bullet"/>
      <w:lvlText w:val=""/>
      <w:lvlJc w:val="left"/>
      <w:pPr>
        <w:ind w:left="720" w:hanging="360"/>
      </w:pPr>
      <w:rPr>
        <w:rFonts w:ascii="Symbol" w:hAnsi="Symbol" w:hint="default"/>
        <w:lang w:val="es-C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B51617"/>
    <w:multiLevelType w:val="multilevel"/>
    <w:tmpl w:val="6DCC898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430AA"/>
    <w:multiLevelType w:val="hybridMultilevel"/>
    <w:tmpl w:val="5C267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759DC"/>
    <w:multiLevelType w:val="multilevel"/>
    <w:tmpl w:val="026C3E4E"/>
    <w:lvl w:ilvl="0">
      <w:start w:val="5"/>
      <w:numFmt w:val="lowerLetter"/>
      <w:lvlText w:val="%1."/>
      <w:lvlJc w:val="left"/>
      <w:pPr>
        <w:tabs>
          <w:tab w:val="num" w:pos="720"/>
        </w:tabs>
        <w:ind w:left="720" w:hanging="360"/>
      </w:p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9122A2"/>
    <w:multiLevelType w:val="hybridMultilevel"/>
    <w:tmpl w:val="8872E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6756D9"/>
    <w:multiLevelType w:val="hybridMultilevel"/>
    <w:tmpl w:val="04B26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753474"/>
    <w:multiLevelType w:val="hybridMultilevel"/>
    <w:tmpl w:val="87CC1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87B56"/>
    <w:multiLevelType w:val="hybridMultilevel"/>
    <w:tmpl w:val="67CA4E18"/>
    <w:lvl w:ilvl="0" w:tplc="20442074">
      <w:start w:val="1"/>
      <w:numFmt w:val="bullet"/>
      <w:lvlText w:val="-"/>
      <w:lvlJc w:val="left"/>
      <w:pPr>
        <w:ind w:left="720" w:hanging="360"/>
      </w:pPr>
      <w:rPr>
        <w:rFonts w:ascii="Aptos" w:eastAsiaTheme="minorEastAsia"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85064B"/>
    <w:multiLevelType w:val="hybridMultilevel"/>
    <w:tmpl w:val="8CFE88B8"/>
    <w:lvl w:ilvl="0" w:tplc="2236B71E">
      <w:start w:val="1"/>
      <w:numFmt w:val="lowerLetter"/>
      <w:lvlText w:val="%1."/>
      <w:lvlJc w:val="left"/>
      <w:pPr>
        <w:ind w:left="720" w:hanging="360"/>
      </w:pPr>
      <w:rPr>
        <w:rFonts w:eastAsia="Arial Unicode M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0B3129"/>
    <w:multiLevelType w:val="hybridMultilevel"/>
    <w:tmpl w:val="4F388A6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55DE0"/>
    <w:multiLevelType w:val="multilevel"/>
    <w:tmpl w:val="E9F4FDB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785" w:hanging="705"/>
      </w:pPr>
      <w:rPr>
        <w:rFonts w:ascii="Aptos" w:eastAsiaTheme="minorEastAsia" w:hAnsi="Aptos" w:cstheme="minorBidi"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6605899"/>
    <w:multiLevelType w:val="hybridMultilevel"/>
    <w:tmpl w:val="035087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EC43CE"/>
    <w:multiLevelType w:val="hybridMultilevel"/>
    <w:tmpl w:val="F064D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211334"/>
    <w:multiLevelType w:val="hybridMultilevel"/>
    <w:tmpl w:val="EB1C292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5E6A55CD"/>
    <w:multiLevelType w:val="hybridMultilevel"/>
    <w:tmpl w:val="8D72C080"/>
    <w:lvl w:ilvl="0" w:tplc="336E913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0846E4"/>
    <w:multiLevelType w:val="multilevel"/>
    <w:tmpl w:val="B2EEF3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C467D43"/>
    <w:multiLevelType w:val="multilevel"/>
    <w:tmpl w:val="8C40FCE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1566D0"/>
    <w:multiLevelType w:val="hybridMultilevel"/>
    <w:tmpl w:val="6BF4F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CDB3BFF"/>
    <w:multiLevelType w:val="multilevel"/>
    <w:tmpl w:val="B89CDF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1966">
    <w:abstractNumId w:val="8"/>
  </w:num>
  <w:num w:numId="2" w16cid:durableId="201942751">
    <w:abstractNumId w:val="0"/>
  </w:num>
  <w:num w:numId="3" w16cid:durableId="709500883">
    <w:abstractNumId w:val="31"/>
  </w:num>
  <w:num w:numId="4" w16cid:durableId="433474218">
    <w:abstractNumId w:val="22"/>
  </w:num>
  <w:num w:numId="5" w16cid:durableId="1368598533">
    <w:abstractNumId w:val="32"/>
  </w:num>
  <w:num w:numId="6" w16cid:durableId="551115811">
    <w:abstractNumId w:val="7"/>
  </w:num>
  <w:num w:numId="7" w16cid:durableId="298807696">
    <w:abstractNumId w:val="39"/>
  </w:num>
  <w:num w:numId="8" w16cid:durableId="863252575">
    <w:abstractNumId w:val="29"/>
  </w:num>
  <w:num w:numId="9" w16cid:durableId="475222237">
    <w:abstractNumId w:val="1"/>
  </w:num>
  <w:num w:numId="10" w16cid:durableId="2032947778">
    <w:abstractNumId w:val="26"/>
  </w:num>
  <w:num w:numId="11" w16cid:durableId="1093358844">
    <w:abstractNumId w:val="9"/>
  </w:num>
  <w:num w:numId="12" w16cid:durableId="124587923">
    <w:abstractNumId w:val="20"/>
  </w:num>
  <w:num w:numId="13" w16cid:durableId="917595956">
    <w:abstractNumId w:val="3"/>
  </w:num>
  <w:num w:numId="14" w16cid:durableId="2010478401">
    <w:abstractNumId w:val="28"/>
  </w:num>
  <w:num w:numId="15" w16cid:durableId="880288493">
    <w:abstractNumId w:val="13"/>
  </w:num>
  <w:num w:numId="16" w16cid:durableId="149641610">
    <w:abstractNumId w:val="19"/>
  </w:num>
  <w:num w:numId="17" w16cid:durableId="1554929906">
    <w:abstractNumId w:val="37"/>
  </w:num>
  <w:num w:numId="18" w16cid:durableId="1765421906">
    <w:abstractNumId w:val="4"/>
  </w:num>
  <w:num w:numId="19" w16cid:durableId="245067973">
    <w:abstractNumId w:val="6"/>
  </w:num>
  <w:num w:numId="20" w16cid:durableId="1515731896">
    <w:abstractNumId w:val="21"/>
  </w:num>
  <w:num w:numId="21" w16cid:durableId="1356930833">
    <w:abstractNumId w:val="16"/>
  </w:num>
  <w:num w:numId="22" w16cid:durableId="2144535571">
    <w:abstractNumId w:val="18"/>
  </w:num>
  <w:num w:numId="23" w16cid:durableId="1693723414">
    <w:abstractNumId w:val="36"/>
  </w:num>
  <w:num w:numId="24" w16cid:durableId="1829056023">
    <w:abstractNumId w:val="12"/>
  </w:num>
  <w:num w:numId="25" w16cid:durableId="862986121">
    <w:abstractNumId w:val="33"/>
  </w:num>
  <w:num w:numId="26" w16cid:durableId="1948658376">
    <w:abstractNumId w:val="5"/>
  </w:num>
  <w:num w:numId="27" w16cid:durableId="1598556163">
    <w:abstractNumId w:val="34"/>
  </w:num>
  <w:num w:numId="28" w16cid:durableId="207648102">
    <w:abstractNumId w:val="38"/>
  </w:num>
  <w:num w:numId="29" w16cid:durableId="2069572157">
    <w:abstractNumId w:val="15"/>
  </w:num>
  <w:num w:numId="30" w16cid:durableId="381446359">
    <w:abstractNumId w:val="10"/>
  </w:num>
  <w:num w:numId="31" w16cid:durableId="902103099">
    <w:abstractNumId w:val="2"/>
  </w:num>
  <w:num w:numId="32" w16cid:durableId="644505542">
    <w:abstractNumId w:val="27"/>
  </w:num>
  <w:num w:numId="33" w16cid:durableId="109859995">
    <w:abstractNumId w:val="24"/>
  </w:num>
  <w:num w:numId="34" w16cid:durableId="707610112">
    <w:abstractNumId w:val="35"/>
  </w:num>
  <w:num w:numId="35" w16cid:durableId="517695619">
    <w:abstractNumId w:val="11"/>
  </w:num>
  <w:num w:numId="36" w16cid:durableId="767577451">
    <w:abstractNumId w:val="14"/>
  </w:num>
  <w:num w:numId="37" w16cid:durableId="1358237376">
    <w:abstractNumId w:val="40"/>
  </w:num>
  <w:num w:numId="38" w16cid:durableId="1467966070">
    <w:abstractNumId w:val="23"/>
  </w:num>
  <w:num w:numId="39" w16cid:durableId="1399405212">
    <w:abstractNumId w:val="25"/>
  </w:num>
  <w:num w:numId="40" w16cid:durableId="739448787">
    <w:abstractNumId w:val="17"/>
  </w:num>
  <w:num w:numId="41" w16cid:durableId="43066342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DF"/>
    <w:rsid w:val="000014C4"/>
    <w:rsid w:val="0000219B"/>
    <w:rsid w:val="00002F96"/>
    <w:rsid w:val="000032D7"/>
    <w:rsid w:val="000048B1"/>
    <w:rsid w:val="000069EB"/>
    <w:rsid w:val="000117C9"/>
    <w:rsid w:val="00012069"/>
    <w:rsid w:val="00014B47"/>
    <w:rsid w:val="000179DF"/>
    <w:rsid w:val="000212DE"/>
    <w:rsid w:val="000226A6"/>
    <w:rsid w:val="000232D7"/>
    <w:rsid w:val="00024173"/>
    <w:rsid w:val="0002606E"/>
    <w:rsid w:val="00027379"/>
    <w:rsid w:val="0002790F"/>
    <w:rsid w:val="00027ED1"/>
    <w:rsid w:val="00030995"/>
    <w:rsid w:val="000315C1"/>
    <w:rsid w:val="00035CCB"/>
    <w:rsid w:val="000415D1"/>
    <w:rsid w:val="00041B84"/>
    <w:rsid w:val="0004246C"/>
    <w:rsid w:val="00042AF5"/>
    <w:rsid w:val="00044DCB"/>
    <w:rsid w:val="00045E3E"/>
    <w:rsid w:val="0004615B"/>
    <w:rsid w:val="00046962"/>
    <w:rsid w:val="000523C7"/>
    <w:rsid w:val="0005707C"/>
    <w:rsid w:val="00060BBD"/>
    <w:rsid w:val="000613A2"/>
    <w:rsid w:val="00061654"/>
    <w:rsid w:val="0006193B"/>
    <w:rsid w:val="00063B4C"/>
    <w:rsid w:val="00064868"/>
    <w:rsid w:val="00065F13"/>
    <w:rsid w:val="00067D2C"/>
    <w:rsid w:val="00067E5D"/>
    <w:rsid w:val="00071C68"/>
    <w:rsid w:val="000734A5"/>
    <w:rsid w:val="00076369"/>
    <w:rsid w:val="000763B9"/>
    <w:rsid w:val="00076D29"/>
    <w:rsid w:val="00082134"/>
    <w:rsid w:val="0008249A"/>
    <w:rsid w:val="00082D69"/>
    <w:rsid w:val="00083515"/>
    <w:rsid w:val="00083A1F"/>
    <w:rsid w:val="0008598E"/>
    <w:rsid w:val="00085EA2"/>
    <w:rsid w:val="00092863"/>
    <w:rsid w:val="00094A2B"/>
    <w:rsid w:val="00094B8D"/>
    <w:rsid w:val="00095C15"/>
    <w:rsid w:val="000A28D3"/>
    <w:rsid w:val="000A49E6"/>
    <w:rsid w:val="000A5DCF"/>
    <w:rsid w:val="000B177E"/>
    <w:rsid w:val="000B36D8"/>
    <w:rsid w:val="000B659E"/>
    <w:rsid w:val="000C0B81"/>
    <w:rsid w:val="000C2288"/>
    <w:rsid w:val="000C4444"/>
    <w:rsid w:val="000C7D26"/>
    <w:rsid w:val="000C7DE8"/>
    <w:rsid w:val="000D17EA"/>
    <w:rsid w:val="000D2C5B"/>
    <w:rsid w:val="000D2D77"/>
    <w:rsid w:val="000D3A7E"/>
    <w:rsid w:val="000D42BA"/>
    <w:rsid w:val="000D4A51"/>
    <w:rsid w:val="000D6EA6"/>
    <w:rsid w:val="000D71BE"/>
    <w:rsid w:val="000E3AF7"/>
    <w:rsid w:val="000E3E6D"/>
    <w:rsid w:val="000E5F69"/>
    <w:rsid w:val="000E7985"/>
    <w:rsid w:val="000E7F52"/>
    <w:rsid w:val="000F1A9A"/>
    <w:rsid w:val="000F248E"/>
    <w:rsid w:val="000F4D44"/>
    <w:rsid w:val="000F59BC"/>
    <w:rsid w:val="000F69FD"/>
    <w:rsid w:val="000F72EC"/>
    <w:rsid w:val="00104C6F"/>
    <w:rsid w:val="0010559A"/>
    <w:rsid w:val="001072F9"/>
    <w:rsid w:val="00107663"/>
    <w:rsid w:val="00112C6C"/>
    <w:rsid w:val="0011549E"/>
    <w:rsid w:val="0011719E"/>
    <w:rsid w:val="00117C36"/>
    <w:rsid w:val="001202A7"/>
    <w:rsid w:val="0012165F"/>
    <w:rsid w:val="00127E3A"/>
    <w:rsid w:val="00135F27"/>
    <w:rsid w:val="00136ED1"/>
    <w:rsid w:val="001370A6"/>
    <w:rsid w:val="001429DF"/>
    <w:rsid w:val="001446C0"/>
    <w:rsid w:val="00147348"/>
    <w:rsid w:val="00147A3D"/>
    <w:rsid w:val="001502C6"/>
    <w:rsid w:val="00150ADC"/>
    <w:rsid w:val="001546EB"/>
    <w:rsid w:val="00154782"/>
    <w:rsid w:val="0015495D"/>
    <w:rsid w:val="00156FC5"/>
    <w:rsid w:val="001644B1"/>
    <w:rsid w:val="00164C35"/>
    <w:rsid w:val="00165F2A"/>
    <w:rsid w:val="001668EB"/>
    <w:rsid w:val="00170842"/>
    <w:rsid w:val="001728C3"/>
    <w:rsid w:val="0017368B"/>
    <w:rsid w:val="00173E9E"/>
    <w:rsid w:val="0017440C"/>
    <w:rsid w:val="00176EFA"/>
    <w:rsid w:val="00177FB2"/>
    <w:rsid w:val="00182F38"/>
    <w:rsid w:val="00183272"/>
    <w:rsid w:val="00184210"/>
    <w:rsid w:val="001846A2"/>
    <w:rsid w:val="00185DDB"/>
    <w:rsid w:val="001909BC"/>
    <w:rsid w:val="001955ED"/>
    <w:rsid w:val="001A0308"/>
    <w:rsid w:val="001A3E0F"/>
    <w:rsid w:val="001A45E3"/>
    <w:rsid w:val="001A7281"/>
    <w:rsid w:val="001B0A06"/>
    <w:rsid w:val="001B15C3"/>
    <w:rsid w:val="001B1BBC"/>
    <w:rsid w:val="001B4559"/>
    <w:rsid w:val="001B4A25"/>
    <w:rsid w:val="001C1ACB"/>
    <w:rsid w:val="001C37DB"/>
    <w:rsid w:val="001C3C33"/>
    <w:rsid w:val="001C5767"/>
    <w:rsid w:val="001C5F3B"/>
    <w:rsid w:val="001D1B47"/>
    <w:rsid w:val="001D4230"/>
    <w:rsid w:val="001D6098"/>
    <w:rsid w:val="001E091C"/>
    <w:rsid w:val="001E1618"/>
    <w:rsid w:val="001E1819"/>
    <w:rsid w:val="001E1A71"/>
    <w:rsid w:val="001E4897"/>
    <w:rsid w:val="001E5594"/>
    <w:rsid w:val="001E588C"/>
    <w:rsid w:val="001F105C"/>
    <w:rsid w:val="001F1653"/>
    <w:rsid w:val="001F3DBD"/>
    <w:rsid w:val="001F56AB"/>
    <w:rsid w:val="001F6D42"/>
    <w:rsid w:val="001F7A9B"/>
    <w:rsid w:val="001F7C91"/>
    <w:rsid w:val="0020231C"/>
    <w:rsid w:val="00203755"/>
    <w:rsid w:val="00205050"/>
    <w:rsid w:val="00207654"/>
    <w:rsid w:val="00210FF7"/>
    <w:rsid w:val="002113F6"/>
    <w:rsid w:val="00211DC4"/>
    <w:rsid w:val="00220F32"/>
    <w:rsid w:val="0022335E"/>
    <w:rsid w:val="00225A1A"/>
    <w:rsid w:val="002301DB"/>
    <w:rsid w:val="00233215"/>
    <w:rsid w:val="00234136"/>
    <w:rsid w:val="00240719"/>
    <w:rsid w:val="00240CFE"/>
    <w:rsid w:val="0024135D"/>
    <w:rsid w:val="00241F31"/>
    <w:rsid w:val="002425B6"/>
    <w:rsid w:val="002428CD"/>
    <w:rsid w:val="00243295"/>
    <w:rsid w:val="0024372F"/>
    <w:rsid w:val="00243EC0"/>
    <w:rsid w:val="002449C8"/>
    <w:rsid w:val="00245CFF"/>
    <w:rsid w:val="002461DA"/>
    <w:rsid w:val="00247D74"/>
    <w:rsid w:val="00250B05"/>
    <w:rsid w:val="00251209"/>
    <w:rsid w:val="00251670"/>
    <w:rsid w:val="002539D1"/>
    <w:rsid w:val="00254B44"/>
    <w:rsid w:val="00255084"/>
    <w:rsid w:val="0025575F"/>
    <w:rsid w:val="00255B56"/>
    <w:rsid w:val="002569DD"/>
    <w:rsid w:val="00260FCB"/>
    <w:rsid w:val="00261143"/>
    <w:rsid w:val="00262E5B"/>
    <w:rsid w:val="0026381D"/>
    <w:rsid w:val="00265F7E"/>
    <w:rsid w:val="00265FC1"/>
    <w:rsid w:val="00266E7F"/>
    <w:rsid w:val="0027044F"/>
    <w:rsid w:val="002710DB"/>
    <w:rsid w:val="00271CD5"/>
    <w:rsid w:val="0027373C"/>
    <w:rsid w:val="00276C4D"/>
    <w:rsid w:val="00277E25"/>
    <w:rsid w:val="002816E9"/>
    <w:rsid w:val="002818CB"/>
    <w:rsid w:val="00285C47"/>
    <w:rsid w:val="0028720D"/>
    <w:rsid w:val="00290253"/>
    <w:rsid w:val="00290639"/>
    <w:rsid w:val="002906E7"/>
    <w:rsid w:val="00290A3B"/>
    <w:rsid w:val="00293B4F"/>
    <w:rsid w:val="002961D6"/>
    <w:rsid w:val="00297CF3"/>
    <w:rsid w:val="002A0B98"/>
    <w:rsid w:val="002A293F"/>
    <w:rsid w:val="002A3768"/>
    <w:rsid w:val="002A44F3"/>
    <w:rsid w:val="002A5383"/>
    <w:rsid w:val="002A61CE"/>
    <w:rsid w:val="002A70DC"/>
    <w:rsid w:val="002A788B"/>
    <w:rsid w:val="002B07DE"/>
    <w:rsid w:val="002B0A13"/>
    <w:rsid w:val="002B1521"/>
    <w:rsid w:val="002B46F1"/>
    <w:rsid w:val="002B4A13"/>
    <w:rsid w:val="002B4BC7"/>
    <w:rsid w:val="002B573B"/>
    <w:rsid w:val="002B59EB"/>
    <w:rsid w:val="002B5C88"/>
    <w:rsid w:val="002B5D2C"/>
    <w:rsid w:val="002C0043"/>
    <w:rsid w:val="002C1CD6"/>
    <w:rsid w:val="002C2B3C"/>
    <w:rsid w:val="002C4607"/>
    <w:rsid w:val="002C5747"/>
    <w:rsid w:val="002C58A0"/>
    <w:rsid w:val="002C77FB"/>
    <w:rsid w:val="002D291C"/>
    <w:rsid w:val="002D5231"/>
    <w:rsid w:val="002D65CE"/>
    <w:rsid w:val="002E0043"/>
    <w:rsid w:val="002E1228"/>
    <w:rsid w:val="002E12C4"/>
    <w:rsid w:val="002E2354"/>
    <w:rsid w:val="002E3566"/>
    <w:rsid w:val="002E6376"/>
    <w:rsid w:val="002F02ED"/>
    <w:rsid w:val="002F07BE"/>
    <w:rsid w:val="002F17B7"/>
    <w:rsid w:val="002F285A"/>
    <w:rsid w:val="002F2F8B"/>
    <w:rsid w:val="002F3C6C"/>
    <w:rsid w:val="002F56FF"/>
    <w:rsid w:val="002F7D3E"/>
    <w:rsid w:val="00302CBD"/>
    <w:rsid w:val="00307C51"/>
    <w:rsid w:val="00312F66"/>
    <w:rsid w:val="003142BC"/>
    <w:rsid w:val="00320891"/>
    <w:rsid w:val="00320E99"/>
    <w:rsid w:val="00321081"/>
    <w:rsid w:val="00321722"/>
    <w:rsid w:val="0032243F"/>
    <w:rsid w:val="0032298A"/>
    <w:rsid w:val="00322B0E"/>
    <w:rsid w:val="00322C18"/>
    <w:rsid w:val="003237B1"/>
    <w:rsid w:val="003247A6"/>
    <w:rsid w:val="003249F4"/>
    <w:rsid w:val="00326F7B"/>
    <w:rsid w:val="00332046"/>
    <w:rsid w:val="0033428A"/>
    <w:rsid w:val="003402C5"/>
    <w:rsid w:val="0034045F"/>
    <w:rsid w:val="003428B9"/>
    <w:rsid w:val="003434C1"/>
    <w:rsid w:val="00343E9C"/>
    <w:rsid w:val="003444D6"/>
    <w:rsid w:val="003447B8"/>
    <w:rsid w:val="00346572"/>
    <w:rsid w:val="00346667"/>
    <w:rsid w:val="00347272"/>
    <w:rsid w:val="0034788A"/>
    <w:rsid w:val="0035057D"/>
    <w:rsid w:val="003522B3"/>
    <w:rsid w:val="00352819"/>
    <w:rsid w:val="003559B1"/>
    <w:rsid w:val="00355A8C"/>
    <w:rsid w:val="00356067"/>
    <w:rsid w:val="003566F9"/>
    <w:rsid w:val="00360339"/>
    <w:rsid w:val="00363268"/>
    <w:rsid w:val="00365B3F"/>
    <w:rsid w:val="00365C09"/>
    <w:rsid w:val="003667BC"/>
    <w:rsid w:val="0036750A"/>
    <w:rsid w:val="003676EB"/>
    <w:rsid w:val="00370C0E"/>
    <w:rsid w:val="003728CC"/>
    <w:rsid w:val="00373966"/>
    <w:rsid w:val="003750C4"/>
    <w:rsid w:val="00375D22"/>
    <w:rsid w:val="00382F23"/>
    <w:rsid w:val="00383708"/>
    <w:rsid w:val="00384C47"/>
    <w:rsid w:val="003871DA"/>
    <w:rsid w:val="00387E1A"/>
    <w:rsid w:val="0039097E"/>
    <w:rsid w:val="00392606"/>
    <w:rsid w:val="0039278A"/>
    <w:rsid w:val="00392C1E"/>
    <w:rsid w:val="00394EE4"/>
    <w:rsid w:val="00396671"/>
    <w:rsid w:val="003A0F88"/>
    <w:rsid w:val="003A31E3"/>
    <w:rsid w:val="003A44A2"/>
    <w:rsid w:val="003A56BF"/>
    <w:rsid w:val="003B1DE7"/>
    <w:rsid w:val="003B3767"/>
    <w:rsid w:val="003B550D"/>
    <w:rsid w:val="003B6360"/>
    <w:rsid w:val="003B76BA"/>
    <w:rsid w:val="003C0749"/>
    <w:rsid w:val="003C1006"/>
    <w:rsid w:val="003C1761"/>
    <w:rsid w:val="003C40C0"/>
    <w:rsid w:val="003C4552"/>
    <w:rsid w:val="003C484E"/>
    <w:rsid w:val="003D065B"/>
    <w:rsid w:val="003D3C6B"/>
    <w:rsid w:val="003D48A8"/>
    <w:rsid w:val="003D5AEE"/>
    <w:rsid w:val="003D6B4F"/>
    <w:rsid w:val="003E4DA6"/>
    <w:rsid w:val="003E54AC"/>
    <w:rsid w:val="003E57B7"/>
    <w:rsid w:val="003E5817"/>
    <w:rsid w:val="003F0F6D"/>
    <w:rsid w:val="003F121F"/>
    <w:rsid w:val="003F2A34"/>
    <w:rsid w:val="003F2EC9"/>
    <w:rsid w:val="003F35AE"/>
    <w:rsid w:val="003F3A11"/>
    <w:rsid w:val="003F65A2"/>
    <w:rsid w:val="003F77B5"/>
    <w:rsid w:val="003F77CF"/>
    <w:rsid w:val="003F781B"/>
    <w:rsid w:val="00400258"/>
    <w:rsid w:val="0040120C"/>
    <w:rsid w:val="00403BE7"/>
    <w:rsid w:val="00403DAA"/>
    <w:rsid w:val="004047E5"/>
    <w:rsid w:val="00404CD0"/>
    <w:rsid w:val="00404E2F"/>
    <w:rsid w:val="0040595E"/>
    <w:rsid w:val="00405A57"/>
    <w:rsid w:val="00406C1F"/>
    <w:rsid w:val="00406DB0"/>
    <w:rsid w:val="00407077"/>
    <w:rsid w:val="004077DF"/>
    <w:rsid w:val="00407FC3"/>
    <w:rsid w:val="00411F75"/>
    <w:rsid w:val="00414B41"/>
    <w:rsid w:val="0041640E"/>
    <w:rsid w:val="00417500"/>
    <w:rsid w:val="0042145B"/>
    <w:rsid w:val="00421979"/>
    <w:rsid w:val="00422163"/>
    <w:rsid w:val="0042249C"/>
    <w:rsid w:val="00424615"/>
    <w:rsid w:val="00424A5F"/>
    <w:rsid w:val="0042579F"/>
    <w:rsid w:val="00427356"/>
    <w:rsid w:val="004301A6"/>
    <w:rsid w:val="004318B8"/>
    <w:rsid w:val="004331EE"/>
    <w:rsid w:val="00433C53"/>
    <w:rsid w:val="00434AC1"/>
    <w:rsid w:val="00437167"/>
    <w:rsid w:val="00444CF3"/>
    <w:rsid w:val="00445272"/>
    <w:rsid w:val="00447291"/>
    <w:rsid w:val="00447811"/>
    <w:rsid w:val="00456741"/>
    <w:rsid w:val="004575BC"/>
    <w:rsid w:val="00457AAB"/>
    <w:rsid w:val="00457E04"/>
    <w:rsid w:val="0046283D"/>
    <w:rsid w:val="004634E0"/>
    <w:rsid w:val="0046446B"/>
    <w:rsid w:val="00466D1B"/>
    <w:rsid w:val="00466FF6"/>
    <w:rsid w:val="00467000"/>
    <w:rsid w:val="00473AF0"/>
    <w:rsid w:val="00473F3D"/>
    <w:rsid w:val="004743FE"/>
    <w:rsid w:val="00475599"/>
    <w:rsid w:val="00475BA3"/>
    <w:rsid w:val="00476683"/>
    <w:rsid w:val="00480463"/>
    <w:rsid w:val="00480FCD"/>
    <w:rsid w:val="00481698"/>
    <w:rsid w:val="0048539E"/>
    <w:rsid w:val="0048542B"/>
    <w:rsid w:val="00485FF2"/>
    <w:rsid w:val="00487FAD"/>
    <w:rsid w:val="00494CAE"/>
    <w:rsid w:val="004950B2"/>
    <w:rsid w:val="00496293"/>
    <w:rsid w:val="004A731D"/>
    <w:rsid w:val="004A743A"/>
    <w:rsid w:val="004A7447"/>
    <w:rsid w:val="004B0141"/>
    <w:rsid w:val="004B0700"/>
    <w:rsid w:val="004B15C9"/>
    <w:rsid w:val="004B47E6"/>
    <w:rsid w:val="004B4EB6"/>
    <w:rsid w:val="004B5068"/>
    <w:rsid w:val="004B6964"/>
    <w:rsid w:val="004B6D31"/>
    <w:rsid w:val="004B6F0C"/>
    <w:rsid w:val="004C16E8"/>
    <w:rsid w:val="004C2378"/>
    <w:rsid w:val="004C35C0"/>
    <w:rsid w:val="004C394C"/>
    <w:rsid w:val="004C45E8"/>
    <w:rsid w:val="004C635F"/>
    <w:rsid w:val="004D059F"/>
    <w:rsid w:val="004D0802"/>
    <w:rsid w:val="004D3CBC"/>
    <w:rsid w:val="004D4F04"/>
    <w:rsid w:val="004E2960"/>
    <w:rsid w:val="004E3215"/>
    <w:rsid w:val="004E5480"/>
    <w:rsid w:val="004E5677"/>
    <w:rsid w:val="004E5A9F"/>
    <w:rsid w:val="004E607D"/>
    <w:rsid w:val="004F22B2"/>
    <w:rsid w:val="004F31C9"/>
    <w:rsid w:val="004F3C0A"/>
    <w:rsid w:val="004F4115"/>
    <w:rsid w:val="004F53B6"/>
    <w:rsid w:val="00500A0E"/>
    <w:rsid w:val="00503A76"/>
    <w:rsid w:val="00504604"/>
    <w:rsid w:val="00504F65"/>
    <w:rsid w:val="00505491"/>
    <w:rsid w:val="00507710"/>
    <w:rsid w:val="00507C5E"/>
    <w:rsid w:val="00511289"/>
    <w:rsid w:val="00511353"/>
    <w:rsid w:val="00511C57"/>
    <w:rsid w:val="005170B8"/>
    <w:rsid w:val="005200B5"/>
    <w:rsid w:val="005209E9"/>
    <w:rsid w:val="005221FA"/>
    <w:rsid w:val="0052365C"/>
    <w:rsid w:val="005238E8"/>
    <w:rsid w:val="0052564F"/>
    <w:rsid w:val="00525ADA"/>
    <w:rsid w:val="00526326"/>
    <w:rsid w:val="00527885"/>
    <w:rsid w:val="00530C11"/>
    <w:rsid w:val="005322FD"/>
    <w:rsid w:val="00537022"/>
    <w:rsid w:val="00537389"/>
    <w:rsid w:val="005455E7"/>
    <w:rsid w:val="00545A16"/>
    <w:rsid w:val="00552CB3"/>
    <w:rsid w:val="00554029"/>
    <w:rsid w:val="00554362"/>
    <w:rsid w:val="0055651D"/>
    <w:rsid w:val="005567F1"/>
    <w:rsid w:val="00556BE2"/>
    <w:rsid w:val="0055778E"/>
    <w:rsid w:val="00560098"/>
    <w:rsid w:val="00560D8F"/>
    <w:rsid w:val="00561B25"/>
    <w:rsid w:val="005648E6"/>
    <w:rsid w:val="00565399"/>
    <w:rsid w:val="00567C0E"/>
    <w:rsid w:val="00571604"/>
    <w:rsid w:val="00572042"/>
    <w:rsid w:val="00572EB2"/>
    <w:rsid w:val="005751C5"/>
    <w:rsid w:val="0057593C"/>
    <w:rsid w:val="00580CD6"/>
    <w:rsid w:val="005821C2"/>
    <w:rsid w:val="00584613"/>
    <w:rsid w:val="0058484F"/>
    <w:rsid w:val="00585501"/>
    <w:rsid w:val="00585BFE"/>
    <w:rsid w:val="00585CA4"/>
    <w:rsid w:val="0058741F"/>
    <w:rsid w:val="00590D0E"/>
    <w:rsid w:val="00593C5B"/>
    <w:rsid w:val="00593F96"/>
    <w:rsid w:val="005965D1"/>
    <w:rsid w:val="005A0979"/>
    <w:rsid w:val="005A1113"/>
    <w:rsid w:val="005A34B0"/>
    <w:rsid w:val="005A4CCC"/>
    <w:rsid w:val="005A532D"/>
    <w:rsid w:val="005A5B42"/>
    <w:rsid w:val="005A5E75"/>
    <w:rsid w:val="005A704B"/>
    <w:rsid w:val="005A783C"/>
    <w:rsid w:val="005B0644"/>
    <w:rsid w:val="005B1358"/>
    <w:rsid w:val="005B1C75"/>
    <w:rsid w:val="005B1DA2"/>
    <w:rsid w:val="005B1F57"/>
    <w:rsid w:val="005B3A1C"/>
    <w:rsid w:val="005B4A72"/>
    <w:rsid w:val="005B61F9"/>
    <w:rsid w:val="005C385C"/>
    <w:rsid w:val="005C3F56"/>
    <w:rsid w:val="005C40E4"/>
    <w:rsid w:val="005C425E"/>
    <w:rsid w:val="005C47D2"/>
    <w:rsid w:val="005C621C"/>
    <w:rsid w:val="005C63E5"/>
    <w:rsid w:val="005C6D54"/>
    <w:rsid w:val="005D034D"/>
    <w:rsid w:val="005D12FF"/>
    <w:rsid w:val="005D18AA"/>
    <w:rsid w:val="005D3240"/>
    <w:rsid w:val="005D3FA2"/>
    <w:rsid w:val="005D6116"/>
    <w:rsid w:val="005D6FFD"/>
    <w:rsid w:val="005D7039"/>
    <w:rsid w:val="005E7336"/>
    <w:rsid w:val="005E7698"/>
    <w:rsid w:val="005E7894"/>
    <w:rsid w:val="005F1429"/>
    <w:rsid w:val="005F1B31"/>
    <w:rsid w:val="005F3E56"/>
    <w:rsid w:val="005F4FC0"/>
    <w:rsid w:val="005F632C"/>
    <w:rsid w:val="005F6801"/>
    <w:rsid w:val="005F6997"/>
    <w:rsid w:val="005F7677"/>
    <w:rsid w:val="00606228"/>
    <w:rsid w:val="00606E64"/>
    <w:rsid w:val="0061020F"/>
    <w:rsid w:val="00611676"/>
    <w:rsid w:val="006116A2"/>
    <w:rsid w:val="00612B4E"/>
    <w:rsid w:val="006132AA"/>
    <w:rsid w:val="00613AB1"/>
    <w:rsid w:val="0061423C"/>
    <w:rsid w:val="00614B82"/>
    <w:rsid w:val="00615241"/>
    <w:rsid w:val="0061646D"/>
    <w:rsid w:val="0062376B"/>
    <w:rsid w:val="006241FE"/>
    <w:rsid w:val="00624991"/>
    <w:rsid w:val="00625693"/>
    <w:rsid w:val="00626C86"/>
    <w:rsid w:val="00627101"/>
    <w:rsid w:val="006303B4"/>
    <w:rsid w:val="00630F3E"/>
    <w:rsid w:val="006320C2"/>
    <w:rsid w:val="00632786"/>
    <w:rsid w:val="0063621D"/>
    <w:rsid w:val="006370E6"/>
    <w:rsid w:val="006406C9"/>
    <w:rsid w:val="00642901"/>
    <w:rsid w:val="00642C97"/>
    <w:rsid w:val="00643CB4"/>
    <w:rsid w:val="00646CA1"/>
    <w:rsid w:val="006503F9"/>
    <w:rsid w:val="00650DD3"/>
    <w:rsid w:val="00653449"/>
    <w:rsid w:val="00655F68"/>
    <w:rsid w:val="006561E7"/>
    <w:rsid w:val="00656379"/>
    <w:rsid w:val="006568FE"/>
    <w:rsid w:val="0065794C"/>
    <w:rsid w:val="00657EF7"/>
    <w:rsid w:val="00657F2B"/>
    <w:rsid w:val="00661959"/>
    <w:rsid w:val="00661AA3"/>
    <w:rsid w:val="0066384B"/>
    <w:rsid w:val="00663F12"/>
    <w:rsid w:val="0066493B"/>
    <w:rsid w:val="006657C1"/>
    <w:rsid w:val="00666599"/>
    <w:rsid w:val="00670E0D"/>
    <w:rsid w:val="00672A94"/>
    <w:rsid w:val="00672AFA"/>
    <w:rsid w:val="00674C16"/>
    <w:rsid w:val="006759D3"/>
    <w:rsid w:val="00676AFB"/>
    <w:rsid w:val="006809C4"/>
    <w:rsid w:val="0068237B"/>
    <w:rsid w:val="006836B6"/>
    <w:rsid w:val="00683ED9"/>
    <w:rsid w:val="00684B4C"/>
    <w:rsid w:val="00685BBA"/>
    <w:rsid w:val="0069008A"/>
    <w:rsid w:val="006912D1"/>
    <w:rsid w:val="00692416"/>
    <w:rsid w:val="006924EA"/>
    <w:rsid w:val="00692DE9"/>
    <w:rsid w:val="006954BC"/>
    <w:rsid w:val="00695857"/>
    <w:rsid w:val="006966EB"/>
    <w:rsid w:val="006967B8"/>
    <w:rsid w:val="00696CF2"/>
    <w:rsid w:val="00697261"/>
    <w:rsid w:val="006A4846"/>
    <w:rsid w:val="006A4954"/>
    <w:rsid w:val="006A729F"/>
    <w:rsid w:val="006B0058"/>
    <w:rsid w:val="006B0CA0"/>
    <w:rsid w:val="006B3473"/>
    <w:rsid w:val="006B350D"/>
    <w:rsid w:val="006B53F7"/>
    <w:rsid w:val="006B62F4"/>
    <w:rsid w:val="006B7F62"/>
    <w:rsid w:val="006C0D76"/>
    <w:rsid w:val="006C36B0"/>
    <w:rsid w:val="006C65E4"/>
    <w:rsid w:val="006C6670"/>
    <w:rsid w:val="006D040D"/>
    <w:rsid w:val="006D0CDE"/>
    <w:rsid w:val="006D1615"/>
    <w:rsid w:val="006D2A55"/>
    <w:rsid w:val="006D3A4C"/>
    <w:rsid w:val="006D3F7D"/>
    <w:rsid w:val="006D468F"/>
    <w:rsid w:val="006D50E5"/>
    <w:rsid w:val="006D51ED"/>
    <w:rsid w:val="006D70B7"/>
    <w:rsid w:val="006E4380"/>
    <w:rsid w:val="006E54CB"/>
    <w:rsid w:val="006E7280"/>
    <w:rsid w:val="006F08BD"/>
    <w:rsid w:val="006F0F4E"/>
    <w:rsid w:val="006F4876"/>
    <w:rsid w:val="006F5537"/>
    <w:rsid w:val="00701139"/>
    <w:rsid w:val="0070125E"/>
    <w:rsid w:val="00702DAD"/>
    <w:rsid w:val="00703678"/>
    <w:rsid w:val="007037FF"/>
    <w:rsid w:val="007045B8"/>
    <w:rsid w:val="007047FD"/>
    <w:rsid w:val="00704A81"/>
    <w:rsid w:val="00705940"/>
    <w:rsid w:val="00705A5A"/>
    <w:rsid w:val="00706974"/>
    <w:rsid w:val="00706FEB"/>
    <w:rsid w:val="00707552"/>
    <w:rsid w:val="00707650"/>
    <w:rsid w:val="00710AAE"/>
    <w:rsid w:val="00711932"/>
    <w:rsid w:val="0071338D"/>
    <w:rsid w:val="00714028"/>
    <w:rsid w:val="0071524C"/>
    <w:rsid w:val="00715D03"/>
    <w:rsid w:val="007164B8"/>
    <w:rsid w:val="00716B4F"/>
    <w:rsid w:val="00717283"/>
    <w:rsid w:val="00722C35"/>
    <w:rsid w:val="007255BD"/>
    <w:rsid w:val="0073036B"/>
    <w:rsid w:val="007312F6"/>
    <w:rsid w:val="00731433"/>
    <w:rsid w:val="0073403B"/>
    <w:rsid w:val="007365E3"/>
    <w:rsid w:val="00740A76"/>
    <w:rsid w:val="00740D0B"/>
    <w:rsid w:val="00740DF7"/>
    <w:rsid w:val="00741A7F"/>
    <w:rsid w:val="00741AB1"/>
    <w:rsid w:val="00743F2A"/>
    <w:rsid w:val="007451BB"/>
    <w:rsid w:val="00747185"/>
    <w:rsid w:val="00747291"/>
    <w:rsid w:val="00747E20"/>
    <w:rsid w:val="0075074D"/>
    <w:rsid w:val="00752532"/>
    <w:rsid w:val="007525C5"/>
    <w:rsid w:val="00752727"/>
    <w:rsid w:val="00756EBD"/>
    <w:rsid w:val="00760301"/>
    <w:rsid w:val="00765ECB"/>
    <w:rsid w:val="00770D87"/>
    <w:rsid w:val="00772E57"/>
    <w:rsid w:val="00773F2F"/>
    <w:rsid w:val="00775287"/>
    <w:rsid w:val="0078044C"/>
    <w:rsid w:val="00780DA5"/>
    <w:rsid w:val="00780EA6"/>
    <w:rsid w:val="007818C1"/>
    <w:rsid w:val="0078319F"/>
    <w:rsid w:val="00783821"/>
    <w:rsid w:val="00783ADE"/>
    <w:rsid w:val="007846AE"/>
    <w:rsid w:val="0079210B"/>
    <w:rsid w:val="00792967"/>
    <w:rsid w:val="0079340E"/>
    <w:rsid w:val="007958F6"/>
    <w:rsid w:val="007972D5"/>
    <w:rsid w:val="007A0968"/>
    <w:rsid w:val="007A2340"/>
    <w:rsid w:val="007A5DE9"/>
    <w:rsid w:val="007A6461"/>
    <w:rsid w:val="007A6C49"/>
    <w:rsid w:val="007B1333"/>
    <w:rsid w:val="007B5EF5"/>
    <w:rsid w:val="007B6AFB"/>
    <w:rsid w:val="007C2172"/>
    <w:rsid w:val="007C52F0"/>
    <w:rsid w:val="007C5560"/>
    <w:rsid w:val="007C65EC"/>
    <w:rsid w:val="007C6BE9"/>
    <w:rsid w:val="007C7A5D"/>
    <w:rsid w:val="007C7C3D"/>
    <w:rsid w:val="007D0076"/>
    <w:rsid w:val="007D1B5A"/>
    <w:rsid w:val="007D4F03"/>
    <w:rsid w:val="007D6381"/>
    <w:rsid w:val="007E411A"/>
    <w:rsid w:val="007E4E38"/>
    <w:rsid w:val="007E654D"/>
    <w:rsid w:val="007F27B3"/>
    <w:rsid w:val="007F3384"/>
    <w:rsid w:val="007F3E18"/>
    <w:rsid w:val="007F4C79"/>
    <w:rsid w:val="007F6972"/>
    <w:rsid w:val="007F7039"/>
    <w:rsid w:val="007F7337"/>
    <w:rsid w:val="007F7E59"/>
    <w:rsid w:val="00800331"/>
    <w:rsid w:val="008005B9"/>
    <w:rsid w:val="008019BC"/>
    <w:rsid w:val="00806079"/>
    <w:rsid w:val="00810780"/>
    <w:rsid w:val="008119B8"/>
    <w:rsid w:val="00813400"/>
    <w:rsid w:val="00813B9A"/>
    <w:rsid w:val="008177D3"/>
    <w:rsid w:val="0082229E"/>
    <w:rsid w:val="00822BC1"/>
    <w:rsid w:val="00827DA7"/>
    <w:rsid w:val="00831660"/>
    <w:rsid w:val="00831F04"/>
    <w:rsid w:val="00832448"/>
    <w:rsid w:val="008334CB"/>
    <w:rsid w:val="008336BD"/>
    <w:rsid w:val="00843B71"/>
    <w:rsid w:val="00846152"/>
    <w:rsid w:val="00846CB1"/>
    <w:rsid w:val="00847D3F"/>
    <w:rsid w:val="00850A9C"/>
    <w:rsid w:val="00851AF9"/>
    <w:rsid w:val="008527F0"/>
    <w:rsid w:val="00853F8B"/>
    <w:rsid w:val="00855A8E"/>
    <w:rsid w:val="00864235"/>
    <w:rsid w:val="00870391"/>
    <w:rsid w:val="00870E95"/>
    <w:rsid w:val="0087440F"/>
    <w:rsid w:val="00874A66"/>
    <w:rsid w:val="00877E54"/>
    <w:rsid w:val="008800C2"/>
    <w:rsid w:val="00882EE0"/>
    <w:rsid w:val="00887285"/>
    <w:rsid w:val="0089058B"/>
    <w:rsid w:val="00890D27"/>
    <w:rsid w:val="0089407F"/>
    <w:rsid w:val="00896662"/>
    <w:rsid w:val="00896929"/>
    <w:rsid w:val="00896A10"/>
    <w:rsid w:val="00896AC7"/>
    <w:rsid w:val="008A0AA8"/>
    <w:rsid w:val="008A29CC"/>
    <w:rsid w:val="008A35F5"/>
    <w:rsid w:val="008A52D3"/>
    <w:rsid w:val="008A5881"/>
    <w:rsid w:val="008B1263"/>
    <w:rsid w:val="008B321A"/>
    <w:rsid w:val="008B3747"/>
    <w:rsid w:val="008B3F14"/>
    <w:rsid w:val="008B4437"/>
    <w:rsid w:val="008B5799"/>
    <w:rsid w:val="008B5AA4"/>
    <w:rsid w:val="008B5CB3"/>
    <w:rsid w:val="008B7A80"/>
    <w:rsid w:val="008B7B8D"/>
    <w:rsid w:val="008C0476"/>
    <w:rsid w:val="008C0B72"/>
    <w:rsid w:val="008C1456"/>
    <w:rsid w:val="008C7489"/>
    <w:rsid w:val="008C7800"/>
    <w:rsid w:val="008C7D9D"/>
    <w:rsid w:val="008D0B58"/>
    <w:rsid w:val="008D1A55"/>
    <w:rsid w:val="008D490B"/>
    <w:rsid w:val="008D7296"/>
    <w:rsid w:val="008E04F4"/>
    <w:rsid w:val="008E2AD3"/>
    <w:rsid w:val="008E37E7"/>
    <w:rsid w:val="008E5740"/>
    <w:rsid w:val="008E5A48"/>
    <w:rsid w:val="008E6AE9"/>
    <w:rsid w:val="008E7465"/>
    <w:rsid w:val="008F02E3"/>
    <w:rsid w:val="008F0819"/>
    <w:rsid w:val="008F434E"/>
    <w:rsid w:val="008F519A"/>
    <w:rsid w:val="008F63C6"/>
    <w:rsid w:val="00900C89"/>
    <w:rsid w:val="00901CA6"/>
    <w:rsid w:val="00901D18"/>
    <w:rsid w:val="009020D0"/>
    <w:rsid w:val="009035F2"/>
    <w:rsid w:val="009059D7"/>
    <w:rsid w:val="009060E4"/>
    <w:rsid w:val="00906101"/>
    <w:rsid w:val="009112E3"/>
    <w:rsid w:val="00911B61"/>
    <w:rsid w:val="00912E2F"/>
    <w:rsid w:val="00913D29"/>
    <w:rsid w:val="00915C89"/>
    <w:rsid w:val="00915EFE"/>
    <w:rsid w:val="0092044C"/>
    <w:rsid w:val="0092078B"/>
    <w:rsid w:val="00920AD0"/>
    <w:rsid w:val="00921A33"/>
    <w:rsid w:val="00923319"/>
    <w:rsid w:val="009268C0"/>
    <w:rsid w:val="00931D80"/>
    <w:rsid w:val="00931ED1"/>
    <w:rsid w:val="009323DE"/>
    <w:rsid w:val="00933A63"/>
    <w:rsid w:val="00934CB8"/>
    <w:rsid w:val="00935D65"/>
    <w:rsid w:val="00942ADA"/>
    <w:rsid w:val="009437FE"/>
    <w:rsid w:val="00943AB6"/>
    <w:rsid w:val="00943DC9"/>
    <w:rsid w:val="00943E59"/>
    <w:rsid w:val="009445CF"/>
    <w:rsid w:val="00944CF6"/>
    <w:rsid w:val="00950C74"/>
    <w:rsid w:val="00951363"/>
    <w:rsid w:val="009536B2"/>
    <w:rsid w:val="0095601A"/>
    <w:rsid w:val="009578C0"/>
    <w:rsid w:val="00957FA5"/>
    <w:rsid w:val="00960FA6"/>
    <w:rsid w:val="0096189C"/>
    <w:rsid w:val="009626C3"/>
    <w:rsid w:val="00962B9E"/>
    <w:rsid w:val="009664E3"/>
    <w:rsid w:val="00972479"/>
    <w:rsid w:val="00973602"/>
    <w:rsid w:val="00973F8C"/>
    <w:rsid w:val="00975901"/>
    <w:rsid w:val="009759B6"/>
    <w:rsid w:val="00977854"/>
    <w:rsid w:val="00980D75"/>
    <w:rsid w:val="00981378"/>
    <w:rsid w:val="00982174"/>
    <w:rsid w:val="00983DC8"/>
    <w:rsid w:val="009870F5"/>
    <w:rsid w:val="00990291"/>
    <w:rsid w:val="00990339"/>
    <w:rsid w:val="00990A05"/>
    <w:rsid w:val="00992524"/>
    <w:rsid w:val="00994729"/>
    <w:rsid w:val="00994A4A"/>
    <w:rsid w:val="00996A9E"/>
    <w:rsid w:val="009973BB"/>
    <w:rsid w:val="009A0B80"/>
    <w:rsid w:val="009A1B9C"/>
    <w:rsid w:val="009A565B"/>
    <w:rsid w:val="009A62DB"/>
    <w:rsid w:val="009A702C"/>
    <w:rsid w:val="009A7928"/>
    <w:rsid w:val="009A7C91"/>
    <w:rsid w:val="009B0CCD"/>
    <w:rsid w:val="009B0D7B"/>
    <w:rsid w:val="009B0E86"/>
    <w:rsid w:val="009B0EA6"/>
    <w:rsid w:val="009B1F19"/>
    <w:rsid w:val="009B2612"/>
    <w:rsid w:val="009B68F1"/>
    <w:rsid w:val="009C06F3"/>
    <w:rsid w:val="009C4FB3"/>
    <w:rsid w:val="009C6AF5"/>
    <w:rsid w:val="009D31CA"/>
    <w:rsid w:val="009D6333"/>
    <w:rsid w:val="009D7D22"/>
    <w:rsid w:val="009E1189"/>
    <w:rsid w:val="009E136F"/>
    <w:rsid w:val="009E2555"/>
    <w:rsid w:val="009E717C"/>
    <w:rsid w:val="009F0F8C"/>
    <w:rsid w:val="009F117F"/>
    <w:rsid w:val="009F177F"/>
    <w:rsid w:val="009F2E7B"/>
    <w:rsid w:val="009F3BDC"/>
    <w:rsid w:val="009F3BF8"/>
    <w:rsid w:val="009F4936"/>
    <w:rsid w:val="009F4BAE"/>
    <w:rsid w:val="009F5082"/>
    <w:rsid w:val="009F57F5"/>
    <w:rsid w:val="009F66EB"/>
    <w:rsid w:val="009F6C09"/>
    <w:rsid w:val="00A022E4"/>
    <w:rsid w:val="00A03363"/>
    <w:rsid w:val="00A068E9"/>
    <w:rsid w:val="00A116D4"/>
    <w:rsid w:val="00A12366"/>
    <w:rsid w:val="00A12DD7"/>
    <w:rsid w:val="00A13584"/>
    <w:rsid w:val="00A20151"/>
    <w:rsid w:val="00A2127A"/>
    <w:rsid w:val="00A2308F"/>
    <w:rsid w:val="00A24958"/>
    <w:rsid w:val="00A24A4D"/>
    <w:rsid w:val="00A31BE5"/>
    <w:rsid w:val="00A320B2"/>
    <w:rsid w:val="00A32205"/>
    <w:rsid w:val="00A32776"/>
    <w:rsid w:val="00A34043"/>
    <w:rsid w:val="00A3608A"/>
    <w:rsid w:val="00A362B5"/>
    <w:rsid w:val="00A36D0B"/>
    <w:rsid w:val="00A40A02"/>
    <w:rsid w:val="00A4102D"/>
    <w:rsid w:val="00A46028"/>
    <w:rsid w:val="00A46C79"/>
    <w:rsid w:val="00A501DB"/>
    <w:rsid w:val="00A53118"/>
    <w:rsid w:val="00A54C47"/>
    <w:rsid w:val="00A55BC0"/>
    <w:rsid w:val="00A560FA"/>
    <w:rsid w:val="00A56C79"/>
    <w:rsid w:val="00A57808"/>
    <w:rsid w:val="00A60A7E"/>
    <w:rsid w:val="00A624FE"/>
    <w:rsid w:val="00A6293E"/>
    <w:rsid w:val="00A63AAE"/>
    <w:rsid w:val="00A63CE7"/>
    <w:rsid w:val="00A65639"/>
    <w:rsid w:val="00A67011"/>
    <w:rsid w:val="00A712CE"/>
    <w:rsid w:val="00A7451A"/>
    <w:rsid w:val="00A775D6"/>
    <w:rsid w:val="00A80F17"/>
    <w:rsid w:val="00A80FAF"/>
    <w:rsid w:val="00A81733"/>
    <w:rsid w:val="00A82B7E"/>
    <w:rsid w:val="00A832F8"/>
    <w:rsid w:val="00A8368B"/>
    <w:rsid w:val="00A85348"/>
    <w:rsid w:val="00A94DC2"/>
    <w:rsid w:val="00A96288"/>
    <w:rsid w:val="00A97033"/>
    <w:rsid w:val="00A973AD"/>
    <w:rsid w:val="00AA1AF3"/>
    <w:rsid w:val="00AA2479"/>
    <w:rsid w:val="00AA3528"/>
    <w:rsid w:val="00AA6565"/>
    <w:rsid w:val="00AA7B4F"/>
    <w:rsid w:val="00AA7BBA"/>
    <w:rsid w:val="00AA7C69"/>
    <w:rsid w:val="00AB0158"/>
    <w:rsid w:val="00AB2770"/>
    <w:rsid w:val="00AB2C10"/>
    <w:rsid w:val="00AB4FC4"/>
    <w:rsid w:val="00AB534C"/>
    <w:rsid w:val="00AB5485"/>
    <w:rsid w:val="00AB5CB5"/>
    <w:rsid w:val="00AB5D35"/>
    <w:rsid w:val="00AB73C8"/>
    <w:rsid w:val="00AC176D"/>
    <w:rsid w:val="00AC7204"/>
    <w:rsid w:val="00AD50FC"/>
    <w:rsid w:val="00AD5A0C"/>
    <w:rsid w:val="00AD692D"/>
    <w:rsid w:val="00AE118D"/>
    <w:rsid w:val="00AE2983"/>
    <w:rsid w:val="00AE6379"/>
    <w:rsid w:val="00AF22A9"/>
    <w:rsid w:val="00AF2DAF"/>
    <w:rsid w:val="00AF619C"/>
    <w:rsid w:val="00B02909"/>
    <w:rsid w:val="00B0356E"/>
    <w:rsid w:val="00B04AA3"/>
    <w:rsid w:val="00B06C36"/>
    <w:rsid w:val="00B07464"/>
    <w:rsid w:val="00B10BE9"/>
    <w:rsid w:val="00B1352A"/>
    <w:rsid w:val="00B13701"/>
    <w:rsid w:val="00B14869"/>
    <w:rsid w:val="00B1608D"/>
    <w:rsid w:val="00B204E6"/>
    <w:rsid w:val="00B21521"/>
    <w:rsid w:val="00B22099"/>
    <w:rsid w:val="00B22B22"/>
    <w:rsid w:val="00B245C8"/>
    <w:rsid w:val="00B26346"/>
    <w:rsid w:val="00B30063"/>
    <w:rsid w:val="00B312D5"/>
    <w:rsid w:val="00B334DF"/>
    <w:rsid w:val="00B34425"/>
    <w:rsid w:val="00B35A8D"/>
    <w:rsid w:val="00B35E9D"/>
    <w:rsid w:val="00B408CA"/>
    <w:rsid w:val="00B414DA"/>
    <w:rsid w:val="00B41C7E"/>
    <w:rsid w:val="00B42729"/>
    <w:rsid w:val="00B42730"/>
    <w:rsid w:val="00B5074A"/>
    <w:rsid w:val="00B50A6C"/>
    <w:rsid w:val="00B52044"/>
    <w:rsid w:val="00B520E3"/>
    <w:rsid w:val="00B523BD"/>
    <w:rsid w:val="00B53076"/>
    <w:rsid w:val="00B53C8E"/>
    <w:rsid w:val="00B54161"/>
    <w:rsid w:val="00B54C90"/>
    <w:rsid w:val="00B5786E"/>
    <w:rsid w:val="00B60E09"/>
    <w:rsid w:val="00B61F70"/>
    <w:rsid w:val="00B62DC1"/>
    <w:rsid w:val="00B63738"/>
    <w:rsid w:val="00B64FE0"/>
    <w:rsid w:val="00B66713"/>
    <w:rsid w:val="00B67834"/>
    <w:rsid w:val="00B700BE"/>
    <w:rsid w:val="00B72721"/>
    <w:rsid w:val="00B74173"/>
    <w:rsid w:val="00B748B6"/>
    <w:rsid w:val="00B7633B"/>
    <w:rsid w:val="00B76509"/>
    <w:rsid w:val="00B769E4"/>
    <w:rsid w:val="00B829D6"/>
    <w:rsid w:val="00B8346F"/>
    <w:rsid w:val="00B83F54"/>
    <w:rsid w:val="00B842ED"/>
    <w:rsid w:val="00B84329"/>
    <w:rsid w:val="00B86D40"/>
    <w:rsid w:val="00B86E46"/>
    <w:rsid w:val="00B9254D"/>
    <w:rsid w:val="00B92572"/>
    <w:rsid w:val="00B92986"/>
    <w:rsid w:val="00B92FD2"/>
    <w:rsid w:val="00B968CA"/>
    <w:rsid w:val="00BA0031"/>
    <w:rsid w:val="00BA374D"/>
    <w:rsid w:val="00BA3F77"/>
    <w:rsid w:val="00BA4281"/>
    <w:rsid w:val="00BA42D1"/>
    <w:rsid w:val="00BA5F80"/>
    <w:rsid w:val="00BA664B"/>
    <w:rsid w:val="00BA7D5F"/>
    <w:rsid w:val="00BB0931"/>
    <w:rsid w:val="00BB1B92"/>
    <w:rsid w:val="00BB2B62"/>
    <w:rsid w:val="00BB3B41"/>
    <w:rsid w:val="00BB6160"/>
    <w:rsid w:val="00BB78C2"/>
    <w:rsid w:val="00BC0A91"/>
    <w:rsid w:val="00BC1DBD"/>
    <w:rsid w:val="00BC3CFE"/>
    <w:rsid w:val="00BC45E1"/>
    <w:rsid w:val="00BC4660"/>
    <w:rsid w:val="00BC5788"/>
    <w:rsid w:val="00BC5E75"/>
    <w:rsid w:val="00BC6065"/>
    <w:rsid w:val="00BC6E3D"/>
    <w:rsid w:val="00BC7F75"/>
    <w:rsid w:val="00BD10F1"/>
    <w:rsid w:val="00BD24DC"/>
    <w:rsid w:val="00BD53AC"/>
    <w:rsid w:val="00BD6F6A"/>
    <w:rsid w:val="00BD7FDD"/>
    <w:rsid w:val="00BE15A1"/>
    <w:rsid w:val="00BE1A50"/>
    <w:rsid w:val="00BE35B0"/>
    <w:rsid w:val="00BE3628"/>
    <w:rsid w:val="00BE454F"/>
    <w:rsid w:val="00BE5628"/>
    <w:rsid w:val="00BE581F"/>
    <w:rsid w:val="00BE5FD6"/>
    <w:rsid w:val="00BF0CC2"/>
    <w:rsid w:val="00BF1842"/>
    <w:rsid w:val="00BF265A"/>
    <w:rsid w:val="00BF33AD"/>
    <w:rsid w:val="00BF64FC"/>
    <w:rsid w:val="00BF7EDD"/>
    <w:rsid w:val="00C003B5"/>
    <w:rsid w:val="00C0145F"/>
    <w:rsid w:val="00C07342"/>
    <w:rsid w:val="00C111D3"/>
    <w:rsid w:val="00C11421"/>
    <w:rsid w:val="00C164BD"/>
    <w:rsid w:val="00C20F8E"/>
    <w:rsid w:val="00C21BDC"/>
    <w:rsid w:val="00C21F7C"/>
    <w:rsid w:val="00C235D8"/>
    <w:rsid w:val="00C250F4"/>
    <w:rsid w:val="00C25754"/>
    <w:rsid w:val="00C25C15"/>
    <w:rsid w:val="00C3013F"/>
    <w:rsid w:val="00C30203"/>
    <w:rsid w:val="00C31547"/>
    <w:rsid w:val="00C31D2A"/>
    <w:rsid w:val="00C32274"/>
    <w:rsid w:val="00C4104F"/>
    <w:rsid w:val="00C42417"/>
    <w:rsid w:val="00C4600E"/>
    <w:rsid w:val="00C471DA"/>
    <w:rsid w:val="00C47E93"/>
    <w:rsid w:val="00C51D55"/>
    <w:rsid w:val="00C52A6B"/>
    <w:rsid w:val="00C543ED"/>
    <w:rsid w:val="00C5487A"/>
    <w:rsid w:val="00C558E2"/>
    <w:rsid w:val="00C57C43"/>
    <w:rsid w:val="00C610D9"/>
    <w:rsid w:val="00C622B9"/>
    <w:rsid w:val="00C643F8"/>
    <w:rsid w:val="00C65161"/>
    <w:rsid w:val="00C65956"/>
    <w:rsid w:val="00C66A9C"/>
    <w:rsid w:val="00C67E45"/>
    <w:rsid w:val="00C67ED6"/>
    <w:rsid w:val="00C7331C"/>
    <w:rsid w:val="00C743E4"/>
    <w:rsid w:val="00C747A0"/>
    <w:rsid w:val="00C74B99"/>
    <w:rsid w:val="00C77270"/>
    <w:rsid w:val="00C803C9"/>
    <w:rsid w:val="00C81133"/>
    <w:rsid w:val="00C826BA"/>
    <w:rsid w:val="00C84377"/>
    <w:rsid w:val="00C85EC1"/>
    <w:rsid w:val="00C86725"/>
    <w:rsid w:val="00C87521"/>
    <w:rsid w:val="00C87CC4"/>
    <w:rsid w:val="00C91FA9"/>
    <w:rsid w:val="00C9281A"/>
    <w:rsid w:val="00C94667"/>
    <w:rsid w:val="00C96669"/>
    <w:rsid w:val="00C9673E"/>
    <w:rsid w:val="00C97916"/>
    <w:rsid w:val="00CA0468"/>
    <w:rsid w:val="00CA62A5"/>
    <w:rsid w:val="00CA6D57"/>
    <w:rsid w:val="00CA742E"/>
    <w:rsid w:val="00CA74CF"/>
    <w:rsid w:val="00CB032D"/>
    <w:rsid w:val="00CB1ED6"/>
    <w:rsid w:val="00CB3DC9"/>
    <w:rsid w:val="00CB5944"/>
    <w:rsid w:val="00CB5AF3"/>
    <w:rsid w:val="00CB5D2A"/>
    <w:rsid w:val="00CB605A"/>
    <w:rsid w:val="00CC0629"/>
    <w:rsid w:val="00CC0858"/>
    <w:rsid w:val="00CC13B9"/>
    <w:rsid w:val="00CC1C6D"/>
    <w:rsid w:val="00CC2D0E"/>
    <w:rsid w:val="00CC41EB"/>
    <w:rsid w:val="00CC4DC4"/>
    <w:rsid w:val="00CC6E73"/>
    <w:rsid w:val="00CC718C"/>
    <w:rsid w:val="00CC7700"/>
    <w:rsid w:val="00CD7981"/>
    <w:rsid w:val="00CE1DE8"/>
    <w:rsid w:val="00CE3100"/>
    <w:rsid w:val="00CE3ABE"/>
    <w:rsid w:val="00CE41C1"/>
    <w:rsid w:val="00CE431E"/>
    <w:rsid w:val="00CE4E51"/>
    <w:rsid w:val="00CE4EF3"/>
    <w:rsid w:val="00CE57C5"/>
    <w:rsid w:val="00CE5CAB"/>
    <w:rsid w:val="00CE7563"/>
    <w:rsid w:val="00CE7E91"/>
    <w:rsid w:val="00CF2198"/>
    <w:rsid w:val="00CF23E4"/>
    <w:rsid w:val="00CF2605"/>
    <w:rsid w:val="00CF2BA0"/>
    <w:rsid w:val="00CF41DA"/>
    <w:rsid w:val="00CF51E7"/>
    <w:rsid w:val="00CF560A"/>
    <w:rsid w:val="00CF630A"/>
    <w:rsid w:val="00D0004F"/>
    <w:rsid w:val="00D0029B"/>
    <w:rsid w:val="00D0194B"/>
    <w:rsid w:val="00D02EA2"/>
    <w:rsid w:val="00D03D36"/>
    <w:rsid w:val="00D044D9"/>
    <w:rsid w:val="00D07A14"/>
    <w:rsid w:val="00D07DC3"/>
    <w:rsid w:val="00D108DA"/>
    <w:rsid w:val="00D141F1"/>
    <w:rsid w:val="00D14BC0"/>
    <w:rsid w:val="00D15F5B"/>
    <w:rsid w:val="00D1693C"/>
    <w:rsid w:val="00D179D5"/>
    <w:rsid w:val="00D20BC0"/>
    <w:rsid w:val="00D22C96"/>
    <w:rsid w:val="00D237A1"/>
    <w:rsid w:val="00D23D95"/>
    <w:rsid w:val="00D2661B"/>
    <w:rsid w:val="00D26801"/>
    <w:rsid w:val="00D31B00"/>
    <w:rsid w:val="00D325D5"/>
    <w:rsid w:val="00D341A2"/>
    <w:rsid w:val="00D3565B"/>
    <w:rsid w:val="00D37AC2"/>
    <w:rsid w:val="00D37C09"/>
    <w:rsid w:val="00D401E0"/>
    <w:rsid w:val="00D403D1"/>
    <w:rsid w:val="00D403E9"/>
    <w:rsid w:val="00D40A66"/>
    <w:rsid w:val="00D41D4A"/>
    <w:rsid w:val="00D421D5"/>
    <w:rsid w:val="00D45188"/>
    <w:rsid w:val="00D452ED"/>
    <w:rsid w:val="00D51614"/>
    <w:rsid w:val="00D51E30"/>
    <w:rsid w:val="00D52F16"/>
    <w:rsid w:val="00D53905"/>
    <w:rsid w:val="00D53994"/>
    <w:rsid w:val="00D541DE"/>
    <w:rsid w:val="00D56BAF"/>
    <w:rsid w:val="00D5721A"/>
    <w:rsid w:val="00D600D7"/>
    <w:rsid w:val="00D6086A"/>
    <w:rsid w:val="00D638D0"/>
    <w:rsid w:val="00D65188"/>
    <w:rsid w:val="00D6607F"/>
    <w:rsid w:val="00D665E0"/>
    <w:rsid w:val="00D66937"/>
    <w:rsid w:val="00D67418"/>
    <w:rsid w:val="00D71198"/>
    <w:rsid w:val="00D7135B"/>
    <w:rsid w:val="00D71E9A"/>
    <w:rsid w:val="00D73757"/>
    <w:rsid w:val="00D81412"/>
    <w:rsid w:val="00D822BA"/>
    <w:rsid w:val="00D83217"/>
    <w:rsid w:val="00D874C6"/>
    <w:rsid w:val="00D87EE4"/>
    <w:rsid w:val="00D917E6"/>
    <w:rsid w:val="00D9228F"/>
    <w:rsid w:val="00D9240B"/>
    <w:rsid w:val="00D93165"/>
    <w:rsid w:val="00D93485"/>
    <w:rsid w:val="00D934C3"/>
    <w:rsid w:val="00D963A5"/>
    <w:rsid w:val="00D96F71"/>
    <w:rsid w:val="00D97C4B"/>
    <w:rsid w:val="00DA0F3B"/>
    <w:rsid w:val="00DA20BD"/>
    <w:rsid w:val="00DA444C"/>
    <w:rsid w:val="00DA595F"/>
    <w:rsid w:val="00DA6713"/>
    <w:rsid w:val="00DA687D"/>
    <w:rsid w:val="00DB13A2"/>
    <w:rsid w:val="00DB57D2"/>
    <w:rsid w:val="00DB624F"/>
    <w:rsid w:val="00DC0584"/>
    <w:rsid w:val="00DC07D8"/>
    <w:rsid w:val="00DC0FD9"/>
    <w:rsid w:val="00DC2DB6"/>
    <w:rsid w:val="00DC3FAE"/>
    <w:rsid w:val="00DC40AF"/>
    <w:rsid w:val="00DD013E"/>
    <w:rsid w:val="00DD0B85"/>
    <w:rsid w:val="00DD0D1C"/>
    <w:rsid w:val="00DD265C"/>
    <w:rsid w:val="00DD34EE"/>
    <w:rsid w:val="00DD58D8"/>
    <w:rsid w:val="00DD745F"/>
    <w:rsid w:val="00DE0912"/>
    <w:rsid w:val="00DE101C"/>
    <w:rsid w:val="00DE2AFB"/>
    <w:rsid w:val="00DE2E80"/>
    <w:rsid w:val="00DE43CF"/>
    <w:rsid w:val="00DE4D2B"/>
    <w:rsid w:val="00DE5D89"/>
    <w:rsid w:val="00DE610F"/>
    <w:rsid w:val="00DE7CC5"/>
    <w:rsid w:val="00DF0A16"/>
    <w:rsid w:val="00DF1D1F"/>
    <w:rsid w:val="00DF26FD"/>
    <w:rsid w:val="00DF55ED"/>
    <w:rsid w:val="00DF6713"/>
    <w:rsid w:val="00DF6B42"/>
    <w:rsid w:val="00DF72E9"/>
    <w:rsid w:val="00E0211D"/>
    <w:rsid w:val="00E02187"/>
    <w:rsid w:val="00E02F1B"/>
    <w:rsid w:val="00E03388"/>
    <w:rsid w:val="00E05E8C"/>
    <w:rsid w:val="00E06FA1"/>
    <w:rsid w:val="00E10019"/>
    <w:rsid w:val="00E110B1"/>
    <w:rsid w:val="00E128AE"/>
    <w:rsid w:val="00E1473D"/>
    <w:rsid w:val="00E1521F"/>
    <w:rsid w:val="00E16995"/>
    <w:rsid w:val="00E17FBD"/>
    <w:rsid w:val="00E206EF"/>
    <w:rsid w:val="00E20855"/>
    <w:rsid w:val="00E21FB9"/>
    <w:rsid w:val="00E23AD6"/>
    <w:rsid w:val="00E272B7"/>
    <w:rsid w:val="00E32CF5"/>
    <w:rsid w:val="00E40C9F"/>
    <w:rsid w:val="00E4261F"/>
    <w:rsid w:val="00E42BC4"/>
    <w:rsid w:val="00E4364B"/>
    <w:rsid w:val="00E43DE4"/>
    <w:rsid w:val="00E47F1F"/>
    <w:rsid w:val="00E504D9"/>
    <w:rsid w:val="00E52776"/>
    <w:rsid w:val="00E53BE5"/>
    <w:rsid w:val="00E555C5"/>
    <w:rsid w:val="00E5648B"/>
    <w:rsid w:val="00E601A5"/>
    <w:rsid w:val="00E612C8"/>
    <w:rsid w:val="00E63BDB"/>
    <w:rsid w:val="00E63E04"/>
    <w:rsid w:val="00E644FB"/>
    <w:rsid w:val="00E65E3C"/>
    <w:rsid w:val="00E668F8"/>
    <w:rsid w:val="00E67A57"/>
    <w:rsid w:val="00E702F2"/>
    <w:rsid w:val="00E712EB"/>
    <w:rsid w:val="00E71837"/>
    <w:rsid w:val="00E72354"/>
    <w:rsid w:val="00E73920"/>
    <w:rsid w:val="00E7407D"/>
    <w:rsid w:val="00E80BE0"/>
    <w:rsid w:val="00E81B37"/>
    <w:rsid w:val="00E84E8D"/>
    <w:rsid w:val="00E8503B"/>
    <w:rsid w:val="00E86722"/>
    <w:rsid w:val="00E87B7E"/>
    <w:rsid w:val="00E94E68"/>
    <w:rsid w:val="00E955CF"/>
    <w:rsid w:val="00E95AFA"/>
    <w:rsid w:val="00E967E3"/>
    <w:rsid w:val="00E97271"/>
    <w:rsid w:val="00EA00D4"/>
    <w:rsid w:val="00EA343D"/>
    <w:rsid w:val="00EA3E90"/>
    <w:rsid w:val="00EA44F6"/>
    <w:rsid w:val="00EA4998"/>
    <w:rsid w:val="00EA536D"/>
    <w:rsid w:val="00EB0880"/>
    <w:rsid w:val="00EB34E5"/>
    <w:rsid w:val="00EB3E1E"/>
    <w:rsid w:val="00EB6A1A"/>
    <w:rsid w:val="00EB75F1"/>
    <w:rsid w:val="00EC06BC"/>
    <w:rsid w:val="00EC1B37"/>
    <w:rsid w:val="00EC21AB"/>
    <w:rsid w:val="00EC249E"/>
    <w:rsid w:val="00EC29EE"/>
    <w:rsid w:val="00EC7F6C"/>
    <w:rsid w:val="00ED5480"/>
    <w:rsid w:val="00ED7E79"/>
    <w:rsid w:val="00EE001C"/>
    <w:rsid w:val="00EE2063"/>
    <w:rsid w:val="00EF1201"/>
    <w:rsid w:val="00EF124D"/>
    <w:rsid w:val="00EF168B"/>
    <w:rsid w:val="00EF270A"/>
    <w:rsid w:val="00EF4DBE"/>
    <w:rsid w:val="00EF513C"/>
    <w:rsid w:val="00EF5D64"/>
    <w:rsid w:val="00EF6B34"/>
    <w:rsid w:val="00EF7823"/>
    <w:rsid w:val="00EF7D66"/>
    <w:rsid w:val="00F0013E"/>
    <w:rsid w:val="00F0081D"/>
    <w:rsid w:val="00F03503"/>
    <w:rsid w:val="00F0381A"/>
    <w:rsid w:val="00F04D60"/>
    <w:rsid w:val="00F05443"/>
    <w:rsid w:val="00F072FD"/>
    <w:rsid w:val="00F07A58"/>
    <w:rsid w:val="00F10E7C"/>
    <w:rsid w:val="00F12604"/>
    <w:rsid w:val="00F130BF"/>
    <w:rsid w:val="00F15C27"/>
    <w:rsid w:val="00F17482"/>
    <w:rsid w:val="00F17C82"/>
    <w:rsid w:val="00F21920"/>
    <w:rsid w:val="00F21DD5"/>
    <w:rsid w:val="00F21F4C"/>
    <w:rsid w:val="00F2330E"/>
    <w:rsid w:val="00F245EC"/>
    <w:rsid w:val="00F24947"/>
    <w:rsid w:val="00F250DE"/>
    <w:rsid w:val="00F25C8A"/>
    <w:rsid w:val="00F275D8"/>
    <w:rsid w:val="00F30EAA"/>
    <w:rsid w:val="00F312D5"/>
    <w:rsid w:val="00F31B0E"/>
    <w:rsid w:val="00F32146"/>
    <w:rsid w:val="00F33C5B"/>
    <w:rsid w:val="00F3675E"/>
    <w:rsid w:val="00F374F0"/>
    <w:rsid w:val="00F416C1"/>
    <w:rsid w:val="00F4262C"/>
    <w:rsid w:val="00F4321C"/>
    <w:rsid w:val="00F44FBC"/>
    <w:rsid w:val="00F51049"/>
    <w:rsid w:val="00F53486"/>
    <w:rsid w:val="00F5452F"/>
    <w:rsid w:val="00F55599"/>
    <w:rsid w:val="00F56A86"/>
    <w:rsid w:val="00F57939"/>
    <w:rsid w:val="00F61A3B"/>
    <w:rsid w:val="00F62707"/>
    <w:rsid w:val="00F628F5"/>
    <w:rsid w:val="00F62C07"/>
    <w:rsid w:val="00F65DDF"/>
    <w:rsid w:val="00F663B1"/>
    <w:rsid w:val="00F679FF"/>
    <w:rsid w:val="00F72CD4"/>
    <w:rsid w:val="00F73120"/>
    <w:rsid w:val="00F732AB"/>
    <w:rsid w:val="00F739E8"/>
    <w:rsid w:val="00F7432D"/>
    <w:rsid w:val="00F74960"/>
    <w:rsid w:val="00F74FB0"/>
    <w:rsid w:val="00F75DE1"/>
    <w:rsid w:val="00F77267"/>
    <w:rsid w:val="00F778DC"/>
    <w:rsid w:val="00F84FCC"/>
    <w:rsid w:val="00F861ED"/>
    <w:rsid w:val="00F87A85"/>
    <w:rsid w:val="00F9299C"/>
    <w:rsid w:val="00F94C7D"/>
    <w:rsid w:val="00F94CDB"/>
    <w:rsid w:val="00F9717B"/>
    <w:rsid w:val="00FA2228"/>
    <w:rsid w:val="00FA5417"/>
    <w:rsid w:val="00FA68ED"/>
    <w:rsid w:val="00FA7E0E"/>
    <w:rsid w:val="00FB0295"/>
    <w:rsid w:val="00FB077D"/>
    <w:rsid w:val="00FB36BE"/>
    <w:rsid w:val="00FB4311"/>
    <w:rsid w:val="00FB79D9"/>
    <w:rsid w:val="00FC1890"/>
    <w:rsid w:val="00FD00ED"/>
    <w:rsid w:val="00FD0304"/>
    <w:rsid w:val="00FD3E1C"/>
    <w:rsid w:val="00FD41F0"/>
    <w:rsid w:val="00FD65B0"/>
    <w:rsid w:val="00FE0238"/>
    <w:rsid w:val="00FE2401"/>
    <w:rsid w:val="00FE30CD"/>
    <w:rsid w:val="00FE5240"/>
    <w:rsid w:val="00FF136D"/>
    <w:rsid w:val="00FF3C6E"/>
    <w:rsid w:val="00FF5AE1"/>
    <w:rsid w:val="00FF6991"/>
    <w:rsid w:val="00FF6BD3"/>
    <w:rsid w:val="00FF730C"/>
    <w:rsid w:val="00FF7DE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84FB0"/>
  <w15:chartTrackingRefBased/>
  <w15:docId w15:val="{6ABC1031-E4AF-4E4A-BF36-BB7D1FD49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34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34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34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34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34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34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34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34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34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34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34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34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34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34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34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34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34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34DF"/>
    <w:rPr>
      <w:rFonts w:eastAsiaTheme="majorEastAsia" w:cstheme="majorBidi"/>
      <w:color w:val="272727" w:themeColor="text1" w:themeTint="D8"/>
    </w:rPr>
  </w:style>
  <w:style w:type="paragraph" w:styleId="Title">
    <w:name w:val="Title"/>
    <w:basedOn w:val="Normal"/>
    <w:next w:val="Normal"/>
    <w:link w:val="TitleChar"/>
    <w:uiPriority w:val="10"/>
    <w:qFormat/>
    <w:rsid w:val="00B334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34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34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34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34DF"/>
    <w:pPr>
      <w:spacing w:before="160"/>
      <w:jc w:val="center"/>
    </w:pPr>
    <w:rPr>
      <w:i/>
      <w:iCs/>
      <w:color w:val="404040" w:themeColor="text1" w:themeTint="BF"/>
    </w:rPr>
  </w:style>
  <w:style w:type="character" w:customStyle="1" w:styleId="QuoteChar">
    <w:name w:val="Quote Char"/>
    <w:basedOn w:val="DefaultParagraphFont"/>
    <w:link w:val="Quote"/>
    <w:uiPriority w:val="29"/>
    <w:rsid w:val="00B334DF"/>
    <w:rPr>
      <w:i/>
      <w:iCs/>
      <w:color w:val="404040" w:themeColor="text1" w:themeTint="BF"/>
    </w:rPr>
  </w:style>
  <w:style w:type="paragraph" w:styleId="ListParagraph">
    <w:name w:val="List Paragraph"/>
    <w:basedOn w:val="Normal"/>
    <w:uiPriority w:val="34"/>
    <w:qFormat/>
    <w:rsid w:val="00B334DF"/>
    <w:pPr>
      <w:ind w:left="720"/>
      <w:contextualSpacing/>
    </w:pPr>
  </w:style>
  <w:style w:type="character" w:styleId="IntenseEmphasis">
    <w:name w:val="Intense Emphasis"/>
    <w:basedOn w:val="DefaultParagraphFont"/>
    <w:uiPriority w:val="21"/>
    <w:qFormat/>
    <w:rsid w:val="00B334DF"/>
    <w:rPr>
      <w:i/>
      <w:iCs/>
      <w:color w:val="0F4761" w:themeColor="accent1" w:themeShade="BF"/>
    </w:rPr>
  </w:style>
  <w:style w:type="paragraph" w:styleId="IntenseQuote">
    <w:name w:val="Intense Quote"/>
    <w:basedOn w:val="Normal"/>
    <w:next w:val="Normal"/>
    <w:link w:val="IntenseQuoteChar"/>
    <w:uiPriority w:val="30"/>
    <w:qFormat/>
    <w:rsid w:val="00B334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34DF"/>
    <w:rPr>
      <w:i/>
      <w:iCs/>
      <w:color w:val="0F4761" w:themeColor="accent1" w:themeShade="BF"/>
    </w:rPr>
  </w:style>
  <w:style w:type="character" w:styleId="IntenseReference">
    <w:name w:val="Intense Reference"/>
    <w:basedOn w:val="DefaultParagraphFont"/>
    <w:uiPriority w:val="32"/>
    <w:qFormat/>
    <w:rsid w:val="00B334DF"/>
    <w:rPr>
      <w:b/>
      <w:bCs/>
      <w:smallCaps/>
      <w:color w:val="0F4761" w:themeColor="accent1" w:themeShade="BF"/>
      <w:spacing w:val="5"/>
    </w:rPr>
  </w:style>
  <w:style w:type="paragraph" w:styleId="NormalWeb">
    <w:name w:val="Normal (Web)"/>
    <w:basedOn w:val="Normal"/>
    <w:uiPriority w:val="99"/>
    <w:semiHidden/>
    <w:unhideWhenUsed/>
    <w:rsid w:val="00AD50FC"/>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EA3E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3E90"/>
  </w:style>
  <w:style w:type="paragraph" w:styleId="Footer">
    <w:name w:val="footer"/>
    <w:basedOn w:val="Normal"/>
    <w:link w:val="FooterChar"/>
    <w:uiPriority w:val="99"/>
    <w:unhideWhenUsed/>
    <w:rsid w:val="00EA3E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3E90"/>
  </w:style>
  <w:style w:type="paragraph" w:customStyle="1" w:styleId="FCsubtitle">
    <w:name w:val="FC sub title"/>
    <w:basedOn w:val="Normal"/>
    <w:qFormat/>
    <w:rsid w:val="005965D1"/>
    <w:pPr>
      <w:spacing w:after="120" w:line="240" w:lineRule="auto"/>
    </w:pPr>
    <w:rPr>
      <w:rFonts w:eastAsiaTheme="minorHAnsi"/>
      <w:color w:val="FFFFFF" w:themeColor="background1"/>
      <w:kern w:val="0"/>
      <w:sz w:val="28"/>
      <w:szCs w:val="20"/>
      <w:shd w:val="clear" w:color="auto" w:fill="C5192D"/>
      <w:lang w:val="en-GB" w:eastAsia="en-US"/>
      <w14:ligatures w14:val="none"/>
    </w:rPr>
  </w:style>
  <w:style w:type="character" w:styleId="CommentReference">
    <w:name w:val="annotation reference"/>
    <w:basedOn w:val="DefaultParagraphFont"/>
    <w:uiPriority w:val="99"/>
    <w:semiHidden/>
    <w:unhideWhenUsed/>
    <w:rsid w:val="005D12FF"/>
    <w:rPr>
      <w:sz w:val="16"/>
      <w:szCs w:val="16"/>
    </w:rPr>
  </w:style>
  <w:style w:type="paragraph" w:styleId="CommentText">
    <w:name w:val="annotation text"/>
    <w:basedOn w:val="Normal"/>
    <w:link w:val="CommentTextChar"/>
    <w:uiPriority w:val="99"/>
    <w:unhideWhenUsed/>
    <w:rsid w:val="005D12FF"/>
    <w:pPr>
      <w:spacing w:line="240" w:lineRule="auto"/>
    </w:pPr>
    <w:rPr>
      <w:sz w:val="20"/>
      <w:szCs w:val="20"/>
    </w:rPr>
  </w:style>
  <w:style w:type="character" w:customStyle="1" w:styleId="CommentTextChar">
    <w:name w:val="Comment Text Char"/>
    <w:basedOn w:val="DefaultParagraphFont"/>
    <w:link w:val="CommentText"/>
    <w:uiPriority w:val="99"/>
    <w:rsid w:val="005D12FF"/>
    <w:rPr>
      <w:sz w:val="20"/>
      <w:szCs w:val="20"/>
    </w:rPr>
  </w:style>
  <w:style w:type="paragraph" w:styleId="CommentSubject">
    <w:name w:val="annotation subject"/>
    <w:basedOn w:val="CommentText"/>
    <w:next w:val="CommentText"/>
    <w:link w:val="CommentSubjectChar"/>
    <w:uiPriority w:val="99"/>
    <w:semiHidden/>
    <w:unhideWhenUsed/>
    <w:rsid w:val="005D12FF"/>
    <w:rPr>
      <w:b/>
      <w:bCs/>
    </w:rPr>
  </w:style>
  <w:style w:type="character" w:customStyle="1" w:styleId="CommentSubjectChar">
    <w:name w:val="Comment Subject Char"/>
    <w:basedOn w:val="CommentTextChar"/>
    <w:link w:val="CommentSubject"/>
    <w:uiPriority w:val="99"/>
    <w:semiHidden/>
    <w:rsid w:val="005D12FF"/>
    <w:rPr>
      <w:b/>
      <w:bCs/>
      <w:sz w:val="20"/>
      <w:szCs w:val="20"/>
    </w:rPr>
  </w:style>
  <w:style w:type="paragraph" w:customStyle="1" w:styleId="Marge">
    <w:name w:val="Marge"/>
    <w:basedOn w:val="Normal"/>
    <w:rsid w:val="00740DF7"/>
    <w:pPr>
      <w:tabs>
        <w:tab w:val="left" w:pos="567"/>
      </w:tabs>
      <w:snapToGrid w:val="0"/>
      <w:spacing w:after="240" w:line="240" w:lineRule="auto"/>
      <w:jc w:val="both"/>
    </w:pPr>
    <w:rPr>
      <w:rFonts w:ascii="Arial" w:eastAsia="Times New Roman" w:hAnsi="Arial" w:cs="Times New Roman"/>
      <w:snapToGrid w:val="0"/>
      <w:kern w:val="0"/>
      <w:sz w:val="22"/>
      <w:lang w:eastAsia="en-US"/>
      <w14:ligatures w14:val="none"/>
    </w:rPr>
  </w:style>
  <w:style w:type="character" w:styleId="Hyperlink">
    <w:name w:val="Hyperlink"/>
    <w:rsid w:val="00740DF7"/>
    <w:rPr>
      <w:color w:val="0000FF"/>
      <w:u w:val="single"/>
    </w:r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FB0295"/>
    <w:pPr>
      <w:spacing w:after="0" w:line="240" w:lineRule="auto"/>
    </w:pPr>
    <w:rPr>
      <w:sz w:val="20"/>
      <w:szCs w:val="20"/>
    </w:rPr>
  </w:style>
  <w:style w:type="character" w:customStyle="1" w:styleId="FootnoteTextChar">
    <w:name w:val="Footnote Text Char"/>
    <w:aliases w:val="Fußnote Char,Footnote Text Char Char Char,single space Char,FOOTNOTES Char,fn Char,Footnote Char,Char1 Char Char,Footnote Char1 Char,stile 1 Char,Footnote1 Char,Footnote2 Char,Footnote3 Char,Footnote4 Char,Footnote5 Char"/>
    <w:basedOn w:val="DefaultParagraphFont"/>
    <w:link w:val="FootnoteText"/>
    <w:uiPriority w:val="99"/>
    <w:rsid w:val="00FB0295"/>
    <w:rPr>
      <w:sz w:val="20"/>
      <w:szCs w:val="20"/>
    </w:rPr>
  </w:style>
  <w:style w:type="character" w:styleId="FootnoteReference">
    <w:name w:val="footnote reference"/>
    <w:basedOn w:val="DefaultParagraphFont"/>
    <w:uiPriority w:val="99"/>
    <w:semiHidden/>
    <w:unhideWhenUsed/>
    <w:rsid w:val="00FB0295"/>
    <w:rPr>
      <w:vertAlign w:val="superscript"/>
    </w:rPr>
  </w:style>
  <w:style w:type="character" w:styleId="UnresolvedMention">
    <w:name w:val="Unresolved Mention"/>
    <w:basedOn w:val="DefaultParagraphFont"/>
    <w:uiPriority w:val="99"/>
    <w:semiHidden/>
    <w:unhideWhenUsed/>
    <w:rsid w:val="00611676"/>
    <w:rPr>
      <w:color w:val="605E5C"/>
      <w:shd w:val="clear" w:color="auto" w:fill="E1DFDD"/>
    </w:rPr>
  </w:style>
  <w:style w:type="table" w:styleId="TableGrid">
    <w:name w:val="Table Grid"/>
    <w:basedOn w:val="TableNormal"/>
    <w:uiPriority w:val="39"/>
    <w:rsid w:val="00624991"/>
    <w:pPr>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41C7E"/>
    <w:pPr>
      <w:spacing w:after="0" w:line="240" w:lineRule="auto"/>
    </w:pPr>
  </w:style>
  <w:style w:type="paragraph" w:customStyle="1" w:styleId="paragraph">
    <w:name w:val="paragraph"/>
    <w:basedOn w:val="Normal"/>
    <w:rsid w:val="00B41C7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41C7E"/>
  </w:style>
  <w:style w:type="character" w:customStyle="1" w:styleId="eop">
    <w:name w:val="eop"/>
    <w:basedOn w:val="DefaultParagraphFont"/>
    <w:rsid w:val="00B41C7E"/>
  </w:style>
  <w:style w:type="table" w:styleId="GridTable4-Accent3">
    <w:name w:val="Grid Table 4 Accent 3"/>
    <w:basedOn w:val="TableNormal"/>
    <w:uiPriority w:val="49"/>
    <w:rsid w:val="00C610D9"/>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eGridLight">
    <w:name w:val="Grid Table Light"/>
    <w:basedOn w:val="TableNormal"/>
    <w:uiPriority w:val="40"/>
    <w:rsid w:val="00C610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dnoteText">
    <w:name w:val="endnote text"/>
    <w:basedOn w:val="Normal"/>
    <w:link w:val="EndnoteTextChar"/>
    <w:uiPriority w:val="99"/>
    <w:semiHidden/>
    <w:unhideWhenUsed/>
    <w:rsid w:val="007133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1338D"/>
    <w:rPr>
      <w:sz w:val="20"/>
      <w:szCs w:val="20"/>
    </w:rPr>
  </w:style>
  <w:style w:type="character" w:styleId="EndnoteReference">
    <w:name w:val="endnote reference"/>
    <w:basedOn w:val="DefaultParagraphFont"/>
    <w:uiPriority w:val="99"/>
    <w:semiHidden/>
    <w:unhideWhenUsed/>
    <w:rsid w:val="0071338D"/>
    <w:rPr>
      <w:vertAlign w:val="superscript"/>
    </w:rPr>
  </w:style>
  <w:style w:type="table" w:styleId="GridTable5Dark-Accent3">
    <w:name w:val="Grid Table 5 Dark Accent 3"/>
    <w:basedOn w:val="TableNormal"/>
    <w:uiPriority w:val="50"/>
    <w:rsid w:val="00EF4DBE"/>
    <w:pPr>
      <w:spacing w:after="0" w:line="240" w:lineRule="auto"/>
    </w:pPr>
    <w:rPr>
      <w:rFonts w:eastAsiaTheme="minorHAnsi"/>
      <w:kern w:val="0"/>
      <w:sz w:val="22"/>
      <w:szCs w:val="22"/>
      <w:lang w:val="en-US" w:eastAsia="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0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96B2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96B2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96B2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96B24" w:themeFill="accent3"/>
      </w:tcPr>
    </w:tblStylePr>
    <w:tblStylePr w:type="band1Vert">
      <w:tblPr/>
      <w:tcPr>
        <w:shd w:val="clear" w:color="auto" w:fill="84E290" w:themeFill="accent3" w:themeFillTint="66"/>
      </w:tcPr>
    </w:tblStylePr>
    <w:tblStylePr w:type="band1Horz">
      <w:tblPr/>
      <w:tcPr>
        <w:shd w:val="clear" w:color="auto" w:fill="84E290"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7238">
      <w:bodyDiv w:val="1"/>
      <w:marLeft w:val="0"/>
      <w:marRight w:val="0"/>
      <w:marTop w:val="0"/>
      <w:marBottom w:val="0"/>
      <w:divBdr>
        <w:top w:val="none" w:sz="0" w:space="0" w:color="auto"/>
        <w:left w:val="none" w:sz="0" w:space="0" w:color="auto"/>
        <w:bottom w:val="none" w:sz="0" w:space="0" w:color="auto"/>
        <w:right w:val="none" w:sz="0" w:space="0" w:color="auto"/>
      </w:divBdr>
    </w:div>
    <w:div w:id="338430332">
      <w:bodyDiv w:val="1"/>
      <w:marLeft w:val="0"/>
      <w:marRight w:val="0"/>
      <w:marTop w:val="0"/>
      <w:marBottom w:val="0"/>
      <w:divBdr>
        <w:top w:val="none" w:sz="0" w:space="0" w:color="auto"/>
        <w:left w:val="none" w:sz="0" w:space="0" w:color="auto"/>
        <w:bottom w:val="none" w:sz="0" w:space="0" w:color="auto"/>
        <w:right w:val="none" w:sz="0" w:space="0" w:color="auto"/>
      </w:divBdr>
      <w:divsChild>
        <w:div w:id="1007055667">
          <w:marLeft w:val="0"/>
          <w:marRight w:val="0"/>
          <w:marTop w:val="0"/>
          <w:marBottom w:val="0"/>
          <w:divBdr>
            <w:top w:val="none" w:sz="0" w:space="0" w:color="auto"/>
            <w:left w:val="none" w:sz="0" w:space="0" w:color="auto"/>
            <w:bottom w:val="none" w:sz="0" w:space="0" w:color="auto"/>
            <w:right w:val="none" w:sz="0" w:space="0" w:color="auto"/>
          </w:divBdr>
          <w:divsChild>
            <w:div w:id="783812818">
              <w:marLeft w:val="0"/>
              <w:marRight w:val="0"/>
              <w:marTop w:val="0"/>
              <w:marBottom w:val="0"/>
              <w:divBdr>
                <w:top w:val="none" w:sz="0" w:space="0" w:color="auto"/>
                <w:left w:val="none" w:sz="0" w:space="0" w:color="auto"/>
                <w:bottom w:val="none" w:sz="0" w:space="0" w:color="auto"/>
                <w:right w:val="none" w:sz="0" w:space="0" w:color="auto"/>
              </w:divBdr>
              <w:divsChild>
                <w:div w:id="114982485">
                  <w:marLeft w:val="0"/>
                  <w:marRight w:val="0"/>
                  <w:marTop w:val="0"/>
                  <w:marBottom w:val="0"/>
                  <w:divBdr>
                    <w:top w:val="none" w:sz="0" w:space="0" w:color="auto"/>
                    <w:left w:val="none" w:sz="0" w:space="0" w:color="auto"/>
                    <w:bottom w:val="none" w:sz="0" w:space="0" w:color="auto"/>
                    <w:right w:val="none" w:sz="0" w:space="0" w:color="auto"/>
                  </w:divBdr>
                </w:div>
              </w:divsChild>
            </w:div>
            <w:div w:id="571355691">
              <w:marLeft w:val="0"/>
              <w:marRight w:val="0"/>
              <w:marTop w:val="0"/>
              <w:marBottom w:val="0"/>
              <w:divBdr>
                <w:top w:val="none" w:sz="0" w:space="0" w:color="auto"/>
                <w:left w:val="none" w:sz="0" w:space="0" w:color="auto"/>
                <w:bottom w:val="none" w:sz="0" w:space="0" w:color="auto"/>
                <w:right w:val="none" w:sz="0" w:space="0" w:color="auto"/>
              </w:divBdr>
              <w:divsChild>
                <w:div w:id="1978872743">
                  <w:marLeft w:val="0"/>
                  <w:marRight w:val="0"/>
                  <w:marTop w:val="0"/>
                  <w:marBottom w:val="0"/>
                  <w:divBdr>
                    <w:top w:val="none" w:sz="0" w:space="0" w:color="auto"/>
                    <w:left w:val="none" w:sz="0" w:space="0" w:color="auto"/>
                    <w:bottom w:val="none" w:sz="0" w:space="0" w:color="auto"/>
                    <w:right w:val="none" w:sz="0" w:space="0" w:color="auto"/>
                  </w:divBdr>
                  <w:divsChild>
                    <w:div w:id="16663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58913">
              <w:marLeft w:val="0"/>
              <w:marRight w:val="0"/>
              <w:marTop w:val="0"/>
              <w:marBottom w:val="0"/>
              <w:divBdr>
                <w:top w:val="none" w:sz="0" w:space="0" w:color="auto"/>
                <w:left w:val="none" w:sz="0" w:space="0" w:color="auto"/>
                <w:bottom w:val="none" w:sz="0" w:space="0" w:color="auto"/>
                <w:right w:val="none" w:sz="0" w:space="0" w:color="auto"/>
              </w:divBdr>
              <w:divsChild>
                <w:div w:id="78192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01192">
          <w:marLeft w:val="0"/>
          <w:marRight w:val="0"/>
          <w:marTop w:val="0"/>
          <w:marBottom w:val="0"/>
          <w:divBdr>
            <w:top w:val="none" w:sz="0" w:space="0" w:color="auto"/>
            <w:left w:val="none" w:sz="0" w:space="0" w:color="auto"/>
            <w:bottom w:val="none" w:sz="0" w:space="0" w:color="auto"/>
            <w:right w:val="none" w:sz="0" w:space="0" w:color="auto"/>
          </w:divBdr>
          <w:divsChild>
            <w:div w:id="725227227">
              <w:marLeft w:val="0"/>
              <w:marRight w:val="0"/>
              <w:marTop w:val="0"/>
              <w:marBottom w:val="0"/>
              <w:divBdr>
                <w:top w:val="none" w:sz="0" w:space="0" w:color="auto"/>
                <w:left w:val="none" w:sz="0" w:space="0" w:color="auto"/>
                <w:bottom w:val="none" w:sz="0" w:space="0" w:color="auto"/>
                <w:right w:val="none" w:sz="0" w:space="0" w:color="auto"/>
              </w:divBdr>
              <w:divsChild>
                <w:div w:id="231278133">
                  <w:marLeft w:val="0"/>
                  <w:marRight w:val="0"/>
                  <w:marTop w:val="0"/>
                  <w:marBottom w:val="0"/>
                  <w:divBdr>
                    <w:top w:val="none" w:sz="0" w:space="0" w:color="auto"/>
                    <w:left w:val="none" w:sz="0" w:space="0" w:color="auto"/>
                    <w:bottom w:val="none" w:sz="0" w:space="0" w:color="auto"/>
                    <w:right w:val="none" w:sz="0" w:space="0" w:color="auto"/>
                  </w:divBdr>
                  <w:divsChild>
                    <w:div w:id="8592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988892">
      <w:bodyDiv w:val="1"/>
      <w:marLeft w:val="0"/>
      <w:marRight w:val="0"/>
      <w:marTop w:val="0"/>
      <w:marBottom w:val="0"/>
      <w:divBdr>
        <w:top w:val="none" w:sz="0" w:space="0" w:color="auto"/>
        <w:left w:val="none" w:sz="0" w:space="0" w:color="auto"/>
        <w:bottom w:val="none" w:sz="0" w:space="0" w:color="auto"/>
        <w:right w:val="none" w:sz="0" w:space="0" w:color="auto"/>
      </w:divBdr>
      <w:divsChild>
        <w:div w:id="945700633">
          <w:marLeft w:val="0"/>
          <w:marRight w:val="0"/>
          <w:marTop w:val="0"/>
          <w:marBottom w:val="0"/>
          <w:divBdr>
            <w:top w:val="none" w:sz="0" w:space="0" w:color="auto"/>
            <w:left w:val="none" w:sz="0" w:space="0" w:color="auto"/>
            <w:bottom w:val="none" w:sz="0" w:space="0" w:color="auto"/>
            <w:right w:val="none" w:sz="0" w:space="0" w:color="auto"/>
          </w:divBdr>
          <w:divsChild>
            <w:div w:id="687754957">
              <w:marLeft w:val="0"/>
              <w:marRight w:val="0"/>
              <w:marTop w:val="0"/>
              <w:marBottom w:val="0"/>
              <w:divBdr>
                <w:top w:val="none" w:sz="0" w:space="0" w:color="auto"/>
                <w:left w:val="none" w:sz="0" w:space="0" w:color="auto"/>
                <w:bottom w:val="none" w:sz="0" w:space="0" w:color="auto"/>
                <w:right w:val="none" w:sz="0" w:space="0" w:color="auto"/>
              </w:divBdr>
              <w:divsChild>
                <w:div w:id="7216091">
                  <w:marLeft w:val="0"/>
                  <w:marRight w:val="0"/>
                  <w:marTop w:val="0"/>
                  <w:marBottom w:val="0"/>
                  <w:divBdr>
                    <w:top w:val="none" w:sz="0" w:space="0" w:color="auto"/>
                    <w:left w:val="none" w:sz="0" w:space="0" w:color="auto"/>
                    <w:bottom w:val="none" w:sz="0" w:space="0" w:color="auto"/>
                    <w:right w:val="none" w:sz="0" w:space="0" w:color="auto"/>
                  </w:divBdr>
                </w:div>
              </w:divsChild>
            </w:div>
            <w:div w:id="373308962">
              <w:marLeft w:val="0"/>
              <w:marRight w:val="0"/>
              <w:marTop w:val="0"/>
              <w:marBottom w:val="0"/>
              <w:divBdr>
                <w:top w:val="none" w:sz="0" w:space="0" w:color="auto"/>
                <w:left w:val="none" w:sz="0" w:space="0" w:color="auto"/>
                <w:bottom w:val="none" w:sz="0" w:space="0" w:color="auto"/>
                <w:right w:val="none" w:sz="0" w:space="0" w:color="auto"/>
              </w:divBdr>
              <w:divsChild>
                <w:div w:id="1826894598">
                  <w:marLeft w:val="0"/>
                  <w:marRight w:val="0"/>
                  <w:marTop w:val="0"/>
                  <w:marBottom w:val="0"/>
                  <w:divBdr>
                    <w:top w:val="none" w:sz="0" w:space="0" w:color="auto"/>
                    <w:left w:val="none" w:sz="0" w:space="0" w:color="auto"/>
                    <w:bottom w:val="none" w:sz="0" w:space="0" w:color="auto"/>
                    <w:right w:val="none" w:sz="0" w:space="0" w:color="auto"/>
                  </w:divBdr>
                  <w:divsChild>
                    <w:div w:id="46512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97107">
              <w:marLeft w:val="0"/>
              <w:marRight w:val="0"/>
              <w:marTop w:val="0"/>
              <w:marBottom w:val="0"/>
              <w:divBdr>
                <w:top w:val="none" w:sz="0" w:space="0" w:color="auto"/>
                <w:left w:val="none" w:sz="0" w:space="0" w:color="auto"/>
                <w:bottom w:val="none" w:sz="0" w:space="0" w:color="auto"/>
                <w:right w:val="none" w:sz="0" w:space="0" w:color="auto"/>
              </w:divBdr>
              <w:divsChild>
                <w:div w:id="121615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87223">
          <w:marLeft w:val="0"/>
          <w:marRight w:val="0"/>
          <w:marTop w:val="0"/>
          <w:marBottom w:val="0"/>
          <w:divBdr>
            <w:top w:val="none" w:sz="0" w:space="0" w:color="auto"/>
            <w:left w:val="none" w:sz="0" w:space="0" w:color="auto"/>
            <w:bottom w:val="none" w:sz="0" w:space="0" w:color="auto"/>
            <w:right w:val="none" w:sz="0" w:space="0" w:color="auto"/>
          </w:divBdr>
          <w:divsChild>
            <w:div w:id="170679578">
              <w:marLeft w:val="0"/>
              <w:marRight w:val="0"/>
              <w:marTop w:val="0"/>
              <w:marBottom w:val="0"/>
              <w:divBdr>
                <w:top w:val="none" w:sz="0" w:space="0" w:color="auto"/>
                <w:left w:val="none" w:sz="0" w:space="0" w:color="auto"/>
                <w:bottom w:val="none" w:sz="0" w:space="0" w:color="auto"/>
                <w:right w:val="none" w:sz="0" w:space="0" w:color="auto"/>
              </w:divBdr>
              <w:divsChild>
                <w:div w:id="83380176">
                  <w:marLeft w:val="0"/>
                  <w:marRight w:val="0"/>
                  <w:marTop w:val="0"/>
                  <w:marBottom w:val="0"/>
                  <w:divBdr>
                    <w:top w:val="none" w:sz="0" w:space="0" w:color="auto"/>
                    <w:left w:val="none" w:sz="0" w:space="0" w:color="auto"/>
                    <w:bottom w:val="none" w:sz="0" w:space="0" w:color="auto"/>
                    <w:right w:val="none" w:sz="0" w:space="0" w:color="auto"/>
                  </w:divBdr>
                  <w:divsChild>
                    <w:div w:id="88093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782386">
      <w:bodyDiv w:val="1"/>
      <w:marLeft w:val="0"/>
      <w:marRight w:val="0"/>
      <w:marTop w:val="0"/>
      <w:marBottom w:val="0"/>
      <w:divBdr>
        <w:top w:val="none" w:sz="0" w:space="0" w:color="auto"/>
        <w:left w:val="none" w:sz="0" w:space="0" w:color="auto"/>
        <w:bottom w:val="none" w:sz="0" w:space="0" w:color="auto"/>
        <w:right w:val="none" w:sz="0" w:space="0" w:color="auto"/>
      </w:divBdr>
    </w:div>
    <w:div w:id="996306794">
      <w:bodyDiv w:val="1"/>
      <w:marLeft w:val="0"/>
      <w:marRight w:val="0"/>
      <w:marTop w:val="0"/>
      <w:marBottom w:val="0"/>
      <w:divBdr>
        <w:top w:val="none" w:sz="0" w:space="0" w:color="auto"/>
        <w:left w:val="none" w:sz="0" w:space="0" w:color="auto"/>
        <w:bottom w:val="none" w:sz="0" w:space="0" w:color="auto"/>
        <w:right w:val="none" w:sz="0" w:space="0" w:color="auto"/>
      </w:divBdr>
      <w:divsChild>
        <w:div w:id="1110473670">
          <w:marLeft w:val="0"/>
          <w:marRight w:val="0"/>
          <w:marTop w:val="0"/>
          <w:marBottom w:val="0"/>
          <w:divBdr>
            <w:top w:val="none" w:sz="0" w:space="0" w:color="auto"/>
            <w:left w:val="none" w:sz="0" w:space="0" w:color="auto"/>
            <w:bottom w:val="none" w:sz="0" w:space="0" w:color="auto"/>
            <w:right w:val="none" w:sz="0" w:space="0" w:color="auto"/>
          </w:divBdr>
          <w:divsChild>
            <w:div w:id="1775176452">
              <w:marLeft w:val="0"/>
              <w:marRight w:val="0"/>
              <w:marTop w:val="0"/>
              <w:marBottom w:val="0"/>
              <w:divBdr>
                <w:top w:val="none" w:sz="0" w:space="0" w:color="auto"/>
                <w:left w:val="none" w:sz="0" w:space="0" w:color="auto"/>
                <w:bottom w:val="none" w:sz="0" w:space="0" w:color="auto"/>
                <w:right w:val="none" w:sz="0" w:space="0" w:color="auto"/>
              </w:divBdr>
            </w:div>
            <w:div w:id="746346873">
              <w:marLeft w:val="0"/>
              <w:marRight w:val="0"/>
              <w:marTop w:val="0"/>
              <w:marBottom w:val="0"/>
              <w:divBdr>
                <w:top w:val="none" w:sz="0" w:space="0" w:color="auto"/>
                <w:left w:val="none" w:sz="0" w:space="0" w:color="auto"/>
                <w:bottom w:val="none" w:sz="0" w:space="0" w:color="auto"/>
                <w:right w:val="none" w:sz="0" w:space="0" w:color="auto"/>
              </w:divBdr>
              <w:divsChild>
                <w:div w:id="909272776">
                  <w:marLeft w:val="0"/>
                  <w:marRight w:val="0"/>
                  <w:marTop w:val="0"/>
                  <w:marBottom w:val="0"/>
                  <w:divBdr>
                    <w:top w:val="none" w:sz="0" w:space="0" w:color="auto"/>
                    <w:left w:val="none" w:sz="0" w:space="0" w:color="auto"/>
                    <w:bottom w:val="none" w:sz="0" w:space="0" w:color="auto"/>
                    <w:right w:val="none" w:sz="0" w:space="0" w:color="auto"/>
                  </w:divBdr>
                  <w:divsChild>
                    <w:div w:id="7978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175065">
              <w:marLeft w:val="0"/>
              <w:marRight w:val="0"/>
              <w:marTop w:val="0"/>
              <w:marBottom w:val="0"/>
              <w:divBdr>
                <w:top w:val="none" w:sz="0" w:space="0" w:color="auto"/>
                <w:left w:val="none" w:sz="0" w:space="0" w:color="auto"/>
                <w:bottom w:val="none" w:sz="0" w:space="0" w:color="auto"/>
                <w:right w:val="none" w:sz="0" w:space="0" w:color="auto"/>
              </w:divBdr>
              <w:divsChild>
                <w:div w:id="73670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0367">
          <w:marLeft w:val="0"/>
          <w:marRight w:val="0"/>
          <w:marTop w:val="0"/>
          <w:marBottom w:val="0"/>
          <w:divBdr>
            <w:top w:val="none" w:sz="0" w:space="0" w:color="auto"/>
            <w:left w:val="none" w:sz="0" w:space="0" w:color="auto"/>
            <w:bottom w:val="none" w:sz="0" w:space="0" w:color="auto"/>
            <w:right w:val="none" w:sz="0" w:space="0" w:color="auto"/>
          </w:divBdr>
          <w:divsChild>
            <w:div w:id="1393849074">
              <w:marLeft w:val="0"/>
              <w:marRight w:val="0"/>
              <w:marTop w:val="0"/>
              <w:marBottom w:val="0"/>
              <w:divBdr>
                <w:top w:val="none" w:sz="0" w:space="0" w:color="auto"/>
                <w:left w:val="none" w:sz="0" w:space="0" w:color="auto"/>
                <w:bottom w:val="none" w:sz="0" w:space="0" w:color="auto"/>
                <w:right w:val="none" w:sz="0" w:space="0" w:color="auto"/>
              </w:divBdr>
              <w:divsChild>
                <w:div w:id="160629856">
                  <w:marLeft w:val="0"/>
                  <w:marRight w:val="0"/>
                  <w:marTop w:val="0"/>
                  <w:marBottom w:val="0"/>
                  <w:divBdr>
                    <w:top w:val="none" w:sz="0" w:space="0" w:color="auto"/>
                    <w:left w:val="none" w:sz="0" w:space="0" w:color="auto"/>
                    <w:bottom w:val="none" w:sz="0" w:space="0" w:color="auto"/>
                    <w:right w:val="none" w:sz="0" w:space="0" w:color="auto"/>
                  </w:divBdr>
                  <w:divsChild>
                    <w:div w:id="1088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2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esco.org/es/multi-donor-programme-freedom-expression-and-safety-journalists" TargetMode="External"/><Relationship Id="rId18" Type="http://schemas.openxmlformats.org/officeDocument/2006/relationships/hyperlink" Target="https://www.unesco.org/es/international-programme-development-communication" TargetMode="External"/><Relationship Id="rId26" Type="http://schemas.openxmlformats.org/officeDocument/2006/relationships/hyperlink" Target="https://unesdoc.unesco.org/ark:/48223/pf0000377223" TargetMode="External"/><Relationship Id="rId3" Type="http://schemas.openxmlformats.org/officeDocument/2006/relationships/styles" Target="styles.xml"/><Relationship Id="rId21" Type="http://schemas.openxmlformats.org/officeDocument/2006/relationships/hyperlink" Target="https://www.unesco.org/en/sids" TargetMode="External"/><Relationship Id="rId34" Type="http://schemas.openxmlformats.org/officeDocument/2006/relationships/hyperlink" Target="mailto:gmdf@unesco.org" TargetMode="External"/><Relationship Id="rId7" Type="http://schemas.openxmlformats.org/officeDocument/2006/relationships/endnotes" Target="endnotes.xml"/><Relationship Id="rId12" Type="http://schemas.openxmlformats.org/officeDocument/2006/relationships/hyperlink" Target="https://www.unesco.org/sites/default/files/medias/fichiers/2024/07/Global%20Media%20Defence%20Fund%20report%20%282020-2024%29.pdf?hub=67808" TargetMode="External"/><Relationship Id="rId17" Type="http://schemas.openxmlformats.org/officeDocument/2006/relationships/hyperlink" Target="https://main.un.org/securitycouncil/en/content/un-sc-consolidated-list" TargetMode="External"/><Relationship Id="rId25" Type="http://schemas.openxmlformats.org/officeDocument/2006/relationships/hyperlink" Target="https://unesdoc.unesco.org/ark:/48223/pf0000383921?posInSet=1&amp;queryId=5cef0198-03e9-440a-b1f9-70d2fdba690f" TargetMode="External"/><Relationship Id="rId33" Type="http://schemas.microsoft.com/office/2007/relationships/diagramDrawing" Target="diagrams/drawing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mdf@unesco.org" TargetMode="External"/><Relationship Id="rId20" Type="http://schemas.openxmlformats.org/officeDocument/2006/relationships/hyperlink" Target="https://www.unesco.org/en/ldcs" TargetMode="External"/><Relationship Id="rId29" Type="http://schemas.openxmlformats.org/officeDocument/2006/relationships/diagramData" Target="diagrams/data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sco.org/es/global-media-defence-fund?hub=67808" TargetMode="External"/><Relationship Id="rId24" Type="http://schemas.openxmlformats.org/officeDocument/2006/relationships/hyperlink" Target="https://www.unesco.org/en/world-media-trends/issue-briefs" TargetMode="External"/><Relationship Id="rId32" Type="http://schemas.openxmlformats.org/officeDocument/2006/relationships/diagramColors" Target="diagrams/colors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nesdoc.unesco.org/ark:/48223/pf0000389501" TargetMode="External"/><Relationship Id="rId23" Type="http://schemas.openxmlformats.org/officeDocument/2006/relationships/hyperlink" Target="https://unesdoc.unesco.org/ark:/48223/pf0000383337" TargetMode="External"/><Relationship Id="rId28" Type="http://schemas.openxmlformats.org/officeDocument/2006/relationships/hyperlink" Target="https://treasury.un.org/operationalrates/OperationalRates.php" TargetMode="External"/><Relationship Id="rId36" Type="http://schemas.openxmlformats.org/officeDocument/2006/relationships/footer" Target="footer1.xml"/><Relationship Id="rId10" Type="http://schemas.openxmlformats.org/officeDocument/2006/relationships/hyperlink" Target="https://unesdoc.unesco.org/ark:/48223/pf0000384828?posInSet=5&amp;queryId=e5f6ce81-6447-4acc-992c-bd78ff30a68b" TargetMode="External"/><Relationship Id="rId19" Type="http://schemas.openxmlformats.org/officeDocument/2006/relationships/hyperlink" Target="https://www.unesco.org/es/multi-donor-programme-freedom-expression-and-safety-journalists" TargetMode="External"/><Relationship Id="rId31"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hyperlink" Target="https://www.unesco.org/es/safety-journalists/un-plan-action" TargetMode="External"/><Relationship Id="rId14" Type="http://schemas.openxmlformats.org/officeDocument/2006/relationships/hyperlink" Target="https://www.unesco.org/es/international-programme-development-communication" TargetMode="External"/><Relationship Id="rId22" Type="http://schemas.openxmlformats.org/officeDocument/2006/relationships/hyperlink" Target="https://www.unesco.org/en/indigenous-peoples" TargetMode="External"/><Relationship Id="rId27" Type="http://schemas.openxmlformats.org/officeDocument/2006/relationships/hyperlink" Target="https://unesdoc.unesco.org/ark:/48223/pf0000381509_spa" TargetMode="External"/><Relationship Id="rId30" Type="http://schemas.openxmlformats.org/officeDocument/2006/relationships/diagramLayout" Target="diagrams/layout1.xm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5_3">
  <dgm:title val=""/>
  <dgm:desc val=""/>
  <dgm:catLst>
    <dgm:cat type="accent5" pri="11300"/>
  </dgm:catLst>
  <dgm:styleLbl name="node0">
    <dgm:fillClrLst meth="repeat">
      <a:schemeClr val="accent5">
        <a:shade val="80000"/>
      </a:schemeClr>
    </dgm:fillClrLst>
    <dgm:linClrLst meth="repeat">
      <a:schemeClr val="lt1"/>
    </dgm:linClrLst>
    <dgm:effectClrLst/>
    <dgm:txLinClrLst/>
    <dgm:txFillClrLst/>
    <dgm:txEffectClrLst/>
  </dgm:styleLbl>
  <dgm:styleLbl name="node1">
    <dgm:fillClrLst>
      <a:schemeClr val="accent5">
        <a:shade val="80000"/>
      </a:schemeClr>
      <a:schemeClr val="accent5">
        <a:tint val="70000"/>
      </a:schemeClr>
    </dgm:fillClrLst>
    <dgm:linClrLst meth="repeat">
      <a:schemeClr val="lt1"/>
    </dgm:linClrLst>
    <dgm:effectClrLst/>
    <dgm:txLinClrLst/>
    <dgm:txFillClrLst/>
    <dgm:txEffectClrLst/>
  </dgm:styleLbl>
  <dgm:styleLbl name="alignNode1">
    <dgm:fillClrLst>
      <a:schemeClr val="accent5">
        <a:shade val="80000"/>
      </a:schemeClr>
      <a:schemeClr val="accent5">
        <a:tint val="70000"/>
      </a:schemeClr>
    </dgm:fillClrLst>
    <dgm:linClrLst>
      <a:schemeClr val="accent5">
        <a:shade val="80000"/>
      </a:schemeClr>
      <a:schemeClr val="accent5">
        <a:tint val="70000"/>
      </a:schemeClr>
    </dgm:linClrLst>
    <dgm:effectClrLst/>
    <dgm:txLinClrLst/>
    <dgm:txFillClrLst/>
    <dgm:txEffectClrLst/>
  </dgm:styleLbl>
  <dgm:styleLbl name="lnNode1">
    <dgm:fillClrLst>
      <a:schemeClr val="accent5">
        <a:shade val="80000"/>
      </a:schemeClr>
      <a:schemeClr val="accent5">
        <a:tint val="7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tint val="70000"/>
        <a:alpha val="50000"/>
      </a:schemeClr>
    </dgm:fillClrLst>
    <dgm:linClrLst meth="repeat">
      <a:schemeClr val="lt1"/>
    </dgm:linClrLst>
    <dgm:effectClrLst/>
    <dgm:txLinClrLst/>
    <dgm:txFillClrLst/>
    <dgm:txEffectClrLst/>
  </dgm:styleLbl>
  <dgm:styleLbl name="node2">
    <dgm:fillClrLst>
      <a:schemeClr val="accent5">
        <a:tint val="99000"/>
      </a:schemeClr>
    </dgm:fillClrLst>
    <dgm:linClrLst meth="repeat">
      <a:schemeClr val="lt1"/>
    </dgm:linClrLst>
    <dgm:effectClrLst/>
    <dgm:txLinClrLst/>
    <dgm:txFillClrLst/>
    <dgm:txEffectClrLst/>
  </dgm:styleLbl>
  <dgm:styleLbl name="node3">
    <dgm:fillClrLst>
      <a:schemeClr val="accent5">
        <a:tint val="80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dgm:txEffectClrLst/>
  </dgm:styleLbl>
  <dgm:styleLbl name="f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bgSibTrans2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lt1"/>
    </dgm:txFillClrLst>
    <dgm:txEffectClrLst/>
  </dgm:styleLbl>
  <dgm:styleLbl name="sibTrans1D1">
    <dgm:fillClrLst>
      <a:schemeClr val="accent5">
        <a:shade val="90000"/>
      </a:schemeClr>
      <a:schemeClr val="accent5">
        <a:tint val="70000"/>
      </a:schemeClr>
    </dgm:fillClrLst>
    <dgm:linClrLst>
      <a:schemeClr val="accent5">
        <a:shade val="90000"/>
      </a:schemeClr>
      <a:schemeClr val="accent5">
        <a:tint val="7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9000"/>
      </a:schemeClr>
    </dgm:fillClrLst>
    <dgm:linClrLst meth="repeat">
      <a:schemeClr val="lt1"/>
    </dgm:linClrLst>
    <dgm:effectClrLst/>
    <dgm:txLinClrLst/>
    <dgm:txFillClrLst/>
    <dgm:txEffectClrLst/>
  </dgm:styleLbl>
  <dgm:styleLbl name="asst3">
    <dgm:fillClrLst>
      <a:schemeClr val="accent5">
        <a:tint val="80000"/>
      </a:schemeClr>
    </dgm:fillClrLst>
    <dgm:linClrLst meth="repeat">
      <a:schemeClr val="lt1"/>
    </dgm:linClrLst>
    <dgm:effectClrLst/>
    <dgm:txLinClrLst/>
    <dgm:txFillClrLst/>
    <dgm:txEffectClrLst/>
  </dgm:styleLbl>
  <dgm:styleLbl name="asst4">
    <dgm:fillClrLst>
      <a:schemeClr val="accent5">
        <a:tint val="7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lt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9000"/>
      </a:schemeClr>
    </dgm:fillClrLst>
    <dgm:linClrLst meth="repeat">
      <a:schemeClr val="accent5">
        <a:tint val="99000"/>
      </a:schemeClr>
    </dgm:linClrLst>
    <dgm:effectClrLst/>
    <dgm:txLinClrLst/>
    <dgm:txFillClrLst meth="repeat">
      <a:schemeClr val="tx1"/>
    </dgm:txFillClrLst>
    <dgm:txEffectClrLst/>
  </dgm:styleLbl>
  <dgm:styleLbl name="parChTrans1D3">
    <dgm:fillClrLst meth="repeat">
      <a:schemeClr val="accent5">
        <a:tint val="80000"/>
      </a:schemeClr>
    </dgm:fillClrLst>
    <dgm:linClrLst meth="repeat">
      <a:schemeClr val="accent5">
        <a:tint val="80000"/>
      </a:schemeClr>
    </dgm:linClrLst>
    <dgm:effectClrLst/>
    <dgm:txLinClrLst/>
    <dgm:txFillClrLst meth="repeat">
      <a:schemeClr val="tx1"/>
    </dgm:txFillClrLst>
    <dgm:txEffectClrLst/>
  </dgm:styleLbl>
  <dgm:styleLbl name="parChTrans1D4">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5">
        <a:shade val="80000"/>
      </a:schemeClr>
      <a:schemeClr val="accent5">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A6E338-1875-47DB-AD93-E51A94F79C92}" type="doc">
      <dgm:prSet loTypeId="urn:microsoft.com/office/officeart/2005/8/layout/hChevron3" loCatId="process" qsTypeId="urn:microsoft.com/office/officeart/2005/8/quickstyle/simple1" qsCatId="simple" csTypeId="urn:microsoft.com/office/officeart/2005/8/colors/accent5_3" csCatId="accent5" phldr="1"/>
      <dgm:spPr/>
    </dgm:pt>
    <dgm:pt modelId="{201758B1-56E5-4DB8-A2CD-E70A4E625A5E}">
      <dgm:prSet phldrT="[Text]" custT="1"/>
      <dgm:spPr/>
      <dgm:t>
        <a:bodyPr/>
        <a:lstStyle/>
        <a:p>
          <a:r>
            <a:rPr lang="en-US" sz="1100" b="1"/>
            <a:t>Control de Admisibilidad y de Elegibilidad</a:t>
          </a:r>
        </a:p>
      </dgm:t>
    </dgm:pt>
    <dgm:pt modelId="{5FE74163-9BF4-4C2F-A991-1D8462D24420}" type="parTrans" cxnId="{6BFE98BA-7835-4853-BD53-AE2FC16A1690}">
      <dgm:prSet/>
      <dgm:spPr/>
      <dgm:t>
        <a:bodyPr/>
        <a:lstStyle/>
        <a:p>
          <a:endParaRPr lang="en-US"/>
        </a:p>
      </dgm:t>
    </dgm:pt>
    <dgm:pt modelId="{DA7A1F4A-2460-4004-8804-9BE4732DCEB5}" type="sibTrans" cxnId="{6BFE98BA-7835-4853-BD53-AE2FC16A1690}">
      <dgm:prSet/>
      <dgm:spPr/>
      <dgm:t>
        <a:bodyPr/>
        <a:lstStyle/>
        <a:p>
          <a:endParaRPr lang="en-US"/>
        </a:p>
      </dgm:t>
    </dgm:pt>
    <dgm:pt modelId="{21676D7F-5BE3-4491-B475-5B8F3F262FD2}">
      <dgm:prSet phldrT="[Text]" custT="1"/>
      <dgm:spPr/>
      <dgm:t>
        <a:bodyPr/>
        <a:lstStyle/>
        <a:p>
          <a:r>
            <a:rPr lang="fr-FR" sz="1100" b="1"/>
            <a:t>Evaluación &amp; Selección de Propuestas</a:t>
          </a:r>
          <a:endParaRPr lang="en-US" sz="1100" b="1"/>
        </a:p>
      </dgm:t>
    </dgm:pt>
    <dgm:pt modelId="{B508C91E-0E67-4707-B1AD-5E42A2D0849D}" type="parTrans" cxnId="{3338C34A-276B-40CF-8698-8FA9042155E6}">
      <dgm:prSet/>
      <dgm:spPr/>
      <dgm:t>
        <a:bodyPr/>
        <a:lstStyle/>
        <a:p>
          <a:endParaRPr lang="en-US"/>
        </a:p>
      </dgm:t>
    </dgm:pt>
    <dgm:pt modelId="{B28E9B56-E3AB-4E70-A978-5A4F829C8E7D}" type="sibTrans" cxnId="{3338C34A-276B-40CF-8698-8FA9042155E6}">
      <dgm:prSet/>
      <dgm:spPr/>
      <dgm:t>
        <a:bodyPr/>
        <a:lstStyle/>
        <a:p>
          <a:endParaRPr lang="en-US"/>
        </a:p>
      </dgm:t>
    </dgm:pt>
    <dgm:pt modelId="{F6010EE7-C06F-4137-B11F-45563B4E6012}">
      <dgm:prSet phldrT="[Text]" custT="1"/>
      <dgm:spPr/>
      <dgm:t>
        <a:bodyPr/>
        <a:lstStyle/>
        <a:p>
          <a:r>
            <a:rPr lang="fr-FR" sz="1050" b="1"/>
            <a:t>Racionalización y Definición de los TDR</a:t>
          </a:r>
          <a:endParaRPr lang="en-US" sz="1050" b="1"/>
        </a:p>
      </dgm:t>
    </dgm:pt>
    <dgm:pt modelId="{D97AF13A-405F-4A11-B047-3C77656A9F33}" type="parTrans" cxnId="{8A3A7BBC-B3A5-44DB-901C-A481A2DC31DD}">
      <dgm:prSet/>
      <dgm:spPr/>
      <dgm:t>
        <a:bodyPr/>
        <a:lstStyle/>
        <a:p>
          <a:endParaRPr lang="en-US"/>
        </a:p>
      </dgm:t>
    </dgm:pt>
    <dgm:pt modelId="{E1A3AF1B-6159-4CE7-8D4A-2CF7495966B3}" type="sibTrans" cxnId="{8A3A7BBC-B3A5-44DB-901C-A481A2DC31DD}">
      <dgm:prSet/>
      <dgm:spPr/>
      <dgm:t>
        <a:bodyPr/>
        <a:lstStyle/>
        <a:p>
          <a:endParaRPr lang="en-US"/>
        </a:p>
      </dgm:t>
    </dgm:pt>
    <dgm:pt modelId="{CEDA9B5C-8DEE-445E-B2A0-49880CB51D1D}">
      <dgm:prSet custT="1"/>
      <dgm:spPr/>
      <dgm:t>
        <a:bodyPr/>
        <a:lstStyle/>
        <a:p>
          <a:r>
            <a:rPr lang="en-US" sz="1100" b="1"/>
            <a:t>Aprobaci</a:t>
          </a:r>
          <a:r>
            <a:rPr lang="fr-FR" sz="1100" b="1"/>
            <a:t>ó</a:t>
          </a:r>
          <a:r>
            <a:rPr lang="en-US" sz="1100" b="1"/>
            <a:t>n Final y Firma de IPA</a:t>
          </a:r>
        </a:p>
      </dgm:t>
    </dgm:pt>
    <dgm:pt modelId="{6CAF7CD1-F2C0-4891-989A-8DD725A8612D}" type="parTrans" cxnId="{44F599CE-99E0-4DA4-AEBA-F834FB719184}">
      <dgm:prSet/>
      <dgm:spPr/>
      <dgm:t>
        <a:bodyPr/>
        <a:lstStyle/>
        <a:p>
          <a:endParaRPr lang="en-US"/>
        </a:p>
      </dgm:t>
    </dgm:pt>
    <dgm:pt modelId="{A8C04D83-9587-46D9-9F57-2B73F80EBEF8}" type="sibTrans" cxnId="{44F599CE-99E0-4DA4-AEBA-F834FB719184}">
      <dgm:prSet/>
      <dgm:spPr/>
      <dgm:t>
        <a:bodyPr/>
        <a:lstStyle/>
        <a:p>
          <a:endParaRPr lang="en-US"/>
        </a:p>
      </dgm:t>
    </dgm:pt>
    <dgm:pt modelId="{11F36403-5ED8-48A0-8918-20EDA407C0C7}" type="pres">
      <dgm:prSet presAssocID="{70A6E338-1875-47DB-AD93-E51A94F79C92}" presName="Name0" presStyleCnt="0">
        <dgm:presLayoutVars>
          <dgm:dir/>
          <dgm:resizeHandles val="exact"/>
        </dgm:presLayoutVars>
      </dgm:prSet>
      <dgm:spPr/>
    </dgm:pt>
    <dgm:pt modelId="{BC69ED14-6B2C-4C09-AF0B-30B3EBD802E1}" type="pres">
      <dgm:prSet presAssocID="{201758B1-56E5-4DB8-A2CD-E70A4E625A5E}" presName="parTxOnly" presStyleLbl="node1" presStyleIdx="0" presStyleCnt="4">
        <dgm:presLayoutVars>
          <dgm:bulletEnabled val="1"/>
        </dgm:presLayoutVars>
      </dgm:prSet>
      <dgm:spPr/>
    </dgm:pt>
    <dgm:pt modelId="{308E327A-1366-4B6A-9B02-232B558BC0BA}" type="pres">
      <dgm:prSet presAssocID="{DA7A1F4A-2460-4004-8804-9BE4732DCEB5}" presName="parSpace" presStyleCnt="0"/>
      <dgm:spPr/>
    </dgm:pt>
    <dgm:pt modelId="{BF5846AA-74FE-47EA-8D64-004EF04718B0}" type="pres">
      <dgm:prSet presAssocID="{21676D7F-5BE3-4491-B475-5B8F3F262FD2}" presName="parTxOnly" presStyleLbl="node1" presStyleIdx="1" presStyleCnt="4">
        <dgm:presLayoutVars>
          <dgm:bulletEnabled val="1"/>
        </dgm:presLayoutVars>
      </dgm:prSet>
      <dgm:spPr/>
    </dgm:pt>
    <dgm:pt modelId="{0A39D585-D721-44E2-8B60-5B613274A26A}" type="pres">
      <dgm:prSet presAssocID="{B28E9B56-E3AB-4E70-A978-5A4F829C8E7D}" presName="parSpace" presStyleCnt="0"/>
      <dgm:spPr/>
    </dgm:pt>
    <dgm:pt modelId="{293BBFAC-4C2C-40B0-B93F-6B71E17DE7DF}" type="pres">
      <dgm:prSet presAssocID="{F6010EE7-C06F-4137-B11F-45563B4E6012}" presName="parTxOnly" presStyleLbl="node1" presStyleIdx="2" presStyleCnt="4" custScaleX="117025">
        <dgm:presLayoutVars>
          <dgm:bulletEnabled val="1"/>
        </dgm:presLayoutVars>
      </dgm:prSet>
      <dgm:spPr/>
    </dgm:pt>
    <dgm:pt modelId="{EBEDD1F5-C355-4528-BF63-A59D8E85BEA6}" type="pres">
      <dgm:prSet presAssocID="{E1A3AF1B-6159-4CE7-8D4A-2CF7495966B3}" presName="parSpace" presStyleCnt="0"/>
      <dgm:spPr/>
    </dgm:pt>
    <dgm:pt modelId="{D7059087-0F55-45EE-A7EB-21564ED601DE}" type="pres">
      <dgm:prSet presAssocID="{CEDA9B5C-8DEE-445E-B2A0-49880CB51D1D}" presName="parTxOnly" presStyleLbl="node1" presStyleIdx="3" presStyleCnt="4">
        <dgm:presLayoutVars>
          <dgm:bulletEnabled val="1"/>
        </dgm:presLayoutVars>
      </dgm:prSet>
      <dgm:spPr/>
    </dgm:pt>
  </dgm:ptLst>
  <dgm:cxnLst>
    <dgm:cxn modelId="{4DF70126-EC72-46CA-ACF9-04949D237D32}" type="presOf" srcId="{201758B1-56E5-4DB8-A2CD-E70A4E625A5E}" destId="{BC69ED14-6B2C-4C09-AF0B-30B3EBD802E1}" srcOrd="0" destOrd="0" presId="urn:microsoft.com/office/officeart/2005/8/layout/hChevron3"/>
    <dgm:cxn modelId="{FDBA0D34-04AB-43B5-B6F6-86894068C805}" type="presOf" srcId="{F6010EE7-C06F-4137-B11F-45563B4E6012}" destId="{293BBFAC-4C2C-40B0-B93F-6B71E17DE7DF}" srcOrd="0" destOrd="0" presId="urn:microsoft.com/office/officeart/2005/8/layout/hChevron3"/>
    <dgm:cxn modelId="{73694D64-322C-4B5B-B6FA-8B0A3635A797}" type="presOf" srcId="{CEDA9B5C-8DEE-445E-B2A0-49880CB51D1D}" destId="{D7059087-0F55-45EE-A7EB-21564ED601DE}" srcOrd="0" destOrd="0" presId="urn:microsoft.com/office/officeart/2005/8/layout/hChevron3"/>
    <dgm:cxn modelId="{3338C34A-276B-40CF-8698-8FA9042155E6}" srcId="{70A6E338-1875-47DB-AD93-E51A94F79C92}" destId="{21676D7F-5BE3-4491-B475-5B8F3F262FD2}" srcOrd="1" destOrd="0" parTransId="{B508C91E-0E67-4707-B1AD-5E42A2D0849D}" sibTransId="{B28E9B56-E3AB-4E70-A978-5A4F829C8E7D}"/>
    <dgm:cxn modelId="{5B6E7694-52D0-4082-95BB-940EB0E70096}" type="presOf" srcId="{21676D7F-5BE3-4491-B475-5B8F3F262FD2}" destId="{BF5846AA-74FE-47EA-8D64-004EF04718B0}" srcOrd="0" destOrd="0" presId="urn:microsoft.com/office/officeart/2005/8/layout/hChevron3"/>
    <dgm:cxn modelId="{6BFE98BA-7835-4853-BD53-AE2FC16A1690}" srcId="{70A6E338-1875-47DB-AD93-E51A94F79C92}" destId="{201758B1-56E5-4DB8-A2CD-E70A4E625A5E}" srcOrd="0" destOrd="0" parTransId="{5FE74163-9BF4-4C2F-A991-1D8462D24420}" sibTransId="{DA7A1F4A-2460-4004-8804-9BE4732DCEB5}"/>
    <dgm:cxn modelId="{8A3A7BBC-B3A5-44DB-901C-A481A2DC31DD}" srcId="{70A6E338-1875-47DB-AD93-E51A94F79C92}" destId="{F6010EE7-C06F-4137-B11F-45563B4E6012}" srcOrd="2" destOrd="0" parTransId="{D97AF13A-405F-4A11-B047-3C77656A9F33}" sibTransId="{E1A3AF1B-6159-4CE7-8D4A-2CF7495966B3}"/>
    <dgm:cxn modelId="{44F599CE-99E0-4DA4-AEBA-F834FB719184}" srcId="{70A6E338-1875-47DB-AD93-E51A94F79C92}" destId="{CEDA9B5C-8DEE-445E-B2A0-49880CB51D1D}" srcOrd="3" destOrd="0" parTransId="{6CAF7CD1-F2C0-4891-989A-8DD725A8612D}" sibTransId="{A8C04D83-9587-46D9-9F57-2B73F80EBEF8}"/>
    <dgm:cxn modelId="{315D40EA-84E2-45FA-BBFC-EF9F9B195F02}" type="presOf" srcId="{70A6E338-1875-47DB-AD93-E51A94F79C92}" destId="{11F36403-5ED8-48A0-8918-20EDA407C0C7}" srcOrd="0" destOrd="0" presId="urn:microsoft.com/office/officeart/2005/8/layout/hChevron3"/>
    <dgm:cxn modelId="{EA31EAF0-8F49-4C51-A0BE-52276F44175E}" type="presParOf" srcId="{11F36403-5ED8-48A0-8918-20EDA407C0C7}" destId="{BC69ED14-6B2C-4C09-AF0B-30B3EBD802E1}" srcOrd="0" destOrd="0" presId="urn:microsoft.com/office/officeart/2005/8/layout/hChevron3"/>
    <dgm:cxn modelId="{0539F154-5B73-4F0D-B685-F1122C318D48}" type="presParOf" srcId="{11F36403-5ED8-48A0-8918-20EDA407C0C7}" destId="{308E327A-1366-4B6A-9B02-232B558BC0BA}" srcOrd="1" destOrd="0" presId="urn:microsoft.com/office/officeart/2005/8/layout/hChevron3"/>
    <dgm:cxn modelId="{EFF1A301-58C3-4012-8797-22FF2DFBD956}" type="presParOf" srcId="{11F36403-5ED8-48A0-8918-20EDA407C0C7}" destId="{BF5846AA-74FE-47EA-8D64-004EF04718B0}" srcOrd="2" destOrd="0" presId="urn:microsoft.com/office/officeart/2005/8/layout/hChevron3"/>
    <dgm:cxn modelId="{98EA9A9D-79B8-4435-8843-85CC4A2A3C1E}" type="presParOf" srcId="{11F36403-5ED8-48A0-8918-20EDA407C0C7}" destId="{0A39D585-D721-44E2-8B60-5B613274A26A}" srcOrd="3" destOrd="0" presId="urn:microsoft.com/office/officeart/2005/8/layout/hChevron3"/>
    <dgm:cxn modelId="{63013D58-6567-4588-ADDA-B404170EBB15}" type="presParOf" srcId="{11F36403-5ED8-48A0-8918-20EDA407C0C7}" destId="{293BBFAC-4C2C-40B0-B93F-6B71E17DE7DF}" srcOrd="4" destOrd="0" presId="urn:microsoft.com/office/officeart/2005/8/layout/hChevron3"/>
    <dgm:cxn modelId="{1D876612-9F4C-4C20-B2B3-CCBB125C4A1C}" type="presParOf" srcId="{11F36403-5ED8-48A0-8918-20EDA407C0C7}" destId="{EBEDD1F5-C355-4528-BF63-A59D8E85BEA6}" srcOrd="5" destOrd="0" presId="urn:microsoft.com/office/officeart/2005/8/layout/hChevron3"/>
    <dgm:cxn modelId="{5F3AF13E-BFBB-4D1C-84DE-03121F9FB8E6}" type="presParOf" srcId="{11F36403-5ED8-48A0-8918-20EDA407C0C7}" destId="{D7059087-0F55-45EE-A7EB-21564ED601DE}" srcOrd="6" destOrd="0" presId="urn:microsoft.com/office/officeart/2005/8/layout/hChevron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69ED14-6B2C-4C09-AF0B-30B3EBD802E1}">
      <dsp:nvSpPr>
        <dsp:cNvPr id="0" name=""/>
        <dsp:cNvSpPr/>
      </dsp:nvSpPr>
      <dsp:spPr>
        <a:xfrm>
          <a:off x="2978" y="177207"/>
          <a:ext cx="1519023" cy="607609"/>
        </a:xfrm>
        <a:prstGeom prst="homePlate">
          <a:avLst/>
        </a:prstGeom>
        <a:solidFill>
          <a:schemeClr val="accent5">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674"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Control de Admisibilidad y de Elegibilidad</a:t>
          </a:r>
        </a:p>
      </dsp:txBody>
      <dsp:txXfrm>
        <a:off x="2978" y="177207"/>
        <a:ext cx="1367121" cy="607609"/>
      </dsp:txXfrm>
    </dsp:sp>
    <dsp:sp modelId="{BF5846AA-74FE-47EA-8D64-004EF04718B0}">
      <dsp:nvSpPr>
        <dsp:cNvPr id="0" name=""/>
        <dsp:cNvSpPr/>
      </dsp:nvSpPr>
      <dsp:spPr>
        <a:xfrm>
          <a:off x="1218196" y="177207"/>
          <a:ext cx="1519023" cy="607609"/>
        </a:xfrm>
        <a:prstGeom prst="chevron">
          <a:avLst/>
        </a:prstGeom>
        <a:solidFill>
          <a:schemeClr val="accent5">
            <a:shade val="80000"/>
            <a:hueOff val="59891"/>
            <a:satOff val="-10762"/>
            <a:lumOff val="1079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fr-FR" sz="1100" b="1" kern="1200"/>
            <a:t>Evaluación &amp; Selección de Propuestas</a:t>
          </a:r>
          <a:endParaRPr lang="en-US" sz="1100" b="1" kern="1200"/>
        </a:p>
      </dsp:txBody>
      <dsp:txXfrm>
        <a:off x="1522001" y="177207"/>
        <a:ext cx="911414" cy="607609"/>
      </dsp:txXfrm>
    </dsp:sp>
    <dsp:sp modelId="{293BBFAC-4C2C-40B0-B93F-6B71E17DE7DF}">
      <dsp:nvSpPr>
        <dsp:cNvPr id="0" name=""/>
        <dsp:cNvSpPr/>
      </dsp:nvSpPr>
      <dsp:spPr>
        <a:xfrm>
          <a:off x="2433415" y="177207"/>
          <a:ext cx="1777637" cy="607609"/>
        </a:xfrm>
        <a:prstGeom prst="chevron">
          <a:avLst/>
        </a:prstGeom>
        <a:solidFill>
          <a:schemeClr val="accent5">
            <a:shade val="80000"/>
            <a:hueOff val="119783"/>
            <a:satOff val="-21524"/>
            <a:lumOff val="215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66725">
            <a:lnSpc>
              <a:spcPct val="90000"/>
            </a:lnSpc>
            <a:spcBef>
              <a:spcPct val="0"/>
            </a:spcBef>
            <a:spcAft>
              <a:spcPct val="35000"/>
            </a:spcAft>
            <a:buNone/>
          </a:pPr>
          <a:r>
            <a:rPr lang="fr-FR" sz="1050" b="1" kern="1200"/>
            <a:t>Racionalización y Definición de los TDR</a:t>
          </a:r>
          <a:endParaRPr lang="en-US" sz="1050" b="1" kern="1200"/>
        </a:p>
      </dsp:txBody>
      <dsp:txXfrm>
        <a:off x="2737220" y="177207"/>
        <a:ext cx="1170028" cy="607609"/>
      </dsp:txXfrm>
    </dsp:sp>
    <dsp:sp modelId="{D7059087-0F55-45EE-A7EB-21564ED601DE}">
      <dsp:nvSpPr>
        <dsp:cNvPr id="0" name=""/>
        <dsp:cNvSpPr/>
      </dsp:nvSpPr>
      <dsp:spPr>
        <a:xfrm>
          <a:off x="3907248" y="177207"/>
          <a:ext cx="1519023" cy="607609"/>
        </a:xfrm>
        <a:prstGeom prst="chevron">
          <a:avLst/>
        </a:prstGeom>
        <a:solidFill>
          <a:schemeClr val="accent5">
            <a:shade val="80000"/>
            <a:hueOff val="179674"/>
            <a:satOff val="-32286"/>
            <a:lumOff val="3239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29337" rIns="14669" bIns="29337" numCol="1" spcCol="1270" anchor="ctr" anchorCtr="0">
          <a:noAutofit/>
        </a:bodyPr>
        <a:lstStyle/>
        <a:p>
          <a:pPr marL="0" lvl="0" indent="0" algn="ctr" defTabSz="488950">
            <a:lnSpc>
              <a:spcPct val="90000"/>
            </a:lnSpc>
            <a:spcBef>
              <a:spcPct val="0"/>
            </a:spcBef>
            <a:spcAft>
              <a:spcPct val="35000"/>
            </a:spcAft>
            <a:buNone/>
          </a:pPr>
          <a:r>
            <a:rPr lang="en-US" sz="1100" b="1" kern="1200"/>
            <a:t>Aprobaci</a:t>
          </a:r>
          <a:r>
            <a:rPr lang="fr-FR" sz="1100" b="1" kern="1200"/>
            <a:t>ó</a:t>
          </a:r>
          <a:r>
            <a:rPr lang="en-US" sz="1100" b="1" kern="1200"/>
            <a:t>n Final y Firma de IPA</a:t>
          </a:r>
        </a:p>
      </dsp:txBody>
      <dsp:txXfrm>
        <a:off x="4211053" y="177207"/>
        <a:ext cx="911414" cy="607609"/>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AD70C-5BEE-4C57-9737-CC97FB25E511}">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Template>
  <TotalTime>403</TotalTime>
  <Pages>23</Pages>
  <Words>7993</Words>
  <Characters>45562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53449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Rivera Lam, Macarena</dc:creator>
  <cp:keywords/>
  <dc:description/>
  <cp:lastModifiedBy>Mandl, Nadia Anna</cp:lastModifiedBy>
  <cp:revision>528</cp:revision>
  <dcterms:created xsi:type="dcterms:W3CDTF">2024-08-13T09:12:00Z</dcterms:created>
  <dcterms:modified xsi:type="dcterms:W3CDTF">2024-09-02T08:50:00Z</dcterms:modified>
</cp:coreProperties>
</file>