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EFFD8" w14:textId="0B5D1D74" w:rsidR="00F250DE" w:rsidRDefault="00F03503">
      <w:r>
        <w:rPr>
          <w:noProof/>
        </w:rPr>
        <w:drawing>
          <wp:anchor distT="0" distB="0" distL="114300" distR="114300" simplePos="0" relativeHeight="251658240" behindDoc="0" locked="0" layoutInCell="1" allowOverlap="1" wp14:anchorId="6B4D6CAD" wp14:editId="35349DD2">
            <wp:simplePos x="0" y="0"/>
            <wp:positionH relativeFrom="page">
              <wp:align>left</wp:align>
            </wp:positionH>
            <wp:positionV relativeFrom="paragraph">
              <wp:posOffset>-1245235</wp:posOffset>
            </wp:positionV>
            <wp:extent cx="7562850" cy="11011535"/>
            <wp:effectExtent l="0" t="0" r="0" b="0"/>
            <wp:wrapNone/>
            <wp:docPr id="14087488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1011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5ECCA2" w14:textId="77777777" w:rsidR="00AD50FC" w:rsidRDefault="00AD50FC"/>
    <w:p w14:paraId="5A40B204" w14:textId="3746F48C" w:rsidR="00AD50FC" w:rsidRDefault="00AD50FC" w:rsidP="00AD50FC">
      <w:pPr>
        <w:pStyle w:val="NormalWeb"/>
      </w:pPr>
    </w:p>
    <w:p w14:paraId="5BF2E08D" w14:textId="77777777" w:rsidR="00AD50FC" w:rsidRDefault="00AD50FC"/>
    <w:p w14:paraId="26EB763F" w14:textId="77777777" w:rsidR="00AD50FC" w:rsidRDefault="00AD50FC"/>
    <w:p w14:paraId="2FC55E8C" w14:textId="77777777" w:rsidR="00AD50FC" w:rsidRDefault="00AD50FC"/>
    <w:p w14:paraId="52C87EEB" w14:textId="77777777" w:rsidR="00AD50FC" w:rsidRDefault="00AD50FC"/>
    <w:p w14:paraId="26C98A0A" w14:textId="77777777" w:rsidR="00AD50FC" w:rsidRDefault="00AD50FC"/>
    <w:p w14:paraId="40F918B0" w14:textId="77777777" w:rsidR="00AD50FC" w:rsidRDefault="00AD50FC"/>
    <w:p w14:paraId="1C8B3836" w14:textId="77777777" w:rsidR="00AD50FC" w:rsidRDefault="00AD50FC"/>
    <w:p w14:paraId="016CE123" w14:textId="77777777" w:rsidR="00AD50FC" w:rsidRDefault="00AD50FC"/>
    <w:p w14:paraId="78D14B79" w14:textId="77777777" w:rsidR="00AD50FC" w:rsidRDefault="00AD50FC"/>
    <w:p w14:paraId="68AE6466" w14:textId="77777777" w:rsidR="00AD50FC" w:rsidRDefault="00AD50FC"/>
    <w:p w14:paraId="2F679307" w14:textId="77777777" w:rsidR="00AD50FC" w:rsidRDefault="00AD50FC"/>
    <w:p w14:paraId="593CFBC5" w14:textId="77777777" w:rsidR="00AD50FC" w:rsidRDefault="00AD50FC"/>
    <w:p w14:paraId="1DB42A00" w14:textId="77777777" w:rsidR="00AD50FC" w:rsidRDefault="00AD50FC"/>
    <w:p w14:paraId="7F1DDFF6" w14:textId="77777777" w:rsidR="00AD50FC" w:rsidRDefault="00AD50FC"/>
    <w:p w14:paraId="1D7BD183" w14:textId="77777777" w:rsidR="00AD50FC" w:rsidRDefault="00AD50FC"/>
    <w:p w14:paraId="4599422D" w14:textId="77777777" w:rsidR="00AD50FC" w:rsidRDefault="00AD50FC"/>
    <w:p w14:paraId="6529D214" w14:textId="77777777" w:rsidR="00AD50FC" w:rsidRDefault="00AD50FC"/>
    <w:p w14:paraId="48FF10EA" w14:textId="77777777" w:rsidR="00AD50FC" w:rsidRDefault="00AD50FC"/>
    <w:p w14:paraId="29F72AE4" w14:textId="77777777" w:rsidR="00AD50FC" w:rsidRDefault="00AD50FC"/>
    <w:p w14:paraId="35640825" w14:textId="77777777" w:rsidR="00AD50FC" w:rsidRDefault="00AD50FC"/>
    <w:p w14:paraId="665C75AD" w14:textId="77777777" w:rsidR="00AD50FC" w:rsidRDefault="00AD50FC"/>
    <w:p w14:paraId="272C6A81" w14:textId="77777777" w:rsidR="00AD50FC" w:rsidRDefault="00AD50FC"/>
    <w:p w14:paraId="5E82FE6C" w14:textId="77777777" w:rsidR="00AD50FC" w:rsidRDefault="00AD50FC"/>
    <w:p w14:paraId="34CF29D8" w14:textId="77777777" w:rsidR="00AD50FC" w:rsidRDefault="00AD50FC"/>
    <w:p w14:paraId="08CD553D" w14:textId="77777777" w:rsidR="005965D1" w:rsidRDefault="005965D1" w:rsidP="005965D1">
      <w:pPr>
        <w:pStyle w:val="FCsubtitle"/>
        <w:jc w:val="center"/>
        <w:rPr>
          <w:b/>
          <w:bCs/>
        </w:rPr>
      </w:pPr>
    </w:p>
    <w:p w14:paraId="475CB6B4" w14:textId="7907B88E" w:rsidR="005965D1" w:rsidRPr="00DE70AE" w:rsidRDefault="00E413A9" w:rsidP="005965D1">
      <w:pPr>
        <w:pStyle w:val="FCsubtitle"/>
        <w:jc w:val="center"/>
        <w:rPr>
          <w:b/>
          <w:bCs/>
          <w:lang w:val="fr-FR"/>
        </w:rPr>
      </w:pPr>
      <w:r w:rsidRPr="00DE70AE">
        <w:rPr>
          <w:b/>
          <w:bCs/>
          <w:lang w:val="fr-FR"/>
        </w:rPr>
        <w:t>TERMES DE</w:t>
      </w:r>
      <w:r w:rsidR="00195761" w:rsidRPr="00DE70AE">
        <w:rPr>
          <w:b/>
          <w:bCs/>
          <w:lang w:val="fr-FR"/>
        </w:rPr>
        <w:t xml:space="preserve"> RÉFÉRENCE</w:t>
      </w:r>
      <w:r w:rsidRPr="00DE70AE">
        <w:rPr>
          <w:b/>
          <w:bCs/>
          <w:lang w:val="fr-FR"/>
        </w:rPr>
        <w:t xml:space="preserve"> </w:t>
      </w:r>
    </w:p>
    <w:p w14:paraId="4C809051" w14:textId="77777777" w:rsidR="00880D33" w:rsidRPr="00836433" w:rsidRDefault="00880D33" w:rsidP="00880D33">
      <w:pPr>
        <w:spacing w:before="240"/>
        <w:jc w:val="center"/>
        <w:rPr>
          <w:rFonts w:ascii="Aptos" w:hAnsi="Aptos"/>
          <w:b/>
          <w:bCs/>
        </w:rPr>
      </w:pPr>
      <w:r w:rsidRPr="00836433">
        <w:rPr>
          <w:rFonts w:ascii="Aptos" w:hAnsi="Aptos"/>
          <w:b/>
          <w:bCs/>
        </w:rPr>
        <w:t>FONDS MONDIAL POUR LA DÉFENSE DES MEDIAS</w:t>
      </w:r>
    </w:p>
    <w:p w14:paraId="7B2D4565" w14:textId="77777777" w:rsidR="00880D33" w:rsidRPr="00836433" w:rsidRDefault="00880D33" w:rsidP="00880D33">
      <w:pPr>
        <w:spacing w:before="240"/>
        <w:jc w:val="center"/>
        <w:rPr>
          <w:rFonts w:ascii="Aptos" w:hAnsi="Aptos"/>
          <w:b/>
          <w:bCs/>
        </w:rPr>
      </w:pPr>
      <w:r w:rsidRPr="00836433">
        <w:rPr>
          <w:rFonts w:ascii="Aptos" w:hAnsi="Aptos"/>
          <w:b/>
          <w:bCs/>
        </w:rPr>
        <w:t xml:space="preserve">APPEL THÉMATIQUE À PARTENARIATS : </w:t>
      </w:r>
    </w:p>
    <w:p w14:paraId="12CC28F5" w14:textId="77777777" w:rsidR="00880D33" w:rsidRPr="00836433" w:rsidRDefault="00880D33" w:rsidP="00880D33">
      <w:pPr>
        <w:spacing w:before="240"/>
        <w:jc w:val="center"/>
        <w:rPr>
          <w:rFonts w:ascii="Aptos" w:hAnsi="Aptos"/>
          <w:b/>
          <w:bCs/>
        </w:rPr>
      </w:pPr>
      <w:r w:rsidRPr="00836433">
        <w:rPr>
          <w:rFonts w:ascii="Aptos" w:hAnsi="Aptos"/>
          <w:b/>
          <w:bCs/>
        </w:rPr>
        <w:t>DÉFENDRE LE JOURNALISME ENVIRONNEMENTAL</w:t>
      </w:r>
    </w:p>
    <w:p w14:paraId="0E814481" w14:textId="2EDCAFC8" w:rsidR="00C20F8E" w:rsidRPr="00880D33" w:rsidRDefault="00C20F8E"/>
    <w:p w14:paraId="1B7B4B88" w14:textId="1369A010" w:rsidR="00C20F8E" w:rsidRPr="007A0968" w:rsidRDefault="00C20F8E">
      <w:pPr>
        <w:rPr>
          <w:b/>
          <w:bCs/>
          <w:sz w:val="22"/>
          <w:szCs w:val="22"/>
          <w:lang w:val="en-US"/>
        </w:rPr>
      </w:pPr>
      <w:r w:rsidRPr="007A0968">
        <w:rPr>
          <w:b/>
          <w:bCs/>
          <w:sz w:val="22"/>
          <w:szCs w:val="22"/>
          <w:lang w:val="en-US"/>
        </w:rPr>
        <w:t>INDEX:</w:t>
      </w:r>
    </w:p>
    <w:p w14:paraId="74730B9B" w14:textId="0D31D489" w:rsidR="00C20F8E" w:rsidRPr="00254D1C" w:rsidRDefault="00254D1C" w:rsidP="00176EFA">
      <w:pPr>
        <w:pStyle w:val="ListParagraph"/>
        <w:numPr>
          <w:ilvl w:val="0"/>
          <w:numId w:val="3"/>
        </w:numPr>
        <w:spacing w:line="360" w:lineRule="auto"/>
        <w:rPr>
          <w:sz w:val="22"/>
          <w:szCs w:val="22"/>
        </w:rPr>
      </w:pPr>
      <w:r w:rsidRPr="00254D1C">
        <w:rPr>
          <w:sz w:val="22"/>
          <w:szCs w:val="22"/>
        </w:rPr>
        <w:t xml:space="preserve">Le Fonds </w:t>
      </w:r>
      <w:r>
        <w:rPr>
          <w:sz w:val="22"/>
          <w:szCs w:val="22"/>
        </w:rPr>
        <w:t>m</w:t>
      </w:r>
      <w:r w:rsidRPr="00254D1C">
        <w:rPr>
          <w:sz w:val="22"/>
          <w:szCs w:val="22"/>
        </w:rPr>
        <w:t>ondial pour l</w:t>
      </w:r>
      <w:r>
        <w:rPr>
          <w:sz w:val="22"/>
          <w:szCs w:val="22"/>
        </w:rPr>
        <w:t>a défense des médias</w:t>
      </w:r>
    </w:p>
    <w:p w14:paraId="519E89F7" w14:textId="61501774" w:rsidR="007A0968" w:rsidRPr="004E2D45" w:rsidRDefault="004E2D45" w:rsidP="00176EFA">
      <w:pPr>
        <w:pStyle w:val="ListParagraph"/>
        <w:numPr>
          <w:ilvl w:val="0"/>
          <w:numId w:val="3"/>
        </w:numPr>
        <w:spacing w:line="360" w:lineRule="auto"/>
        <w:rPr>
          <w:sz w:val="22"/>
          <w:szCs w:val="22"/>
        </w:rPr>
      </w:pPr>
      <w:r w:rsidRPr="004E2D45">
        <w:rPr>
          <w:sz w:val="22"/>
          <w:szCs w:val="22"/>
        </w:rPr>
        <w:t xml:space="preserve">Actions soutenues dans le cadre de cet </w:t>
      </w:r>
      <w:r>
        <w:rPr>
          <w:sz w:val="22"/>
          <w:szCs w:val="22"/>
        </w:rPr>
        <w:t>A</w:t>
      </w:r>
      <w:r w:rsidRPr="004E2D45">
        <w:rPr>
          <w:sz w:val="22"/>
          <w:szCs w:val="22"/>
        </w:rPr>
        <w:t>ppel thématique</w:t>
      </w:r>
    </w:p>
    <w:p w14:paraId="570F42E0" w14:textId="2154AA2C" w:rsidR="007A0968" w:rsidRPr="00976E3A" w:rsidRDefault="003E1453" w:rsidP="00176EFA">
      <w:pPr>
        <w:pStyle w:val="ListParagraph"/>
        <w:numPr>
          <w:ilvl w:val="0"/>
          <w:numId w:val="3"/>
        </w:numPr>
        <w:spacing w:line="360" w:lineRule="auto"/>
        <w:rPr>
          <w:sz w:val="22"/>
          <w:szCs w:val="22"/>
        </w:rPr>
      </w:pPr>
      <w:r w:rsidRPr="00976E3A">
        <w:rPr>
          <w:sz w:val="22"/>
          <w:szCs w:val="22"/>
        </w:rPr>
        <w:t>Critères d’admissibilité et d’éligibilité</w:t>
      </w:r>
      <w:r w:rsidR="004633EC" w:rsidRPr="00976E3A">
        <w:rPr>
          <w:sz w:val="22"/>
          <w:szCs w:val="22"/>
        </w:rPr>
        <w:t xml:space="preserve"> </w:t>
      </w:r>
    </w:p>
    <w:p w14:paraId="67B5BBA6" w14:textId="09C08B12" w:rsidR="007A0968" w:rsidRPr="004633EC" w:rsidRDefault="003E1453" w:rsidP="00176EFA">
      <w:pPr>
        <w:pStyle w:val="ListParagraph"/>
        <w:numPr>
          <w:ilvl w:val="0"/>
          <w:numId w:val="3"/>
        </w:numPr>
        <w:spacing w:line="360" w:lineRule="auto"/>
        <w:rPr>
          <w:sz w:val="22"/>
          <w:szCs w:val="22"/>
        </w:rPr>
      </w:pPr>
      <w:r w:rsidRPr="004633EC">
        <w:rPr>
          <w:sz w:val="22"/>
          <w:szCs w:val="22"/>
        </w:rPr>
        <w:t>Budget indicatif disponible pour cet Appel</w:t>
      </w:r>
    </w:p>
    <w:p w14:paraId="532DD538" w14:textId="1912C25C" w:rsidR="007A0968" w:rsidRPr="004633EC" w:rsidRDefault="004633EC" w:rsidP="00176EFA">
      <w:pPr>
        <w:pStyle w:val="ListParagraph"/>
        <w:numPr>
          <w:ilvl w:val="0"/>
          <w:numId w:val="3"/>
        </w:numPr>
        <w:spacing w:line="360" w:lineRule="auto"/>
        <w:rPr>
          <w:sz w:val="22"/>
          <w:szCs w:val="22"/>
        </w:rPr>
      </w:pPr>
      <w:r w:rsidRPr="004633EC">
        <w:rPr>
          <w:sz w:val="22"/>
          <w:szCs w:val="22"/>
        </w:rPr>
        <w:t>Proc</w:t>
      </w:r>
      <w:r>
        <w:rPr>
          <w:sz w:val="22"/>
          <w:szCs w:val="22"/>
        </w:rPr>
        <w:t>essus</w:t>
      </w:r>
      <w:r w:rsidRPr="004633EC">
        <w:rPr>
          <w:sz w:val="22"/>
          <w:szCs w:val="22"/>
        </w:rPr>
        <w:t xml:space="preserve"> d'évaluation et de sélection</w:t>
      </w:r>
    </w:p>
    <w:p w14:paraId="00404A08" w14:textId="3FCB8304" w:rsidR="007A0968" w:rsidRPr="00C110EA" w:rsidRDefault="00205BEE" w:rsidP="00176EFA">
      <w:pPr>
        <w:pStyle w:val="ListParagraph"/>
        <w:numPr>
          <w:ilvl w:val="0"/>
          <w:numId w:val="3"/>
        </w:numPr>
        <w:spacing w:line="360" w:lineRule="auto"/>
        <w:rPr>
          <w:sz w:val="22"/>
          <w:szCs w:val="22"/>
        </w:rPr>
      </w:pPr>
      <w:r w:rsidRPr="00C110EA">
        <w:rPr>
          <w:sz w:val="22"/>
          <w:szCs w:val="22"/>
        </w:rPr>
        <w:t>Processus de formal</w:t>
      </w:r>
      <w:r w:rsidR="00C110EA" w:rsidRPr="00C110EA">
        <w:rPr>
          <w:sz w:val="22"/>
          <w:szCs w:val="22"/>
        </w:rPr>
        <w:t>isation du c</w:t>
      </w:r>
      <w:r w:rsidR="00C110EA">
        <w:rPr>
          <w:sz w:val="22"/>
          <w:szCs w:val="22"/>
        </w:rPr>
        <w:t>ontrat et mise en œuvre du projet</w:t>
      </w:r>
    </w:p>
    <w:p w14:paraId="57D95122" w14:textId="768ADA76" w:rsidR="00176EFA" w:rsidRPr="00DB61BC" w:rsidRDefault="00DB61BC" w:rsidP="00176EFA">
      <w:pPr>
        <w:pStyle w:val="ListParagraph"/>
        <w:numPr>
          <w:ilvl w:val="0"/>
          <w:numId w:val="3"/>
        </w:numPr>
        <w:spacing w:line="360" w:lineRule="auto"/>
        <w:rPr>
          <w:sz w:val="22"/>
          <w:szCs w:val="22"/>
        </w:rPr>
      </w:pPr>
      <w:r w:rsidRPr="00DB61BC">
        <w:rPr>
          <w:sz w:val="22"/>
          <w:szCs w:val="22"/>
        </w:rPr>
        <w:t>Soumission des propositions de p</w:t>
      </w:r>
      <w:r>
        <w:rPr>
          <w:sz w:val="22"/>
          <w:szCs w:val="22"/>
        </w:rPr>
        <w:t>artenariat</w:t>
      </w:r>
    </w:p>
    <w:p w14:paraId="43A53E0A" w14:textId="77777777" w:rsidR="00C20F8E" w:rsidRPr="00DB61BC" w:rsidRDefault="00C20F8E" w:rsidP="00176EFA">
      <w:pPr>
        <w:spacing w:line="360" w:lineRule="auto"/>
      </w:pPr>
    </w:p>
    <w:p w14:paraId="6D73BD9C" w14:textId="77777777" w:rsidR="00C20F8E" w:rsidRPr="00DB61BC" w:rsidRDefault="00C20F8E"/>
    <w:p w14:paraId="41D73617" w14:textId="77777777" w:rsidR="00C20F8E" w:rsidRPr="00DB61BC" w:rsidRDefault="00C20F8E"/>
    <w:p w14:paraId="38CF00F8" w14:textId="77777777" w:rsidR="00C20F8E" w:rsidRPr="00DB61BC" w:rsidRDefault="00C20F8E"/>
    <w:p w14:paraId="53CB16B9" w14:textId="77777777" w:rsidR="00C20F8E" w:rsidRPr="00DB61BC" w:rsidRDefault="00C20F8E"/>
    <w:p w14:paraId="23D73972" w14:textId="77777777" w:rsidR="00C20F8E" w:rsidRPr="00DB61BC" w:rsidRDefault="00C20F8E"/>
    <w:p w14:paraId="72EF0C68" w14:textId="77777777" w:rsidR="00C20F8E" w:rsidRPr="00DB61BC" w:rsidRDefault="00C20F8E"/>
    <w:p w14:paraId="61199877" w14:textId="77777777" w:rsidR="00C20F8E" w:rsidRPr="00DB61BC" w:rsidRDefault="00C20F8E"/>
    <w:p w14:paraId="0D880ED4" w14:textId="77777777" w:rsidR="00C20F8E" w:rsidRPr="00DB61BC" w:rsidRDefault="00C20F8E"/>
    <w:p w14:paraId="1654BF90" w14:textId="77777777" w:rsidR="00C20F8E" w:rsidRPr="00DB61BC" w:rsidRDefault="00C20F8E"/>
    <w:p w14:paraId="29C3E164" w14:textId="77777777" w:rsidR="00C20F8E" w:rsidRPr="00DB61BC" w:rsidRDefault="00C20F8E"/>
    <w:p w14:paraId="5902B6A7" w14:textId="77777777" w:rsidR="00C20F8E" w:rsidRPr="00DB61BC" w:rsidRDefault="00C20F8E"/>
    <w:p w14:paraId="5CAF8857" w14:textId="77777777" w:rsidR="00C20F8E" w:rsidRPr="00DB61BC" w:rsidRDefault="00C20F8E"/>
    <w:p w14:paraId="021ED87A" w14:textId="020D1875" w:rsidR="00207654" w:rsidRPr="009E1F42" w:rsidRDefault="00657F2B" w:rsidP="00207654">
      <w:pPr>
        <w:shd w:val="clear" w:color="auto" w:fill="215E99" w:themeFill="text2" w:themeFillTint="BF"/>
        <w:tabs>
          <w:tab w:val="center" w:pos="4536"/>
          <w:tab w:val="left" w:pos="7095"/>
        </w:tabs>
        <w:spacing w:after="100" w:afterAutospacing="1"/>
        <w:jc w:val="both"/>
        <w:outlineLvl w:val="2"/>
        <w:rPr>
          <w:rFonts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E1F4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I. </w:t>
      </w:r>
      <w:r w:rsidR="009E1F42" w:rsidRPr="009E1F4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LE FONDS MONDIAL P</w:t>
      </w:r>
      <w:r w:rsidR="009E1F4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OUR LA D</w:t>
      </w:r>
      <w:r w:rsidR="009E1F42" w:rsidRPr="009E1F4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9E1F4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FENSE DES M</w:t>
      </w:r>
      <w:r w:rsidR="009E1F42" w:rsidRPr="009E1F4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9E1F4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DIAS</w:t>
      </w:r>
    </w:p>
    <w:p w14:paraId="7E110082" w14:textId="7CCF5C7F" w:rsidR="004D67E3" w:rsidRPr="004D67E3" w:rsidRDefault="004D67E3" w:rsidP="007A6461">
      <w:pPr>
        <w:jc w:val="both"/>
        <w:rPr>
          <w:sz w:val="22"/>
          <w:szCs w:val="20"/>
        </w:rPr>
      </w:pPr>
      <w:r w:rsidRPr="004D67E3">
        <w:rPr>
          <w:sz w:val="22"/>
          <w:szCs w:val="20"/>
        </w:rPr>
        <w:t xml:space="preserve">Mis en place en 2019 dans le cadre de la </w:t>
      </w:r>
      <w:r w:rsidRPr="000D4DF7">
        <w:rPr>
          <w:i/>
          <w:iCs/>
          <w:sz w:val="22"/>
          <w:szCs w:val="20"/>
        </w:rPr>
        <w:t>Campagne mondiale pour la liberté des médias</w:t>
      </w:r>
      <w:r w:rsidRPr="004D67E3">
        <w:rPr>
          <w:sz w:val="22"/>
          <w:szCs w:val="20"/>
        </w:rPr>
        <w:t xml:space="preserve"> et sous l’égide du </w:t>
      </w:r>
      <w:hyperlink r:id="rId9" w:history="1">
        <w:r w:rsidRPr="00097049">
          <w:rPr>
            <w:rStyle w:val="Hyperlink"/>
            <w:sz w:val="22"/>
            <w:szCs w:val="20"/>
          </w:rPr>
          <w:t>Plan d’Action des Nations Unies sur la Sécurité des Journalistes et la Question de l’Impunité</w:t>
        </w:r>
      </w:hyperlink>
      <w:r w:rsidR="00097049">
        <w:rPr>
          <w:sz w:val="22"/>
          <w:szCs w:val="20"/>
        </w:rPr>
        <w:t xml:space="preserve"> (ci-après « le Plan d’Action »)</w:t>
      </w:r>
      <w:r w:rsidRPr="004D67E3">
        <w:rPr>
          <w:sz w:val="22"/>
          <w:szCs w:val="20"/>
        </w:rPr>
        <w:t xml:space="preserve"> –et les </w:t>
      </w:r>
      <w:hyperlink r:id="rId10" w:history="1">
        <w:r w:rsidRPr="00FB0E29">
          <w:rPr>
            <w:rStyle w:val="Hyperlink"/>
            <w:sz w:val="22"/>
            <w:szCs w:val="20"/>
          </w:rPr>
          <w:t>recommandations</w:t>
        </w:r>
      </w:hyperlink>
      <w:r w:rsidRPr="004D67E3">
        <w:rPr>
          <w:sz w:val="22"/>
          <w:szCs w:val="20"/>
        </w:rPr>
        <w:t xml:space="preserve"> pour une mise en œuvre renforcée du Plan</w:t>
      </w:r>
      <w:r w:rsidR="007116EC">
        <w:rPr>
          <w:sz w:val="22"/>
          <w:szCs w:val="20"/>
        </w:rPr>
        <w:t xml:space="preserve"> d’Action</w:t>
      </w:r>
      <w:r w:rsidRPr="004D67E3">
        <w:rPr>
          <w:sz w:val="22"/>
          <w:szCs w:val="20"/>
        </w:rPr>
        <w:t>–</w:t>
      </w:r>
      <w:r w:rsidR="007116EC">
        <w:rPr>
          <w:sz w:val="22"/>
          <w:szCs w:val="20"/>
        </w:rPr>
        <w:t>,</w:t>
      </w:r>
      <w:r w:rsidRPr="004D67E3">
        <w:rPr>
          <w:sz w:val="22"/>
          <w:szCs w:val="20"/>
        </w:rPr>
        <w:t xml:space="preserve"> le Fonds mondial pour la défense des médias (ci-après « GMDF » ou « le Fonds ») est un fonds multi-donateurs de l’UNESCO qui soutient des projets locaux, régionaux et mondiaux contribuant à renforcer la protection juridique des journalistes et à améliorer la liberté de la presse.</w:t>
      </w:r>
    </w:p>
    <w:p w14:paraId="1FD55655" w14:textId="4665A1E5" w:rsidR="0038433A" w:rsidRPr="000C5066" w:rsidRDefault="000C5066" w:rsidP="007A6461">
      <w:pPr>
        <w:jc w:val="both"/>
        <w:rPr>
          <w:sz w:val="22"/>
          <w:szCs w:val="20"/>
        </w:rPr>
      </w:pPr>
      <w:r w:rsidRPr="000C5066">
        <w:rPr>
          <w:sz w:val="22"/>
          <w:szCs w:val="20"/>
        </w:rPr>
        <w:t>Le GMDF contribue à la création d'un environnement libre et plus sûr pour les journalistes sur la base de quatre approches ou Résultats clés :</w:t>
      </w:r>
    </w:p>
    <w:p w14:paraId="1828A252" w14:textId="27FB4714" w:rsidR="00FB1C60" w:rsidRDefault="00FB1C60" w:rsidP="00FB1C60">
      <w:pPr>
        <w:pStyle w:val="ListParagraph"/>
        <w:numPr>
          <w:ilvl w:val="0"/>
          <w:numId w:val="1"/>
        </w:numPr>
        <w:jc w:val="both"/>
        <w:rPr>
          <w:sz w:val="22"/>
          <w:szCs w:val="20"/>
        </w:rPr>
      </w:pPr>
      <w:r w:rsidRPr="00FB1C60">
        <w:rPr>
          <w:sz w:val="22"/>
          <w:szCs w:val="20"/>
        </w:rPr>
        <w:t xml:space="preserve">Résultat </w:t>
      </w:r>
      <w:proofErr w:type="gramStart"/>
      <w:r w:rsidRPr="00FB1C60">
        <w:rPr>
          <w:sz w:val="22"/>
          <w:szCs w:val="20"/>
        </w:rPr>
        <w:t>1:</w:t>
      </w:r>
      <w:proofErr w:type="gramEnd"/>
      <w:r w:rsidRPr="00FB1C60">
        <w:rPr>
          <w:sz w:val="22"/>
          <w:szCs w:val="20"/>
        </w:rPr>
        <w:t xml:space="preserve"> Favoriser la coopération juridique internationale, ainsi que le partage et la mise en œuvre de bonnes pratiques afin de promouvoir la défense des journalistes attaqué</w:t>
      </w:r>
      <w:r>
        <w:rPr>
          <w:sz w:val="22"/>
          <w:szCs w:val="20"/>
        </w:rPr>
        <w:t>.e</w:t>
      </w:r>
      <w:r w:rsidRPr="00FB1C60">
        <w:rPr>
          <w:sz w:val="22"/>
          <w:szCs w:val="20"/>
        </w:rPr>
        <w:t>s et lutter contre l'impunité des attaques à leur encontre.</w:t>
      </w:r>
    </w:p>
    <w:p w14:paraId="3C03C159" w14:textId="3CDF38FE" w:rsidR="00FB1C60" w:rsidRDefault="00FB1C60" w:rsidP="00FB1C60">
      <w:pPr>
        <w:pStyle w:val="ListParagraph"/>
        <w:numPr>
          <w:ilvl w:val="0"/>
          <w:numId w:val="1"/>
        </w:numPr>
        <w:jc w:val="both"/>
        <w:rPr>
          <w:sz w:val="22"/>
          <w:szCs w:val="20"/>
        </w:rPr>
      </w:pPr>
      <w:r w:rsidRPr="00FB1C60">
        <w:rPr>
          <w:sz w:val="22"/>
          <w:szCs w:val="20"/>
        </w:rPr>
        <w:t xml:space="preserve">Résultat 2 : Renforcer l'opérationnalisation des mécanismes nationaux de sécurité et des réseaux de soutien par les pairs afin de garantir l'accès rapide des journalistes à l'assistance juridique, de renforcer leur défense et d'améliorer leur sécurité, en tenant compte de la nature spécifique </w:t>
      </w:r>
      <w:r w:rsidR="009517DE">
        <w:rPr>
          <w:sz w:val="22"/>
          <w:szCs w:val="20"/>
        </w:rPr>
        <w:t xml:space="preserve">du genre </w:t>
      </w:r>
      <w:r w:rsidRPr="00FB1C60">
        <w:rPr>
          <w:sz w:val="22"/>
          <w:szCs w:val="20"/>
        </w:rPr>
        <w:t xml:space="preserve">des menaces qui pèsent sur eux et elles. </w:t>
      </w:r>
    </w:p>
    <w:p w14:paraId="28D36C51" w14:textId="77777777" w:rsidR="00FB1C60" w:rsidRDefault="00FB1C60" w:rsidP="00FB1C60">
      <w:pPr>
        <w:pStyle w:val="ListParagraph"/>
        <w:numPr>
          <w:ilvl w:val="0"/>
          <w:numId w:val="1"/>
        </w:numPr>
        <w:jc w:val="both"/>
        <w:rPr>
          <w:sz w:val="22"/>
          <w:szCs w:val="20"/>
        </w:rPr>
      </w:pPr>
      <w:r w:rsidRPr="00FB1C60">
        <w:rPr>
          <w:sz w:val="22"/>
          <w:szCs w:val="20"/>
        </w:rPr>
        <w:t>Résultat 3 : Soutenir le journalisme d'investigation qui contribue à réduire l'impunité des crimes commis contre les journalistes en demandant des comptes au système judiciaire et en poursuivant un travail d'investigation qui risque d'être censuré lorsque ces journalistes sont attaqué.es, emprisonné.es ou assassiné.es ; et renforcer la sécurité de ceux et celles qui travaillent dans ce domaine.</w:t>
      </w:r>
    </w:p>
    <w:p w14:paraId="382D5AC3" w14:textId="280D1F6B" w:rsidR="0021027B" w:rsidRPr="00F94787" w:rsidRDefault="00FB1C60" w:rsidP="00740DF7">
      <w:pPr>
        <w:pStyle w:val="ListParagraph"/>
        <w:numPr>
          <w:ilvl w:val="0"/>
          <w:numId w:val="1"/>
        </w:numPr>
        <w:jc w:val="both"/>
        <w:rPr>
          <w:sz w:val="22"/>
          <w:szCs w:val="20"/>
        </w:rPr>
      </w:pPr>
      <w:r w:rsidRPr="00FB1C60">
        <w:rPr>
          <w:sz w:val="22"/>
          <w:szCs w:val="20"/>
        </w:rPr>
        <w:t>Résultat 4 : Renforcer les structures servant à favoriser le contentieux stratégique afin de protéger les environnements nationaux et régionaux où les cadres juridiques sont propices à des écosystèmes médiatiques indépendants, libres et pluralistes.</w:t>
      </w:r>
    </w:p>
    <w:p w14:paraId="75E26993" w14:textId="6D3031FF" w:rsidR="0021027B" w:rsidRDefault="00F94787" w:rsidP="00740DF7">
      <w:pPr>
        <w:jc w:val="both"/>
        <w:rPr>
          <w:sz w:val="22"/>
          <w:szCs w:val="20"/>
        </w:rPr>
      </w:pPr>
      <w:r w:rsidRPr="00F94787">
        <w:rPr>
          <w:sz w:val="22"/>
          <w:szCs w:val="20"/>
        </w:rPr>
        <w:t xml:space="preserve">Dans le cadre des </w:t>
      </w:r>
      <w:r w:rsidRPr="00F94787">
        <w:rPr>
          <w:b/>
          <w:bCs/>
          <w:sz w:val="22"/>
          <w:szCs w:val="20"/>
        </w:rPr>
        <w:t>Résultats 2, 3 et 4</w:t>
      </w:r>
      <w:r w:rsidRPr="00F94787">
        <w:rPr>
          <w:sz w:val="22"/>
          <w:szCs w:val="20"/>
        </w:rPr>
        <w:t xml:space="preserve"> du Fonds, l'UNESCO recherche des partenariats avec des organisations à but non lucratif (y compris, mais sans s'y limiter, des organisations non gouvernementales, des fondations, des associations professionnelles, des institutions académiques et des organisations intergouvernementales, parmi d'autres) cherchant à mettre en œuvre ou à renforcer des initiatives locales, régionales et/ou mondiales qui, conformément aux normes internationales en matière de droits de l'homme, contribueront à faire progresser </w:t>
      </w:r>
      <w:r w:rsidRPr="00F94787">
        <w:rPr>
          <w:sz w:val="22"/>
          <w:szCs w:val="20"/>
          <w:u w:val="single"/>
        </w:rPr>
        <w:t>au moins un</w:t>
      </w:r>
      <w:r w:rsidRPr="00F94787">
        <w:rPr>
          <w:sz w:val="22"/>
          <w:szCs w:val="20"/>
        </w:rPr>
        <w:t xml:space="preserve"> de ces Résultats. </w:t>
      </w:r>
      <w:r w:rsidR="00A2217E">
        <w:rPr>
          <w:sz w:val="22"/>
          <w:szCs w:val="20"/>
        </w:rPr>
        <w:t>Les organisations partenaires</w:t>
      </w:r>
      <w:r w:rsidRPr="00F94787">
        <w:rPr>
          <w:sz w:val="22"/>
          <w:szCs w:val="20"/>
        </w:rPr>
        <w:t xml:space="preserve"> sont sélectionné</w:t>
      </w:r>
      <w:r w:rsidR="00A2217E">
        <w:rPr>
          <w:sz w:val="22"/>
          <w:szCs w:val="20"/>
        </w:rPr>
        <w:t>e</w:t>
      </w:r>
      <w:r w:rsidRPr="00F94787">
        <w:rPr>
          <w:sz w:val="22"/>
          <w:szCs w:val="20"/>
        </w:rPr>
        <w:t>s par le biais d'Appels à partenariats compétitifs.</w:t>
      </w:r>
    </w:p>
    <w:p w14:paraId="777DBEE2" w14:textId="4F3EEBC4" w:rsidR="00671673" w:rsidRDefault="00FE0A4C" w:rsidP="00740DF7">
      <w:pPr>
        <w:jc w:val="both"/>
        <w:rPr>
          <w:sz w:val="22"/>
          <w:szCs w:val="20"/>
        </w:rPr>
      </w:pPr>
      <w:r>
        <w:rPr>
          <w:sz w:val="22"/>
          <w:szCs w:val="20"/>
        </w:rPr>
        <w:t xml:space="preserve">Veuillez </w:t>
      </w:r>
      <w:r w:rsidR="00950716">
        <w:rPr>
          <w:sz w:val="22"/>
          <w:szCs w:val="20"/>
        </w:rPr>
        <w:t xml:space="preserve">consulter le </w:t>
      </w:r>
      <w:hyperlink r:id="rId11" w:history="1">
        <w:r w:rsidR="00950716" w:rsidRPr="00EE6AD8">
          <w:rPr>
            <w:rStyle w:val="Hyperlink"/>
            <w:sz w:val="22"/>
            <w:szCs w:val="20"/>
          </w:rPr>
          <w:t>site web</w:t>
        </w:r>
      </w:hyperlink>
      <w:r w:rsidR="00950716">
        <w:rPr>
          <w:sz w:val="22"/>
          <w:szCs w:val="20"/>
        </w:rPr>
        <w:t xml:space="preserve"> du GMDF pour plus d’informations </w:t>
      </w:r>
      <w:r w:rsidR="00692A39">
        <w:rPr>
          <w:sz w:val="22"/>
          <w:szCs w:val="20"/>
        </w:rPr>
        <w:t xml:space="preserve">sur le Fonds, ses Résultats, et son impact. </w:t>
      </w:r>
      <w:r w:rsidR="00692A39" w:rsidRPr="00692A39">
        <w:rPr>
          <w:sz w:val="22"/>
          <w:szCs w:val="20"/>
        </w:rPr>
        <w:t xml:space="preserve">Le dernier rapport narratif du Fonds, couvrant la période entre 2020 et 2024, est disponible </w:t>
      </w:r>
      <w:hyperlink r:id="rId12" w:history="1">
        <w:r w:rsidR="00692A39" w:rsidRPr="00692A39">
          <w:rPr>
            <w:rStyle w:val="Hyperlink"/>
            <w:sz w:val="22"/>
            <w:szCs w:val="20"/>
          </w:rPr>
          <w:t>ici</w:t>
        </w:r>
      </w:hyperlink>
      <w:r w:rsidR="00692A39">
        <w:rPr>
          <w:sz w:val="22"/>
          <w:szCs w:val="20"/>
        </w:rPr>
        <w:t xml:space="preserve"> (disponible en anglais uniquement)</w:t>
      </w:r>
      <w:r w:rsidR="00692A39" w:rsidRPr="00692A39">
        <w:rPr>
          <w:sz w:val="22"/>
          <w:szCs w:val="20"/>
        </w:rPr>
        <w:t>.</w:t>
      </w:r>
    </w:p>
    <w:p w14:paraId="1AD42070" w14:textId="15044BC2" w:rsidR="00E10CBC" w:rsidRDefault="00AF56B4" w:rsidP="00740DF7">
      <w:pPr>
        <w:jc w:val="both"/>
        <w:rPr>
          <w:sz w:val="22"/>
          <w:szCs w:val="20"/>
        </w:rPr>
      </w:pPr>
      <w:r w:rsidRPr="00AF56B4">
        <w:rPr>
          <w:sz w:val="22"/>
          <w:szCs w:val="20"/>
        </w:rPr>
        <w:t>Le GMDF est en complémentarité et en synergie avec les projets mis en œuvre dans le cadre du programme régulier de l'UNESCO et d'autres modalités extrabudgétaires soutenant le travail de l'Organisation sur la sécurité des journalistes et la question de l'impunité</w:t>
      </w:r>
      <w:r w:rsidR="00E10CBC">
        <w:rPr>
          <w:sz w:val="22"/>
          <w:szCs w:val="20"/>
        </w:rPr>
        <w:t>, tels que</w:t>
      </w:r>
      <w:r w:rsidR="00F464D6">
        <w:rPr>
          <w:sz w:val="22"/>
          <w:szCs w:val="20"/>
        </w:rPr>
        <w:t xml:space="preserve"> le </w:t>
      </w:r>
      <w:hyperlink r:id="rId13" w:history="1">
        <w:r w:rsidR="00F464D6" w:rsidRPr="00F464D6">
          <w:rPr>
            <w:rStyle w:val="Hyperlink"/>
            <w:sz w:val="22"/>
            <w:szCs w:val="20"/>
          </w:rPr>
          <w:t xml:space="preserve">Programme </w:t>
        </w:r>
        <w:proofErr w:type="spellStart"/>
        <w:r w:rsidR="00F464D6" w:rsidRPr="00F464D6">
          <w:rPr>
            <w:rStyle w:val="Hyperlink"/>
            <w:sz w:val="22"/>
            <w:szCs w:val="20"/>
          </w:rPr>
          <w:lastRenderedPageBreak/>
          <w:t>multidonateurs</w:t>
        </w:r>
        <w:proofErr w:type="spellEnd"/>
        <w:r w:rsidR="00F464D6" w:rsidRPr="00F464D6">
          <w:rPr>
            <w:rStyle w:val="Hyperlink"/>
            <w:sz w:val="22"/>
            <w:szCs w:val="20"/>
          </w:rPr>
          <w:t xml:space="preserve"> pour la liberté d’expression et la sécurité des journaliste</w:t>
        </w:r>
        <w:r w:rsidR="00F464D6">
          <w:rPr>
            <w:rStyle w:val="Hyperlink"/>
            <w:sz w:val="22"/>
            <w:szCs w:val="20"/>
          </w:rPr>
          <w:t>s (MDP)</w:t>
        </w:r>
      </w:hyperlink>
      <w:r w:rsidR="00F464D6">
        <w:rPr>
          <w:sz w:val="22"/>
          <w:szCs w:val="20"/>
        </w:rPr>
        <w:t xml:space="preserve">, </w:t>
      </w:r>
      <w:r w:rsidR="00937D54" w:rsidRPr="00937D54">
        <w:rPr>
          <w:sz w:val="22"/>
          <w:szCs w:val="20"/>
        </w:rPr>
        <w:t xml:space="preserve">le </w:t>
      </w:r>
      <w:hyperlink r:id="rId14" w:history="1">
        <w:r w:rsidR="00937D54" w:rsidRPr="00937D54">
          <w:rPr>
            <w:rStyle w:val="Hyperlink"/>
            <w:sz w:val="22"/>
            <w:szCs w:val="20"/>
          </w:rPr>
          <w:t>Programme international pour le développement de la communication (PIDC)</w:t>
        </w:r>
      </w:hyperlink>
      <w:r w:rsidR="00937D54">
        <w:rPr>
          <w:sz w:val="22"/>
          <w:szCs w:val="20"/>
        </w:rPr>
        <w:t xml:space="preserve">,  </w:t>
      </w:r>
      <w:r w:rsidR="006D2F3F">
        <w:rPr>
          <w:sz w:val="22"/>
          <w:szCs w:val="20"/>
        </w:rPr>
        <w:t>et</w:t>
      </w:r>
      <w:r w:rsidR="000D573C" w:rsidRPr="000D573C">
        <w:t xml:space="preserve"> </w:t>
      </w:r>
      <w:r w:rsidR="000D573C" w:rsidRPr="000D573C">
        <w:rPr>
          <w:sz w:val="22"/>
          <w:szCs w:val="20"/>
        </w:rPr>
        <w:t>ainsi que les projets de fonds-en-dépôt de l'UNESCO à donateur unique, parmi d'autres initiatives.</w:t>
      </w:r>
      <w:r w:rsidR="002C4C22" w:rsidRPr="002C4C22">
        <w:t xml:space="preserve"> </w:t>
      </w:r>
      <w:r w:rsidR="002C4C22" w:rsidRPr="002C4C22">
        <w:rPr>
          <w:sz w:val="22"/>
          <w:szCs w:val="20"/>
        </w:rPr>
        <w:t>La coordination des complémentarités et/ou des synergies entre les projets mis en œuvre avec le soutien de l'UNESCO/GMDF</w:t>
      </w:r>
      <w:r w:rsidR="002C4C22">
        <w:rPr>
          <w:sz w:val="22"/>
          <w:szCs w:val="20"/>
        </w:rPr>
        <w:t xml:space="preserve"> </w:t>
      </w:r>
      <w:r w:rsidR="002C4C22" w:rsidRPr="002C4C22">
        <w:rPr>
          <w:sz w:val="22"/>
          <w:szCs w:val="20"/>
        </w:rPr>
        <w:t>est activement recherchée, y compris la mise en œuvre de mesures visant à éviter tout chevauchement potentiel et/ou la duplication des activités.</w:t>
      </w:r>
    </w:p>
    <w:p w14:paraId="4539D133" w14:textId="4D7CC497" w:rsidR="008F0819" w:rsidRPr="00AE210D" w:rsidRDefault="009F3BF8" w:rsidP="008F0819">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E210D">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II. </w:t>
      </w:r>
      <w:r w:rsidR="00707552" w:rsidRPr="00AE210D">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ACTIONS </w:t>
      </w:r>
      <w:r w:rsidR="00AE210D" w:rsidRPr="00AE210D">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SOUTENUES DANS</w:t>
      </w:r>
      <w:r w:rsidR="00AE210D">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LE CADRE DE CET APPEL TH</w:t>
      </w:r>
      <w:r w:rsidR="00AE210D" w:rsidRPr="009E1F4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AE210D">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MATIQUE</w:t>
      </w:r>
    </w:p>
    <w:p w14:paraId="75CC9A2C" w14:textId="598C710A" w:rsidR="00EB0880" w:rsidRPr="00AE210D" w:rsidRDefault="00B5317D" w:rsidP="004D0802">
      <w:pPr>
        <w:jc w:val="both"/>
        <w:rPr>
          <w:b/>
          <w:bCs/>
          <w:sz w:val="22"/>
          <w:szCs w:val="20"/>
        </w:rPr>
      </w:pPr>
      <w:r>
        <w:rPr>
          <w:b/>
          <w:bCs/>
          <w:sz w:val="22"/>
          <w:szCs w:val="20"/>
        </w:rPr>
        <w:t>Contexte</w:t>
      </w:r>
    </w:p>
    <w:p w14:paraId="31341B0C" w14:textId="3D0560A6" w:rsidR="001D4C2B" w:rsidRDefault="001D4C2B" w:rsidP="00757A7F">
      <w:pPr>
        <w:jc w:val="both"/>
        <w:rPr>
          <w:sz w:val="22"/>
          <w:szCs w:val="20"/>
        </w:rPr>
      </w:pPr>
      <w:r w:rsidRPr="001D4C2B">
        <w:rPr>
          <w:sz w:val="22"/>
          <w:szCs w:val="20"/>
        </w:rPr>
        <w:t xml:space="preserve">Le journalisme environnemental joue un rôle clé dans la réponse aux crises environnementales </w:t>
      </w:r>
      <w:r w:rsidR="00511ABD">
        <w:rPr>
          <w:sz w:val="22"/>
          <w:szCs w:val="20"/>
        </w:rPr>
        <w:t>à échelle mondiale</w:t>
      </w:r>
      <w:r w:rsidRPr="001D4C2B">
        <w:rPr>
          <w:sz w:val="22"/>
          <w:szCs w:val="20"/>
        </w:rPr>
        <w:t xml:space="preserve"> </w:t>
      </w:r>
      <w:r w:rsidR="00511ABD">
        <w:rPr>
          <w:sz w:val="22"/>
          <w:szCs w:val="20"/>
        </w:rPr>
        <w:t>du</w:t>
      </w:r>
      <w:r w:rsidRPr="001D4C2B">
        <w:rPr>
          <w:sz w:val="22"/>
          <w:szCs w:val="20"/>
        </w:rPr>
        <w:t xml:space="preserve"> changement climatique, la perte de la nature et de la biodiversité, la pollution et les déchets. </w:t>
      </w:r>
      <w:r w:rsidRPr="00511ABD">
        <w:rPr>
          <w:sz w:val="22"/>
          <w:szCs w:val="20"/>
        </w:rPr>
        <w:t xml:space="preserve">Les journalistes </w:t>
      </w:r>
      <w:r w:rsidR="004C224A">
        <w:rPr>
          <w:sz w:val="22"/>
          <w:szCs w:val="20"/>
        </w:rPr>
        <w:t>qui travaillent dans la couverture</w:t>
      </w:r>
      <w:r w:rsidRPr="00511ABD">
        <w:rPr>
          <w:sz w:val="22"/>
          <w:szCs w:val="20"/>
        </w:rPr>
        <w:t xml:space="preserve"> </w:t>
      </w:r>
      <w:r w:rsidR="004C224A">
        <w:rPr>
          <w:sz w:val="22"/>
          <w:szCs w:val="20"/>
        </w:rPr>
        <w:t>d</w:t>
      </w:r>
      <w:r w:rsidRPr="00511ABD">
        <w:rPr>
          <w:sz w:val="22"/>
          <w:szCs w:val="20"/>
        </w:rPr>
        <w:t xml:space="preserve">es questions environnementales permettent non seulement aux citoyens d'accéder à des informations fiables </w:t>
      </w:r>
      <w:r w:rsidR="004C224A">
        <w:rPr>
          <w:sz w:val="22"/>
          <w:szCs w:val="20"/>
        </w:rPr>
        <w:t>par rapport à</w:t>
      </w:r>
      <w:r w:rsidRPr="00511ABD">
        <w:rPr>
          <w:sz w:val="22"/>
          <w:szCs w:val="20"/>
        </w:rPr>
        <w:t xml:space="preserve"> ces crises</w:t>
      </w:r>
      <w:r w:rsidR="00B31E4F">
        <w:rPr>
          <w:sz w:val="22"/>
          <w:szCs w:val="20"/>
        </w:rPr>
        <w:t xml:space="preserve">, </w:t>
      </w:r>
      <w:r w:rsidRPr="00511ABD">
        <w:rPr>
          <w:sz w:val="22"/>
          <w:szCs w:val="20"/>
        </w:rPr>
        <w:t xml:space="preserve">contribuant ainsi </w:t>
      </w:r>
      <w:r w:rsidR="00B31E4F">
        <w:rPr>
          <w:sz w:val="22"/>
          <w:szCs w:val="20"/>
        </w:rPr>
        <w:t>au processus de prise de décision par rapport aux politiques environnementales</w:t>
      </w:r>
      <w:r w:rsidR="009C7081">
        <w:rPr>
          <w:sz w:val="22"/>
          <w:szCs w:val="20"/>
        </w:rPr>
        <w:t xml:space="preserve"> et permettant </w:t>
      </w:r>
      <w:r w:rsidR="00757A7F">
        <w:rPr>
          <w:sz w:val="22"/>
          <w:szCs w:val="20"/>
        </w:rPr>
        <w:t xml:space="preserve">la demande des comptes aux responsables, </w:t>
      </w:r>
      <w:r w:rsidRPr="00511ABD">
        <w:rPr>
          <w:sz w:val="22"/>
          <w:szCs w:val="20"/>
        </w:rPr>
        <w:t xml:space="preserve">mais ils documentent et racontent également les histoires des communautés marginalisées qui portent le fardeau </w:t>
      </w:r>
      <w:r w:rsidR="001C7950">
        <w:rPr>
          <w:sz w:val="22"/>
          <w:szCs w:val="20"/>
        </w:rPr>
        <w:t>du changement climatique</w:t>
      </w:r>
      <w:r w:rsidRPr="00511ABD">
        <w:rPr>
          <w:sz w:val="22"/>
          <w:szCs w:val="20"/>
        </w:rPr>
        <w:t xml:space="preserve">, et contribuent à </w:t>
      </w:r>
      <w:r w:rsidR="00B31E4F">
        <w:rPr>
          <w:sz w:val="22"/>
          <w:szCs w:val="20"/>
        </w:rPr>
        <w:t xml:space="preserve">la </w:t>
      </w:r>
      <w:r w:rsidRPr="00511ABD">
        <w:rPr>
          <w:sz w:val="22"/>
          <w:szCs w:val="20"/>
        </w:rPr>
        <w:t>sensibilis</w:t>
      </w:r>
      <w:r w:rsidR="00B31E4F">
        <w:rPr>
          <w:sz w:val="22"/>
          <w:szCs w:val="20"/>
        </w:rPr>
        <w:t>ation</w:t>
      </w:r>
      <w:r w:rsidRPr="00511ABD">
        <w:rPr>
          <w:sz w:val="22"/>
          <w:szCs w:val="20"/>
        </w:rPr>
        <w:t xml:space="preserve"> </w:t>
      </w:r>
      <w:r w:rsidR="00B31E4F">
        <w:rPr>
          <w:sz w:val="22"/>
          <w:szCs w:val="20"/>
        </w:rPr>
        <w:t>de ceux</w:t>
      </w:r>
      <w:r w:rsidRPr="00511ABD">
        <w:rPr>
          <w:sz w:val="22"/>
          <w:szCs w:val="20"/>
        </w:rPr>
        <w:t xml:space="preserve"> qui pensent que la crise climatique ne les concerne pas.</w:t>
      </w:r>
    </w:p>
    <w:p w14:paraId="19B14572" w14:textId="77FE5DB4" w:rsidR="00E86E9C" w:rsidRDefault="00E86E9C" w:rsidP="00757A7F">
      <w:pPr>
        <w:jc w:val="both"/>
        <w:rPr>
          <w:sz w:val="22"/>
          <w:szCs w:val="20"/>
        </w:rPr>
      </w:pPr>
      <w:r w:rsidRPr="00E86E9C">
        <w:rPr>
          <w:sz w:val="22"/>
          <w:szCs w:val="20"/>
        </w:rPr>
        <w:t>Le journalisme environnemental est cependant un domaine dangereux</w:t>
      </w:r>
      <w:r>
        <w:rPr>
          <w:sz w:val="22"/>
          <w:szCs w:val="20"/>
        </w:rPr>
        <w:t xml:space="preserve"> pour l’exercice de la profession</w:t>
      </w:r>
      <w:r w:rsidRPr="00E86E9C">
        <w:rPr>
          <w:sz w:val="22"/>
          <w:szCs w:val="20"/>
        </w:rPr>
        <w:t>. Les journalistes et les communicateurs qui couvrent les questions environnementales sont confronté</w:t>
      </w:r>
      <w:r w:rsidR="00B35B30">
        <w:rPr>
          <w:sz w:val="22"/>
          <w:szCs w:val="20"/>
        </w:rPr>
        <w:t>.e</w:t>
      </w:r>
      <w:r w:rsidRPr="00E86E9C">
        <w:rPr>
          <w:sz w:val="22"/>
          <w:szCs w:val="20"/>
        </w:rPr>
        <w:t>s à de nombreuses menaces et formes de violence en raison de la nature sensible de leurs reportages. Il peut s'agir de violences physiques, de surveillance, de pressions ou d'intimidations de la part d'entreprises nationales et transnationales susceptibles d'être affectées par leurs activités, de l'imposition de contrôles officiels et de l'utilisation pernicieuse de l'appareil d'État (administratif et judiciaire), ainsi que du recours à des attaques juridiques</w:t>
      </w:r>
      <w:r w:rsidR="00236937">
        <w:rPr>
          <w:sz w:val="22"/>
          <w:szCs w:val="20"/>
        </w:rPr>
        <w:t xml:space="preserve"> –</w:t>
      </w:r>
      <w:r w:rsidRPr="00E86E9C">
        <w:rPr>
          <w:sz w:val="22"/>
          <w:szCs w:val="20"/>
        </w:rPr>
        <w:t>fondées sur des accusations telles que la diffamation criminelle et civile, le trouble de l'ordre public, le terrorisme, l'incitation à la haine et la diffusion de fausses nouvelles</w:t>
      </w:r>
      <w:r w:rsidR="00236937">
        <w:rPr>
          <w:sz w:val="22"/>
          <w:szCs w:val="20"/>
        </w:rPr>
        <w:t>–</w:t>
      </w:r>
      <w:r w:rsidRPr="00E86E9C">
        <w:rPr>
          <w:sz w:val="22"/>
          <w:szCs w:val="20"/>
        </w:rPr>
        <w:t xml:space="preserve"> destinées à faire taire les reportages critiques sur l'environnement.</w:t>
      </w:r>
    </w:p>
    <w:p w14:paraId="7CECFCE3" w14:textId="4147142E" w:rsidR="00E501F2" w:rsidRDefault="00E501F2" w:rsidP="00757A7F">
      <w:pPr>
        <w:jc w:val="both"/>
        <w:rPr>
          <w:sz w:val="22"/>
          <w:szCs w:val="20"/>
        </w:rPr>
      </w:pPr>
      <w:r w:rsidRPr="00E501F2">
        <w:rPr>
          <w:sz w:val="22"/>
          <w:szCs w:val="20"/>
        </w:rPr>
        <w:t xml:space="preserve">Une </w:t>
      </w:r>
      <w:hyperlink r:id="rId15" w:history="1">
        <w:r w:rsidRPr="008200D0">
          <w:rPr>
            <w:rStyle w:val="Hyperlink"/>
            <w:sz w:val="22"/>
            <w:szCs w:val="20"/>
          </w:rPr>
          <w:t>note thématique</w:t>
        </w:r>
      </w:hyperlink>
      <w:r w:rsidRPr="00E501F2">
        <w:rPr>
          <w:sz w:val="22"/>
          <w:szCs w:val="20"/>
        </w:rPr>
        <w:t xml:space="preserve"> de l’UNESCO</w:t>
      </w:r>
      <w:r>
        <w:rPr>
          <w:sz w:val="22"/>
          <w:szCs w:val="20"/>
        </w:rPr>
        <w:t xml:space="preserve"> publiée</w:t>
      </w:r>
      <w:r w:rsidR="00545AEA" w:rsidRPr="00545AEA">
        <w:rPr>
          <w:sz w:val="22"/>
          <w:szCs w:val="20"/>
        </w:rPr>
        <w:t xml:space="preserve"> à l'occasion de la Journée mondiale de la liberté de la presse 2024 (3 mai 2024) a mis en évidence les risques auxquels sont confrontés les journalistes qui couvrent les questions environnementales. L'étude a révélé que :</w:t>
      </w:r>
    </w:p>
    <w:p w14:paraId="0E6A6E8F" w14:textId="23574454" w:rsidR="0005528E" w:rsidRDefault="00050989" w:rsidP="0005528E">
      <w:pPr>
        <w:pStyle w:val="ListParagraph"/>
        <w:numPr>
          <w:ilvl w:val="0"/>
          <w:numId w:val="39"/>
        </w:numPr>
        <w:jc w:val="both"/>
        <w:rPr>
          <w:sz w:val="22"/>
          <w:szCs w:val="20"/>
        </w:rPr>
      </w:pPr>
      <w:r w:rsidRPr="0005528E">
        <w:rPr>
          <w:sz w:val="22"/>
          <w:szCs w:val="20"/>
        </w:rPr>
        <w:t xml:space="preserve">Selon l'Observatoire de l’UNESCO des journalistes assassinés, 44 journalistes </w:t>
      </w:r>
      <w:r w:rsidR="00172F5C" w:rsidRPr="0005528E">
        <w:rPr>
          <w:sz w:val="22"/>
          <w:szCs w:val="20"/>
        </w:rPr>
        <w:t>travaillant dans la couverture des</w:t>
      </w:r>
      <w:r w:rsidRPr="0005528E">
        <w:rPr>
          <w:sz w:val="22"/>
          <w:szCs w:val="20"/>
        </w:rPr>
        <w:t xml:space="preserve"> questions environnementales ont été tué</w:t>
      </w:r>
      <w:r w:rsidR="00172F5C" w:rsidRPr="0005528E">
        <w:rPr>
          <w:sz w:val="22"/>
          <w:szCs w:val="20"/>
        </w:rPr>
        <w:t>.e</w:t>
      </w:r>
      <w:r w:rsidRPr="0005528E">
        <w:rPr>
          <w:sz w:val="22"/>
          <w:szCs w:val="20"/>
        </w:rPr>
        <w:t>s au cours des 15 dernières années, et seuls cinq cas ont donné lieu à des condamnations. Au moins 24 journalistes ont survécu à des tentatives d'assassinat au cours de la même période.</w:t>
      </w:r>
    </w:p>
    <w:p w14:paraId="224ECD21" w14:textId="3C143D69" w:rsidR="0005528E" w:rsidRDefault="0005528E" w:rsidP="0005528E">
      <w:pPr>
        <w:pStyle w:val="ListParagraph"/>
        <w:numPr>
          <w:ilvl w:val="0"/>
          <w:numId w:val="39"/>
        </w:numPr>
        <w:jc w:val="both"/>
        <w:rPr>
          <w:sz w:val="22"/>
          <w:szCs w:val="20"/>
        </w:rPr>
      </w:pPr>
      <w:r w:rsidRPr="0005528E">
        <w:rPr>
          <w:sz w:val="22"/>
          <w:szCs w:val="20"/>
        </w:rPr>
        <w:t>Au moins 749 journalistes, groupes de journalistes et</w:t>
      </w:r>
      <w:r w:rsidR="00EA3D8D">
        <w:rPr>
          <w:sz w:val="22"/>
          <w:szCs w:val="20"/>
        </w:rPr>
        <w:t xml:space="preserve"> médias</w:t>
      </w:r>
      <w:r w:rsidRPr="0005528E">
        <w:rPr>
          <w:sz w:val="22"/>
          <w:szCs w:val="20"/>
        </w:rPr>
        <w:t xml:space="preserve"> traitant de </w:t>
      </w:r>
      <w:r w:rsidR="0004026B">
        <w:rPr>
          <w:sz w:val="22"/>
          <w:szCs w:val="20"/>
        </w:rPr>
        <w:t>sujets environnementaux</w:t>
      </w:r>
      <w:r w:rsidRPr="0005528E">
        <w:rPr>
          <w:sz w:val="22"/>
          <w:szCs w:val="20"/>
        </w:rPr>
        <w:t xml:space="preserve"> ont été attaqué</w:t>
      </w:r>
      <w:r w:rsidR="0004026B">
        <w:rPr>
          <w:sz w:val="22"/>
          <w:szCs w:val="20"/>
        </w:rPr>
        <w:t>.e</w:t>
      </w:r>
      <w:r w:rsidRPr="0005528E">
        <w:rPr>
          <w:sz w:val="22"/>
          <w:szCs w:val="20"/>
        </w:rPr>
        <w:t xml:space="preserve">s dans 89 pays depuis 2009, selon l'examen détaillé de diverses sources de données. Ces journalistes et </w:t>
      </w:r>
      <w:r w:rsidR="0004026B">
        <w:rPr>
          <w:sz w:val="22"/>
          <w:szCs w:val="20"/>
        </w:rPr>
        <w:t>médias</w:t>
      </w:r>
      <w:r w:rsidRPr="0005528E">
        <w:rPr>
          <w:sz w:val="22"/>
          <w:szCs w:val="20"/>
        </w:rPr>
        <w:t xml:space="preserve"> ont couvert un large éventail de sujets, allant des causes du changement climatique, de l'exploitation minière illégale, de la déforestation et des combustibles fossiles, à des questions spécifiques à leurs </w:t>
      </w:r>
      <w:r w:rsidRPr="0005528E">
        <w:rPr>
          <w:sz w:val="22"/>
          <w:szCs w:val="20"/>
        </w:rPr>
        <w:lastRenderedPageBreak/>
        <w:t>communautés, telles que l'agro-industrie, l'accaparement des terres, les mégaprojets d'infrastructure et les conséquences d'événements météorologiques extrêmes.</w:t>
      </w:r>
    </w:p>
    <w:p w14:paraId="4EAB0C77" w14:textId="071BF2C5" w:rsidR="00C41549" w:rsidRDefault="00C41549" w:rsidP="0005528E">
      <w:pPr>
        <w:pStyle w:val="ListParagraph"/>
        <w:numPr>
          <w:ilvl w:val="0"/>
          <w:numId w:val="39"/>
        </w:numPr>
        <w:jc w:val="both"/>
        <w:rPr>
          <w:sz w:val="22"/>
          <w:szCs w:val="20"/>
        </w:rPr>
      </w:pPr>
      <w:r w:rsidRPr="00C41549">
        <w:rPr>
          <w:sz w:val="22"/>
          <w:szCs w:val="20"/>
        </w:rPr>
        <w:t>Plus de 300 attaques ont eu lieu au cours des cinq dernières années, soit une augmentation de 42 % par rapport aux cinq années précédentes. Cette augmentation est attribuée à une hausse des attaques physiques telles que les agressions, les arrestations et le harcèlement, ainsi que les actions en justice, notamment les procès en diffamation et les poursuites pénales.</w:t>
      </w:r>
    </w:p>
    <w:p w14:paraId="621295BB" w14:textId="77777777" w:rsidR="00980815" w:rsidRDefault="00980815" w:rsidP="0005528E">
      <w:pPr>
        <w:pStyle w:val="ListParagraph"/>
        <w:numPr>
          <w:ilvl w:val="0"/>
          <w:numId w:val="39"/>
        </w:numPr>
        <w:jc w:val="both"/>
        <w:rPr>
          <w:sz w:val="22"/>
          <w:szCs w:val="20"/>
        </w:rPr>
      </w:pPr>
      <w:r w:rsidRPr="00980815">
        <w:rPr>
          <w:sz w:val="22"/>
          <w:szCs w:val="20"/>
        </w:rPr>
        <w:t xml:space="preserve">Les acteurs étatiques, tels que la police, les forces militaires, les fonctionnaires et les employés du gouvernement, ont commis au moins la moitié des 749 attaques. Les acteurs privés, y compris les entreprises de l'industrie extractive, les groupes criminels, les manifestants et les communautés locales, sont responsables d'au moins un quart de ces attaques. </w:t>
      </w:r>
    </w:p>
    <w:p w14:paraId="39474419" w14:textId="51DF225C" w:rsidR="00980815" w:rsidRDefault="00980815" w:rsidP="0005528E">
      <w:pPr>
        <w:pStyle w:val="ListParagraph"/>
        <w:numPr>
          <w:ilvl w:val="0"/>
          <w:numId w:val="39"/>
        </w:numPr>
        <w:jc w:val="both"/>
        <w:rPr>
          <w:sz w:val="22"/>
          <w:szCs w:val="20"/>
        </w:rPr>
      </w:pPr>
      <w:r w:rsidRPr="00980815">
        <w:rPr>
          <w:sz w:val="22"/>
          <w:szCs w:val="20"/>
        </w:rPr>
        <w:t xml:space="preserve">Depuis 2009, au moins 204 journalistes et </w:t>
      </w:r>
      <w:r w:rsidR="005473DD">
        <w:rPr>
          <w:sz w:val="22"/>
          <w:szCs w:val="20"/>
        </w:rPr>
        <w:t>médias</w:t>
      </w:r>
      <w:r w:rsidRPr="00980815">
        <w:rPr>
          <w:sz w:val="22"/>
          <w:szCs w:val="20"/>
        </w:rPr>
        <w:t xml:space="preserve"> </w:t>
      </w:r>
      <w:r w:rsidR="005473DD">
        <w:rPr>
          <w:sz w:val="22"/>
          <w:szCs w:val="20"/>
        </w:rPr>
        <w:t>traitant des sujets environnementaux</w:t>
      </w:r>
      <w:r w:rsidRPr="00980815">
        <w:rPr>
          <w:sz w:val="22"/>
          <w:szCs w:val="20"/>
        </w:rPr>
        <w:t xml:space="preserve"> ont fait l'objet d'attaques judiciaires. Les gouvernements ont engagé des poursuites pénales contre 93 d'entre eux</w:t>
      </w:r>
      <w:r w:rsidR="00DD168B">
        <w:rPr>
          <w:sz w:val="22"/>
          <w:szCs w:val="20"/>
        </w:rPr>
        <w:t xml:space="preserve"> et elles</w:t>
      </w:r>
      <w:r w:rsidRPr="00980815">
        <w:rPr>
          <w:sz w:val="22"/>
          <w:szCs w:val="20"/>
        </w:rPr>
        <w:t>, ce qui constitue le type d'attaque juridique le plus courant. En outre, 39 journalistes ont été emprisonné</w:t>
      </w:r>
      <w:r w:rsidR="00DD168B">
        <w:rPr>
          <w:sz w:val="22"/>
          <w:szCs w:val="20"/>
        </w:rPr>
        <w:t>.e</w:t>
      </w:r>
      <w:r w:rsidRPr="00980815">
        <w:rPr>
          <w:sz w:val="22"/>
          <w:szCs w:val="20"/>
        </w:rPr>
        <w:t xml:space="preserve">s, principalement en Asie et dans le Pacifique, en raison de leurs reportages sur l'environnement. Les procès en diffamation sont également fréquents, avec au moins 63 cas, principalement en Europe et en Amérique du Nord. </w:t>
      </w:r>
    </w:p>
    <w:p w14:paraId="789D6F3A" w14:textId="2E64C228" w:rsidR="00636922" w:rsidRPr="0005528E" w:rsidRDefault="00F21004" w:rsidP="0005528E">
      <w:pPr>
        <w:pStyle w:val="ListParagraph"/>
        <w:numPr>
          <w:ilvl w:val="0"/>
          <w:numId w:val="39"/>
        </w:numPr>
        <w:jc w:val="both"/>
        <w:rPr>
          <w:sz w:val="22"/>
          <w:szCs w:val="20"/>
        </w:rPr>
      </w:pPr>
      <w:r w:rsidRPr="00F21004">
        <w:rPr>
          <w:sz w:val="22"/>
          <w:szCs w:val="20"/>
        </w:rPr>
        <w:t>Une enquête menée par l'UNESCO et la Fédération internationale des journalistes auprès de 900 journalistes de 130 pays en mars 2024 confirme ces tendances. Elle a montré que plus de 70 % des journalistes interrogé</w:t>
      </w:r>
      <w:r>
        <w:rPr>
          <w:sz w:val="22"/>
          <w:szCs w:val="20"/>
        </w:rPr>
        <w:t>.e</w:t>
      </w:r>
      <w:r w:rsidRPr="00F21004">
        <w:rPr>
          <w:sz w:val="22"/>
          <w:szCs w:val="20"/>
        </w:rPr>
        <w:t xml:space="preserve">s ont déclaré avoir fait l'objet d'attaques, de menaces ou de pressions lorsqu'ils couvraient des </w:t>
      </w:r>
      <w:r w:rsidR="008B487E">
        <w:rPr>
          <w:sz w:val="22"/>
          <w:szCs w:val="20"/>
        </w:rPr>
        <w:t>sujets</w:t>
      </w:r>
      <w:r w:rsidRPr="00F21004">
        <w:rPr>
          <w:sz w:val="22"/>
          <w:szCs w:val="20"/>
        </w:rPr>
        <w:t xml:space="preserve"> environnement</w:t>
      </w:r>
      <w:r w:rsidR="008B487E">
        <w:rPr>
          <w:sz w:val="22"/>
          <w:szCs w:val="20"/>
        </w:rPr>
        <w:t>aux</w:t>
      </w:r>
      <w:r w:rsidRPr="00F21004">
        <w:rPr>
          <w:sz w:val="22"/>
          <w:szCs w:val="20"/>
        </w:rPr>
        <w:t xml:space="preserve">. Sur l'ensemble des journalistes déclarant avoir fait l'objet d'attaques dans le cadre de leur travail sur les questions environnementales, un quart a déclaré avoir été </w:t>
      </w:r>
      <w:proofErr w:type="spellStart"/>
      <w:proofErr w:type="gramStart"/>
      <w:r w:rsidRPr="00F21004">
        <w:rPr>
          <w:sz w:val="22"/>
          <w:szCs w:val="20"/>
        </w:rPr>
        <w:t>attaqué</w:t>
      </w:r>
      <w:r w:rsidR="001D65C3">
        <w:rPr>
          <w:sz w:val="22"/>
          <w:szCs w:val="20"/>
        </w:rPr>
        <w:t>.e</w:t>
      </w:r>
      <w:proofErr w:type="spellEnd"/>
      <w:proofErr w:type="gramEnd"/>
      <w:r w:rsidRPr="00F21004">
        <w:rPr>
          <w:sz w:val="22"/>
          <w:szCs w:val="20"/>
        </w:rPr>
        <w:t xml:space="preserve"> sur le plan juridique, par exemple dans le cadre de </w:t>
      </w:r>
      <w:r w:rsidR="00206BF7">
        <w:rPr>
          <w:sz w:val="22"/>
          <w:szCs w:val="20"/>
        </w:rPr>
        <w:t xml:space="preserve">procédures-bâillons </w:t>
      </w:r>
      <w:r w:rsidRPr="00F21004">
        <w:rPr>
          <w:sz w:val="22"/>
          <w:szCs w:val="20"/>
        </w:rPr>
        <w:t>ou d'allégations de diffamation.</w:t>
      </w:r>
    </w:p>
    <w:p w14:paraId="6DDF45A7" w14:textId="5FF9BF22" w:rsidR="00703678" w:rsidRPr="00DE70AE" w:rsidRDefault="005E0FD9" w:rsidP="005E0FD9">
      <w:pPr>
        <w:jc w:val="both"/>
        <w:rPr>
          <w:sz w:val="22"/>
          <w:szCs w:val="20"/>
        </w:rPr>
      </w:pPr>
      <w:r w:rsidRPr="005E0FD9">
        <w:rPr>
          <w:sz w:val="22"/>
          <w:szCs w:val="20"/>
        </w:rPr>
        <w:t xml:space="preserve">Ces menaces affaiblissent le rôle des journalistes en tant que gardiens de la démocratie et réduisent leur capacité à demander des comptes aux puissants, tandis que la censure peut éroder la confiance </w:t>
      </w:r>
      <w:r>
        <w:rPr>
          <w:sz w:val="22"/>
          <w:szCs w:val="20"/>
        </w:rPr>
        <w:t>du public</w:t>
      </w:r>
      <w:r w:rsidRPr="005E0FD9">
        <w:rPr>
          <w:sz w:val="22"/>
          <w:szCs w:val="20"/>
        </w:rPr>
        <w:t xml:space="preserve"> dans le journalisme et entraver l'accès des citoyens à des informations vérifiées, créant un vide propice à la prolifération de la désinformation et affectant le plein exercice du droit à la liberté d'expression de tous</w:t>
      </w:r>
      <w:r>
        <w:rPr>
          <w:sz w:val="22"/>
          <w:szCs w:val="20"/>
        </w:rPr>
        <w:t xml:space="preserve"> et toutes.</w:t>
      </w:r>
    </w:p>
    <w:p w14:paraId="144B868B" w14:textId="77777777" w:rsidR="00B3332F" w:rsidRPr="00DE70AE" w:rsidRDefault="00B3332F" w:rsidP="00BA42D1">
      <w:pPr>
        <w:jc w:val="both"/>
        <w:rPr>
          <w:b/>
          <w:bCs/>
          <w:sz w:val="22"/>
          <w:szCs w:val="20"/>
        </w:rPr>
      </w:pPr>
      <w:r w:rsidRPr="00DE70AE">
        <w:rPr>
          <w:b/>
          <w:bCs/>
          <w:sz w:val="22"/>
          <w:szCs w:val="20"/>
        </w:rPr>
        <w:t>Un appel thématique axé sur la défense du journalisme environnemental</w:t>
      </w:r>
    </w:p>
    <w:p w14:paraId="4E924D41" w14:textId="40830DE2" w:rsidR="00BA7362" w:rsidRPr="00BA7362" w:rsidRDefault="00BA7362" w:rsidP="00BA42D1">
      <w:pPr>
        <w:jc w:val="both"/>
        <w:rPr>
          <w:sz w:val="22"/>
          <w:szCs w:val="20"/>
        </w:rPr>
      </w:pPr>
      <w:r>
        <w:rPr>
          <w:sz w:val="22"/>
          <w:szCs w:val="20"/>
        </w:rPr>
        <w:t>Cet</w:t>
      </w:r>
      <w:r w:rsidRPr="00BA7362">
        <w:rPr>
          <w:sz w:val="22"/>
          <w:szCs w:val="20"/>
        </w:rPr>
        <w:t xml:space="preserve"> </w:t>
      </w:r>
      <w:r>
        <w:rPr>
          <w:sz w:val="22"/>
          <w:szCs w:val="20"/>
        </w:rPr>
        <w:t>A</w:t>
      </w:r>
      <w:r w:rsidRPr="00BA7362">
        <w:rPr>
          <w:sz w:val="22"/>
          <w:szCs w:val="20"/>
        </w:rPr>
        <w:t xml:space="preserve">ppel à partenariats est axé sur la défense du journalisme environnemental et vise à faire progresser la </w:t>
      </w:r>
      <w:r>
        <w:rPr>
          <w:sz w:val="22"/>
          <w:szCs w:val="20"/>
        </w:rPr>
        <w:t>F</w:t>
      </w:r>
      <w:r w:rsidRPr="00BA7362">
        <w:rPr>
          <w:sz w:val="22"/>
          <w:szCs w:val="20"/>
        </w:rPr>
        <w:t xml:space="preserve">euille de route mondiale de l'UNESCO pour l'information en tant que bien public face à la crise environnementale. La </w:t>
      </w:r>
      <w:r>
        <w:rPr>
          <w:sz w:val="22"/>
          <w:szCs w:val="20"/>
        </w:rPr>
        <w:t>F</w:t>
      </w:r>
      <w:r w:rsidRPr="00BA7362">
        <w:rPr>
          <w:sz w:val="22"/>
          <w:szCs w:val="20"/>
        </w:rPr>
        <w:t xml:space="preserve">euille de route cherche à aborder divers aspects relatifs à la promotion de la sécurité des journalistes travaillant sur la couverture des </w:t>
      </w:r>
      <w:r>
        <w:rPr>
          <w:sz w:val="22"/>
          <w:szCs w:val="20"/>
        </w:rPr>
        <w:t>sujets environnementaux</w:t>
      </w:r>
      <w:r w:rsidRPr="00BA7362">
        <w:rPr>
          <w:sz w:val="22"/>
          <w:szCs w:val="20"/>
        </w:rPr>
        <w:t>, ainsi qu'à faire progresser l'intégrité de l'information, y compris en contrant la désinformation sur le changement climatique.</w:t>
      </w:r>
    </w:p>
    <w:p w14:paraId="50A82D44" w14:textId="5741AECA" w:rsidR="009A2701" w:rsidRDefault="009A2701" w:rsidP="00BA42D1">
      <w:pPr>
        <w:jc w:val="both"/>
        <w:rPr>
          <w:rFonts w:eastAsia="Arial Unicode MS"/>
          <w:sz w:val="22"/>
          <w:szCs w:val="22"/>
        </w:rPr>
      </w:pPr>
      <w:r w:rsidRPr="009A2701">
        <w:rPr>
          <w:rFonts w:eastAsia="Arial Unicode MS"/>
          <w:sz w:val="22"/>
          <w:szCs w:val="22"/>
        </w:rPr>
        <w:t xml:space="preserve">Annoncée lors de la conférence de la Journée mondiale de la liberté de la presse 2024 à Santiago du Chili, la </w:t>
      </w:r>
      <w:r w:rsidR="0083739D">
        <w:rPr>
          <w:rFonts w:eastAsia="Arial Unicode MS"/>
          <w:sz w:val="22"/>
          <w:szCs w:val="22"/>
        </w:rPr>
        <w:t>F</w:t>
      </w:r>
      <w:r w:rsidRPr="009A2701">
        <w:rPr>
          <w:rFonts w:eastAsia="Arial Unicode MS"/>
          <w:sz w:val="22"/>
          <w:szCs w:val="22"/>
        </w:rPr>
        <w:t xml:space="preserve">euille de route examine les rôles que les gouvernements, les médias, les universités </w:t>
      </w:r>
      <w:r w:rsidRPr="009A2701">
        <w:rPr>
          <w:rFonts w:eastAsia="Arial Unicode MS"/>
          <w:sz w:val="22"/>
          <w:szCs w:val="22"/>
        </w:rPr>
        <w:lastRenderedPageBreak/>
        <w:t xml:space="preserve">et les chercheurs, le secteur culturel, la société civile et les plateformes numériques peuvent jouer </w:t>
      </w:r>
      <w:r w:rsidR="00373663">
        <w:rPr>
          <w:rFonts w:eastAsia="Arial Unicode MS"/>
          <w:sz w:val="22"/>
          <w:szCs w:val="22"/>
        </w:rPr>
        <w:t>afin d’assurer :</w:t>
      </w:r>
    </w:p>
    <w:p w14:paraId="3BBDFB7C" w14:textId="00939D71" w:rsidR="00373663" w:rsidRDefault="00DC1116" w:rsidP="00BA42D1">
      <w:pPr>
        <w:pStyle w:val="ListParagraph"/>
        <w:numPr>
          <w:ilvl w:val="0"/>
          <w:numId w:val="33"/>
        </w:numPr>
        <w:jc w:val="both"/>
        <w:rPr>
          <w:sz w:val="22"/>
          <w:szCs w:val="20"/>
        </w:rPr>
      </w:pPr>
      <w:r w:rsidRPr="00DC1116">
        <w:rPr>
          <w:sz w:val="22"/>
          <w:szCs w:val="20"/>
        </w:rPr>
        <w:t>La viabilité économique du journalisme environnemental et la mise en place de mesures de sécurité ;</w:t>
      </w:r>
    </w:p>
    <w:p w14:paraId="53D115A4" w14:textId="792F3180" w:rsidR="00DC1116" w:rsidRPr="00DC1116" w:rsidRDefault="00DC1116" w:rsidP="00BA42D1">
      <w:pPr>
        <w:pStyle w:val="ListParagraph"/>
        <w:numPr>
          <w:ilvl w:val="0"/>
          <w:numId w:val="33"/>
        </w:numPr>
        <w:jc w:val="both"/>
        <w:rPr>
          <w:sz w:val="22"/>
          <w:szCs w:val="20"/>
        </w:rPr>
      </w:pPr>
      <w:r w:rsidRPr="00DC1116">
        <w:rPr>
          <w:sz w:val="22"/>
          <w:szCs w:val="20"/>
        </w:rPr>
        <w:t>La sécurité et la défense juridique des journalistes environnementaux ;</w:t>
      </w:r>
    </w:p>
    <w:p w14:paraId="291F4D12" w14:textId="77777777" w:rsidR="00DC1116" w:rsidRPr="00DC1116" w:rsidRDefault="00DC1116" w:rsidP="00CF2198">
      <w:pPr>
        <w:pStyle w:val="ListParagraph"/>
        <w:numPr>
          <w:ilvl w:val="0"/>
          <w:numId w:val="33"/>
        </w:numPr>
        <w:jc w:val="both"/>
        <w:rPr>
          <w:b/>
          <w:bCs/>
          <w:sz w:val="22"/>
          <w:szCs w:val="20"/>
        </w:rPr>
      </w:pPr>
      <w:r w:rsidRPr="00DC1116">
        <w:rPr>
          <w:sz w:val="22"/>
          <w:szCs w:val="20"/>
        </w:rPr>
        <w:t>L'accès à l'information environnementale publique ;</w:t>
      </w:r>
    </w:p>
    <w:p w14:paraId="08D1F76B" w14:textId="77777777" w:rsidR="00E051D8" w:rsidRPr="00E051D8" w:rsidRDefault="00E051D8" w:rsidP="00CF2198">
      <w:pPr>
        <w:pStyle w:val="ListParagraph"/>
        <w:numPr>
          <w:ilvl w:val="0"/>
          <w:numId w:val="33"/>
        </w:numPr>
        <w:jc w:val="both"/>
        <w:rPr>
          <w:b/>
          <w:bCs/>
          <w:sz w:val="22"/>
          <w:szCs w:val="20"/>
        </w:rPr>
      </w:pPr>
      <w:r w:rsidRPr="00E051D8">
        <w:rPr>
          <w:sz w:val="22"/>
          <w:szCs w:val="20"/>
        </w:rPr>
        <w:t>Des institutions médiatiques plus fortes dans le domaine de l'action climatique, de la préparation et de la réponse aux catastrophes ;</w:t>
      </w:r>
    </w:p>
    <w:p w14:paraId="238CCBB0" w14:textId="77777777" w:rsidR="00E051D8" w:rsidRPr="00E051D8" w:rsidRDefault="00E051D8" w:rsidP="00FE30CD">
      <w:pPr>
        <w:pStyle w:val="ListParagraph"/>
        <w:numPr>
          <w:ilvl w:val="0"/>
          <w:numId w:val="33"/>
        </w:numPr>
        <w:jc w:val="both"/>
        <w:rPr>
          <w:sz w:val="22"/>
          <w:szCs w:val="20"/>
        </w:rPr>
      </w:pPr>
      <w:r w:rsidRPr="00E051D8">
        <w:rPr>
          <w:sz w:val="22"/>
          <w:szCs w:val="20"/>
        </w:rPr>
        <w:t xml:space="preserve">Une approche de la gouvernance des plateformes numériques fondée sur les droits de l'homme et impliquant de multiples parties prenantes ; </w:t>
      </w:r>
    </w:p>
    <w:p w14:paraId="50A3B24F" w14:textId="619E0CFE" w:rsidR="007B5D4C" w:rsidRPr="00224C10" w:rsidRDefault="007B5D4C" w:rsidP="00224C10">
      <w:pPr>
        <w:pStyle w:val="ListParagraph"/>
        <w:numPr>
          <w:ilvl w:val="0"/>
          <w:numId w:val="33"/>
        </w:numPr>
        <w:jc w:val="both"/>
        <w:rPr>
          <w:sz w:val="22"/>
          <w:szCs w:val="20"/>
        </w:rPr>
      </w:pPr>
      <w:r w:rsidRPr="007B5D4C">
        <w:rPr>
          <w:sz w:val="22"/>
          <w:szCs w:val="20"/>
        </w:rPr>
        <w:t>Des capacités</w:t>
      </w:r>
      <w:r>
        <w:rPr>
          <w:sz w:val="22"/>
          <w:szCs w:val="20"/>
        </w:rPr>
        <w:t xml:space="preserve"> par rapport </w:t>
      </w:r>
      <w:r w:rsidR="00224C10">
        <w:rPr>
          <w:sz w:val="22"/>
          <w:szCs w:val="20"/>
        </w:rPr>
        <w:t xml:space="preserve">à l’éducation aux médias et à l’information permettant </w:t>
      </w:r>
      <w:r w:rsidRPr="00224C10">
        <w:rPr>
          <w:sz w:val="22"/>
          <w:szCs w:val="20"/>
        </w:rPr>
        <w:t>au</w:t>
      </w:r>
      <w:r w:rsidR="00224C10">
        <w:rPr>
          <w:sz w:val="22"/>
          <w:szCs w:val="20"/>
        </w:rPr>
        <w:t>x personnes</w:t>
      </w:r>
      <w:r w:rsidRPr="00224C10">
        <w:rPr>
          <w:sz w:val="22"/>
          <w:szCs w:val="20"/>
        </w:rPr>
        <w:t xml:space="preserve"> de reconnaître et d'apprécier, ainsi que de défendre et d'exiger</w:t>
      </w:r>
      <w:r w:rsidR="00224C10">
        <w:rPr>
          <w:sz w:val="22"/>
          <w:szCs w:val="20"/>
        </w:rPr>
        <w:t>,</w:t>
      </w:r>
      <w:r w:rsidRPr="00224C10">
        <w:rPr>
          <w:sz w:val="22"/>
          <w:szCs w:val="20"/>
        </w:rPr>
        <w:t xml:space="preserve"> le journalisme en tant qu'élément essentiel de l'information en tant que bien public.</w:t>
      </w:r>
    </w:p>
    <w:p w14:paraId="73B900B5" w14:textId="4D4CD9D2" w:rsidR="008C3CF4" w:rsidRDefault="008C3CF4" w:rsidP="00C67A8B">
      <w:pPr>
        <w:jc w:val="both"/>
        <w:rPr>
          <w:rFonts w:eastAsia="Arial Unicode MS"/>
          <w:sz w:val="22"/>
          <w:szCs w:val="22"/>
        </w:rPr>
      </w:pPr>
      <w:r w:rsidRPr="008C3CF4">
        <w:rPr>
          <w:rFonts w:eastAsia="Arial Unicode MS"/>
          <w:sz w:val="22"/>
          <w:szCs w:val="22"/>
        </w:rPr>
        <w:t xml:space="preserve">L'un des principaux objectifs de la </w:t>
      </w:r>
      <w:r w:rsidR="0052557E">
        <w:rPr>
          <w:rFonts w:eastAsia="Arial Unicode MS"/>
          <w:sz w:val="22"/>
          <w:szCs w:val="22"/>
        </w:rPr>
        <w:t>F</w:t>
      </w:r>
      <w:r w:rsidRPr="008C3CF4">
        <w:rPr>
          <w:rFonts w:eastAsia="Arial Unicode MS"/>
          <w:sz w:val="22"/>
          <w:szCs w:val="22"/>
        </w:rPr>
        <w:t>euille de route est de renforcer le soutien juridique et la défense des journalistes, en particulier pour lutter contre les poursuites stratégiques contre la</w:t>
      </w:r>
      <w:r w:rsidR="00C67A8B">
        <w:rPr>
          <w:rFonts w:eastAsia="Arial Unicode MS"/>
          <w:sz w:val="22"/>
          <w:szCs w:val="22"/>
        </w:rPr>
        <w:t xml:space="preserve"> mobilisation publique ou les procédures-bâillon</w:t>
      </w:r>
      <w:r w:rsidRPr="008C3CF4">
        <w:rPr>
          <w:rFonts w:eastAsia="Arial Unicode MS"/>
          <w:sz w:val="22"/>
          <w:szCs w:val="22"/>
        </w:rPr>
        <w:t xml:space="preserve"> (SLAPP). Il s'agit notamment de soutenir les professionnels du droit, les organisations de la société civile et les journalistes d'investigation qui se consacrent aux questions environnementales, y compris le changement climatique.</w:t>
      </w:r>
    </w:p>
    <w:p w14:paraId="75188D2C" w14:textId="5D31464A" w:rsidR="0052557E" w:rsidRDefault="0052557E" w:rsidP="00C67A8B">
      <w:pPr>
        <w:jc w:val="both"/>
        <w:rPr>
          <w:rFonts w:eastAsia="Arial Unicode MS"/>
          <w:sz w:val="22"/>
          <w:szCs w:val="22"/>
        </w:rPr>
      </w:pPr>
      <w:r w:rsidRPr="0052557E">
        <w:rPr>
          <w:rFonts w:eastAsia="Arial Unicode MS"/>
          <w:sz w:val="22"/>
          <w:szCs w:val="22"/>
        </w:rPr>
        <w:t xml:space="preserve">Un autre objectif de la </w:t>
      </w:r>
      <w:r>
        <w:rPr>
          <w:rFonts w:eastAsia="Arial Unicode MS"/>
          <w:sz w:val="22"/>
          <w:szCs w:val="22"/>
        </w:rPr>
        <w:t>F</w:t>
      </w:r>
      <w:r w:rsidRPr="0052557E">
        <w:rPr>
          <w:rFonts w:eastAsia="Arial Unicode MS"/>
          <w:sz w:val="22"/>
          <w:szCs w:val="22"/>
        </w:rPr>
        <w:t xml:space="preserve">euille de route est de soutenir les journalistes </w:t>
      </w:r>
      <w:r w:rsidR="000B5263">
        <w:rPr>
          <w:rFonts w:eastAsia="Arial Unicode MS"/>
          <w:sz w:val="22"/>
          <w:szCs w:val="22"/>
        </w:rPr>
        <w:t>environnementaux</w:t>
      </w:r>
      <w:r w:rsidRPr="0052557E">
        <w:rPr>
          <w:rFonts w:eastAsia="Arial Unicode MS"/>
          <w:sz w:val="22"/>
          <w:szCs w:val="22"/>
        </w:rPr>
        <w:t xml:space="preserve"> en finançant des enquêtes journalistiques sur les crimes commis à leur encontre, et de renforcer la mise en œuvre du plan d'action des Nations unies en mettant davantage l'accent sur les aspects spécifiques de la violence à l'encontre des journalistes et des médias qui traitent des questions </w:t>
      </w:r>
      <w:r w:rsidR="000B5263">
        <w:rPr>
          <w:rFonts w:eastAsia="Arial Unicode MS"/>
          <w:sz w:val="22"/>
          <w:szCs w:val="22"/>
        </w:rPr>
        <w:t>environnementales</w:t>
      </w:r>
      <w:r w:rsidRPr="0052557E">
        <w:rPr>
          <w:rFonts w:eastAsia="Arial Unicode MS"/>
          <w:sz w:val="22"/>
          <w:szCs w:val="22"/>
        </w:rPr>
        <w:t>.</w:t>
      </w:r>
    </w:p>
    <w:p w14:paraId="3A29B0A4" w14:textId="7F31D650" w:rsidR="00B95702" w:rsidRPr="00B95702" w:rsidRDefault="00B95702" w:rsidP="00C67A8B">
      <w:pPr>
        <w:jc w:val="both"/>
        <w:rPr>
          <w:rFonts w:eastAsia="Arial Unicode MS"/>
          <w:b/>
          <w:bCs/>
          <w:sz w:val="22"/>
          <w:szCs w:val="22"/>
        </w:rPr>
      </w:pPr>
      <w:r w:rsidRPr="00B95702">
        <w:rPr>
          <w:rFonts w:eastAsia="Arial Unicode MS"/>
          <w:b/>
          <w:bCs/>
          <w:sz w:val="22"/>
          <w:szCs w:val="22"/>
        </w:rPr>
        <w:t xml:space="preserve">L'objectif de cet </w:t>
      </w:r>
      <w:r>
        <w:rPr>
          <w:rFonts w:eastAsia="Arial Unicode MS"/>
          <w:b/>
          <w:bCs/>
          <w:sz w:val="22"/>
          <w:szCs w:val="22"/>
        </w:rPr>
        <w:t>A</w:t>
      </w:r>
      <w:r w:rsidRPr="00B95702">
        <w:rPr>
          <w:rFonts w:eastAsia="Arial Unicode MS"/>
          <w:b/>
          <w:bCs/>
          <w:sz w:val="22"/>
          <w:szCs w:val="22"/>
        </w:rPr>
        <w:t>ppel</w:t>
      </w:r>
      <w:r>
        <w:rPr>
          <w:rFonts w:eastAsia="Arial Unicode MS"/>
          <w:b/>
          <w:bCs/>
          <w:sz w:val="22"/>
          <w:szCs w:val="22"/>
        </w:rPr>
        <w:t xml:space="preserve"> thématique</w:t>
      </w:r>
      <w:r w:rsidRPr="00B95702">
        <w:rPr>
          <w:rFonts w:eastAsia="Arial Unicode MS"/>
          <w:b/>
          <w:bCs/>
          <w:sz w:val="22"/>
          <w:szCs w:val="22"/>
        </w:rPr>
        <w:t xml:space="preserve"> à partenariat</w:t>
      </w:r>
      <w:r>
        <w:rPr>
          <w:rFonts w:eastAsia="Arial Unicode MS"/>
          <w:b/>
          <w:bCs/>
          <w:sz w:val="22"/>
          <w:szCs w:val="22"/>
        </w:rPr>
        <w:t>s</w:t>
      </w:r>
      <w:r w:rsidRPr="00B95702">
        <w:rPr>
          <w:rFonts w:eastAsia="Arial Unicode MS"/>
          <w:b/>
          <w:bCs/>
          <w:sz w:val="22"/>
          <w:szCs w:val="22"/>
        </w:rPr>
        <w:t xml:space="preserve"> est d'apporter un soutien financier </w:t>
      </w:r>
      <w:r>
        <w:rPr>
          <w:rFonts w:eastAsia="Arial Unicode MS"/>
          <w:b/>
          <w:bCs/>
          <w:sz w:val="22"/>
          <w:szCs w:val="22"/>
        </w:rPr>
        <w:t>à des initiatives locales, régionales et mondiales</w:t>
      </w:r>
      <w:r w:rsidR="00994266">
        <w:rPr>
          <w:rFonts w:eastAsia="Arial Unicode MS"/>
          <w:b/>
          <w:bCs/>
          <w:sz w:val="22"/>
          <w:szCs w:val="22"/>
        </w:rPr>
        <w:t xml:space="preserve"> qui</w:t>
      </w:r>
      <w:r w:rsidRPr="00B95702">
        <w:rPr>
          <w:rFonts w:eastAsia="Arial Unicode MS"/>
          <w:b/>
          <w:bCs/>
          <w:sz w:val="22"/>
          <w:szCs w:val="22"/>
        </w:rPr>
        <w:t xml:space="preserve">, conformément aux normes internationales, contribuent à </w:t>
      </w:r>
      <w:r w:rsidR="00C922F3">
        <w:rPr>
          <w:rFonts w:eastAsia="Arial Unicode MS"/>
          <w:b/>
          <w:bCs/>
          <w:sz w:val="22"/>
          <w:szCs w:val="22"/>
        </w:rPr>
        <w:t>la défense du</w:t>
      </w:r>
      <w:r w:rsidRPr="00B95702">
        <w:rPr>
          <w:rFonts w:eastAsia="Arial Unicode MS"/>
          <w:b/>
          <w:bCs/>
          <w:sz w:val="22"/>
          <w:szCs w:val="22"/>
        </w:rPr>
        <w:t xml:space="preserve"> journalisme environnemental en renforçant la protection juridique des journalistes environnementaux et/ou en réduisant l'impunité liée aux cas de violence, de menaces et d'attaques à leur encontre, en faisant progresser </w:t>
      </w:r>
      <w:r w:rsidRPr="0041527E">
        <w:rPr>
          <w:rFonts w:eastAsia="Arial Unicode MS"/>
          <w:b/>
          <w:bCs/>
          <w:sz w:val="22"/>
          <w:szCs w:val="22"/>
          <w:u w:val="single"/>
        </w:rPr>
        <w:t>au moins un</w:t>
      </w:r>
      <w:r w:rsidRPr="00B95702">
        <w:rPr>
          <w:rFonts w:eastAsia="Arial Unicode MS"/>
          <w:b/>
          <w:bCs/>
          <w:sz w:val="22"/>
          <w:szCs w:val="22"/>
        </w:rPr>
        <w:t xml:space="preserve"> des </w:t>
      </w:r>
      <w:r w:rsidR="0041527E">
        <w:rPr>
          <w:rFonts w:eastAsia="Arial Unicode MS"/>
          <w:b/>
          <w:bCs/>
          <w:sz w:val="22"/>
          <w:szCs w:val="22"/>
        </w:rPr>
        <w:t>R</w:t>
      </w:r>
      <w:r w:rsidRPr="00B95702">
        <w:rPr>
          <w:rFonts w:eastAsia="Arial Unicode MS"/>
          <w:b/>
          <w:bCs/>
          <w:sz w:val="22"/>
          <w:szCs w:val="22"/>
        </w:rPr>
        <w:t xml:space="preserve">ésultats suivants du </w:t>
      </w:r>
      <w:r w:rsidR="0041527E">
        <w:rPr>
          <w:rFonts w:eastAsia="Arial Unicode MS"/>
          <w:b/>
          <w:bCs/>
          <w:sz w:val="22"/>
          <w:szCs w:val="22"/>
        </w:rPr>
        <w:t>GMDF</w:t>
      </w:r>
      <w:r w:rsidRPr="00B95702">
        <w:rPr>
          <w:rFonts w:eastAsia="Arial Unicode MS"/>
          <w:b/>
          <w:bCs/>
          <w:sz w:val="22"/>
          <w:szCs w:val="22"/>
        </w:rPr>
        <w:t xml:space="preserve"> :</w:t>
      </w:r>
    </w:p>
    <w:p w14:paraId="62F8696B" w14:textId="29659050" w:rsidR="00104C6F" w:rsidRPr="00DE70AE" w:rsidRDefault="000B5263" w:rsidP="00104C6F">
      <w:pPr>
        <w:pStyle w:val="FCsubtitle"/>
        <w:rPr>
          <w:b/>
          <w:bCs/>
          <w:sz w:val="22"/>
          <w:szCs w:val="22"/>
          <w:lang w:val="fr-FR"/>
        </w:rPr>
      </w:pPr>
      <w:r w:rsidRPr="00DE70AE">
        <w:rPr>
          <w:b/>
          <w:bCs/>
          <w:sz w:val="22"/>
          <w:szCs w:val="22"/>
          <w:lang w:val="fr-FR"/>
        </w:rPr>
        <w:t>R</w:t>
      </w:r>
      <w:r w:rsidR="00847961" w:rsidRPr="00DE70AE">
        <w:rPr>
          <w:b/>
          <w:bCs/>
          <w:sz w:val="22"/>
          <w:szCs w:val="22"/>
          <w:lang w:val="fr-FR"/>
        </w:rPr>
        <w:t>É</w:t>
      </w:r>
      <w:r w:rsidRPr="00DE70AE">
        <w:rPr>
          <w:b/>
          <w:bCs/>
          <w:sz w:val="22"/>
          <w:szCs w:val="22"/>
          <w:lang w:val="fr-FR"/>
        </w:rPr>
        <w:t xml:space="preserve">SULTAT </w:t>
      </w:r>
      <w:r w:rsidR="00104C6F" w:rsidRPr="00DE70AE">
        <w:rPr>
          <w:b/>
          <w:bCs/>
          <w:sz w:val="22"/>
          <w:szCs w:val="22"/>
          <w:lang w:val="fr-FR"/>
        </w:rPr>
        <w:t>2</w:t>
      </w:r>
    </w:p>
    <w:p w14:paraId="2D2EB2CF" w14:textId="5A3E00B6" w:rsidR="00AE3C7E" w:rsidRDefault="00AE3C7E" w:rsidP="00104C6F">
      <w:pPr>
        <w:jc w:val="both"/>
        <w:rPr>
          <w:sz w:val="22"/>
          <w:szCs w:val="22"/>
        </w:rPr>
      </w:pPr>
      <w:r w:rsidRPr="00AE3C7E">
        <w:rPr>
          <w:sz w:val="22"/>
          <w:szCs w:val="22"/>
        </w:rPr>
        <w:t>Dans le cadre du Résultat 2</w:t>
      </w:r>
      <w:r w:rsidR="00104C6F" w:rsidRPr="00AE3C7E">
        <w:rPr>
          <w:sz w:val="22"/>
          <w:szCs w:val="22"/>
        </w:rPr>
        <w:t xml:space="preserve">, </w:t>
      </w:r>
      <w:r w:rsidRPr="00AE3C7E">
        <w:rPr>
          <w:sz w:val="22"/>
          <w:szCs w:val="22"/>
        </w:rPr>
        <w:t>le</w:t>
      </w:r>
      <w:r w:rsidR="00104C6F" w:rsidRPr="00AE3C7E">
        <w:rPr>
          <w:sz w:val="22"/>
          <w:szCs w:val="22"/>
        </w:rPr>
        <w:t xml:space="preserve"> GMDF</w:t>
      </w:r>
      <w:r>
        <w:rPr>
          <w:sz w:val="22"/>
          <w:szCs w:val="22"/>
        </w:rPr>
        <w:t xml:space="preserve"> cherche à soutenir des projets visant à assurer un accès rapide des journalistes environnementaux à une assistance juridique, </w:t>
      </w:r>
      <w:r w:rsidR="001B4BE7">
        <w:rPr>
          <w:sz w:val="22"/>
          <w:szCs w:val="22"/>
        </w:rPr>
        <w:t>renforcer leur défense et améliorer leur sécurité.</w:t>
      </w:r>
    </w:p>
    <w:p w14:paraId="12EC4801" w14:textId="51DD29AC" w:rsidR="00BB1E69" w:rsidRDefault="00BB1E69" w:rsidP="00104C6F">
      <w:pPr>
        <w:jc w:val="both"/>
        <w:rPr>
          <w:sz w:val="22"/>
          <w:szCs w:val="22"/>
        </w:rPr>
      </w:pPr>
      <w:r w:rsidRPr="00BB1E69">
        <w:rPr>
          <w:sz w:val="22"/>
          <w:szCs w:val="22"/>
        </w:rPr>
        <w:t>Les projets cherchant à faire progresser le Résultat 2 peuvent mettre en œuvre différentes activités, notam</w:t>
      </w:r>
      <w:r>
        <w:rPr>
          <w:sz w:val="22"/>
          <w:szCs w:val="22"/>
        </w:rPr>
        <w:t xml:space="preserve">ment </w:t>
      </w:r>
      <w:r w:rsidR="00FB288D" w:rsidRPr="00FB288D">
        <w:rPr>
          <w:sz w:val="22"/>
          <w:szCs w:val="22"/>
        </w:rPr>
        <w:t>(</w:t>
      </w:r>
      <w:r w:rsidR="00FB288D" w:rsidRPr="00FB288D">
        <w:rPr>
          <w:sz w:val="22"/>
          <w:szCs w:val="22"/>
          <w:u w:val="single"/>
        </w:rPr>
        <w:t>parmi d’autres activités</w:t>
      </w:r>
      <w:r w:rsidR="00FB288D" w:rsidRPr="00FB288D">
        <w:rPr>
          <w:sz w:val="22"/>
          <w:szCs w:val="22"/>
        </w:rPr>
        <w:t>) :</w:t>
      </w:r>
    </w:p>
    <w:p w14:paraId="6891B8A8" w14:textId="68CCDCBD" w:rsidR="003C6A77" w:rsidRDefault="00AD159A" w:rsidP="003C6A77">
      <w:pPr>
        <w:pStyle w:val="ListParagraph"/>
        <w:numPr>
          <w:ilvl w:val="0"/>
          <w:numId w:val="40"/>
        </w:numPr>
        <w:jc w:val="both"/>
        <w:rPr>
          <w:sz w:val="22"/>
          <w:szCs w:val="22"/>
        </w:rPr>
      </w:pPr>
      <w:r w:rsidRPr="00AD159A">
        <w:rPr>
          <w:sz w:val="22"/>
          <w:szCs w:val="22"/>
        </w:rPr>
        <w:t xml:space="preserve">Établir, rendre opérationnelles et/ou renforcer des mécanismes (des unités/cellules juridiques, des équipes de protection juridique, des lignes d’assistance juridique, des plateformes d’assistance numérique) qui assureront l’accès rapide à une assistance juridique rapide, spécialisée et sensible au genre (y compris des conseils juridiques, une </w:t>
      </w:r>
      <w:r w:rsidRPr="00AD159A">
        <w:rPr>
          <w:sz w:val="22"/>
          <w:szCs w:val="22"/>
        </w:rPr>
        <w:lastRenderedPageBreak/>
        <w:t xml:space="preserve">représentation juridique, etc.) aux journalistes et/ou aux médias confrontés à des attaques, des menaces, des restrictions ou des pressions excessives ou indues, et/ou des procédures judiciaires liées à </w:t>
      </w:r>
      <w:r w:rsidR="00D91AEA">
        <w:rPr>
          <w:sz w:val="22"/>
          <w:szCs w:val="22"/>
        </w:rPr>
        <w:t>leur couverture des questions environnementales ;</w:t>
      </w:r>
    </w:p>
    <w:p w14:paraId="479FEA3F" w14:textId="243D8320" w:rsidR="008F2C90" w:rsidRDefault="008F2C90" w:rsidP="003C6A77">
      <w:pPr>
        <w:pStyle w:val="ListParagraph"/>
        <w:numPr>
          <w:ilvl w:val="0"/>
          <w:numId w:val="40"/>
        </w:numPr>
        <w:jc w:val="both"/>
        <w:rPr>
          <w:sz w:val="22"/>
          <w:szCs w:val="22"/>
        </w:rPr>
      </w:pPr>
      <w:r w:rsidRPr="008F2C90">
        <w:rPr>
          <w:sz w:val="22"/>
          <w:szCs w:val="22"/>
        </w:rPr>
        <w:t>Promouvoir la création de réseaux durables d'avocats spécialisés dans le domaine de la liberté de</w:t>
      </w:r>
      <w:r>
        <w:rPr>
          <w:sz w:val="22"/>
          <w:szCs w:val="22"/>
        </w:rPr>
        <w:t xml:space="preserve"> la presse</w:t>
      </w:r>
      <w:r w:rsidRPr="008F2C90">
        <w:rPr>
          <w:sz w:val="22"/>
          <w:szCs w:val="22"/>
        </w:rPr>
        <w:t xml:space="preserve">, d'organisations d'aide juridique ou d'autres initiatives visant à améliorer l'accès des journalistes </w:t>
      </w:r>
      <w:r>
        <w:rPr>
          <w:sz w:val="22"/>
          <w:szCs w:val="22"/>
        </w:rPr>
        <w:t xml:space="preserve">environnementaux </w:t>
      </w:r>
      <w:r w:rsidRPr="008F2C90">
        <w:rPr>
          <w:sz w:val="22"/>
          <w:szCs w:val="22"/>
        </w:rPr>
        <w:t>à une assistance juridique spécialisée</w:t>
      </w:r>
      <w:r w:rsidR="00F931CC">
        <w:rPr>
          <w:sz w:val="22"/>
          <w:szCs w:val="22"/>
        </w:rPr>
        <w:t> ;</w:t>
      </w:r>
    </w:p>
    <w:p w14:paraId="462B4216" w14:textId="71FA568F" w:rsidR="00694129" w:rsidRDefault="00694129" w:rsidP="003C6A77">
      <w:pPr>
        <w:pStyle w:val="ListParagraph"/>
        <w:numPr>
          <w:ilvl w:val="0"/>
          <w:numId w:val="40"/>
        </w:numPr>
        <w:jc w:val="both"/>
        <w:rPr>
          <w:sz w:val="22"/>
          <w:szCs w:val="22"/>
        </w:rPr>
      </w:pPr>
      <w:r w:rsidRPr="00694129">
        <w:rPr>
          <w:sz w:val="22"/>
          <w:szCs w:val="22"/>
        </w:rPr>
        <w:t>Faciliter l'accès des journalistes</w:t>
      </w:r>
      <w:r>
        <w:rPr>
          <w:sz w:val="22"/>
          <w:szCs w:val="22"/>
        </w:rPr>
        <w:t xml:space="preserve"> environnementaux</w:t>
      </w:r>
      <w:r w:rsidRPr="00694129">
        <w:rPr>
          <w:sz w:val="22"/>
          <w:szCs w:val="22"/>
        </w:rPr>
        <w:t xml:space="preserve"> à des informations </w:t>
      </w:r>
      <w:r w:rsidR="00F2711A">
        <w:rPr>
          <w:sz w:val="22"/>
          <w:szCs w:val="22"/>
        </w:rPr>
        <w:t>vérifiées</w:t>
      </w:r>
      <w:r w:rsidRPr="00694129">
        <w:rPr>
          <w:sz w:val="22"/>
          <w:szCs w:val="22"/>
        </w:rPr>
        <w:t xml:space="preserve"> et pratiques pour renforcer leur protection juridique, en tenant compte de la nature </w:t>
      </w:r>
      <w:r w:rsidR="002E79AB">
        <w:rPr>
          <w:sz w:val="22"/>
          <w:szCs w:val="22"/>
        </w:rPr>
        <w:t>genre-</w:t>
      </w:r>
      <w:r w:rsidRPr="00694129">
        <w:rPr>
          <w:sz w:val="22"/>
          <w:szCs w:val="22"/>
        </w:rPr>
        <w:t>spécifique des menaces/attaques dont ils font l'objet</w:t>
      </w:r>
      <w:r w:rsidR="00F2711A">
        <w:rPr>
          <w:sz w:val="22"/>
          <w:szCs w:val="22"/>
        </w:rPr>
        <w:t xml:space="preserve">, ainsi que </w:t>
      </w:r>
      <w:r w:rsidRPr="00694129">
        <w:rPr>
          <w:sz w:val="22"/>
          <w:szCs w:val="22"/>
        </w:rPr>
        <w:t>de</w:t>
      </w:r>
      <w:r w:rsidR="005958FA">
        <w:rPr>
          <w:sz w:val="22"/>
          <w:szCs w:val="22"/>
        </w:rPr>
        <w:t>s particularités de leur</w:t>
      </w:r>
      <w:r w:rsidRPr="00694129">
        <w:rPr>
          <w:sz w:val="22"/>
          <w:szCs w:val="22"/>
        </w:rPr>
        <w:t xml:space="preserve"> environnement juridique et médiatique local</w:t>
      </w:r>
      <w:r w:rsidR="005958FA">
        <w:rPr>
          <w:sz w:val="22"/>
          <w:szCs w:val="22"/>
        </w:rPr>
        <w:t xml:space="preserve"> et des risques et défis spécifiques auxquels ils/elles sont confronté.es en raison de la nature sensible de leur travail</w:t>
      </w:r>
      <w:r w:rsidR="002E79AB">
        <w:rPr>
          <w:sz w:val="22"/>
          <w:szCs w:val="22"/>
        </w:rPr>
        <w:t> ;</w:t>
      </w:r>
    </w:p>
    <w:p w14:paraId="74699C5B" w14:textId="3D03DA00" w:rsidR="00DA4CC9" w:rsidRDefault="00DA4CC9" w:rsidP="003C6A77">
      <w:pPr>
        <w:pStyle w:val="ListParagraph"/>
        <w:numPr>
          <w:ilvl w:val="0"/>
          <w:numId w:val="40"/>
        </w:numPr>
        <w:jc w:val="both"/>
        <w:rPr>
          <w:sz w:val="22"/>
          <w:szCs w:val="22"/>
        </w:rPr>
      </w:pPr>
      <w:r w:rsidRPr="00DA4CC9">
        <w:rPr>
          <w:sz w:val="22"/>
          <w:szCs w:val="22"/>
        </w:rPr>
        <w:t>Mettre en place</w:t>
      </w:r>
      <w:r>
        <w:rPr>
          <w:sz w:val="22"/>
          <w:szCs w:val="22"/>
        </w:rPr>
        <w:t xml:space="preserve"> et</w:t>
      </w:r>
      <w:r w:rsidRPr="00DA4CC9">
        <w:rPr>
          <w:sz w:val="22"/>
          <w:szCs w:val="22"/>
        </w:rPr>
        <w:t xml:space="preserve"> rendre opérationnel un système d'alerte précoce pour identifier les journalistes</w:t>
      </w:r>
      <w:r>
        <w:rPr>
          <w:sz w:val="22"/>
          <w:szCs w:val="22"/>
        </w:rPr>
        <w:t xml:space="preserve"> environnementaux</w:t>
      </w:r>
      <w:r w:rsidRPr="00DA4CC9">
        <w:rPr>
          <w:sz w:val="22"/>
          <w:szCs w:val="22"/>
        </w:rPr>
        <w:t xml:space="preserve"> ayant besoin d'une défense juridique et alerter le pouvoir judiciaire et les forces de sécurité en charge de leur protection</w:t>
      </w:r>
      <w:r w:rsidR="00AC77C7">
        <w:rPr>
          <w:sz w:val="22"/>
          <w:szCs w:val="22"/>
        </w:rPr>
        <w:t xml:space="preserve"> </w:t>
      </w:r>
      <w:r w:rsidR="00AC77C7" w:rsidRPr="00AC77C7">
        <w:rPr>
          <w:sz w:val="22"/>
          <w:szCs w:val="22"/>
        </w:rPr>
        <w:t>es menaces/attaques dont ils</w:t>
      </w:r>
      <w:r w:rsidR="00AC77C7">
        <w:rPr>
          <w:sz w:val="22"/>
          <w:szCs w:val="22"/>
        </w:rPr>
        <w:t>/elles</w:t>
      </w:r>
      <w:r w:rsidR="00AC77C7" w:rsidRPr="00AC77C7">
        <w:rPr>
          <w:sz w:val="22"/>
          <w:szCs w:val="22"/>
        </w:rPr>
        <w:t xml:space="preserve"> font l'objet</w:t>
      </w:r>
      <w:r>
        <w:rPr>
          <w:sz w:val="22"/>
          <w:szCs w:val="22"/>
        </w:rPr>
        <w:t> ;</w:t>
      </w:r>
    </w:p>
    <w:p w14:paraId="0A5C6113" w14:textId="4778E31B" w:rsidR="00E72669" w:rsidRPr="003C6A77" w:rsidRDefault="00E72669" w:rsidP="003C6A77">
      <w:pPr>
        <w:pStyle w:val="ListParagraph"/>
        <w:numPr>
          <w:ilvl w:val="0"/>
          <w:numId w:val="40"/>
        </w:numPr>
        <w:jc w:val="both"/>
        <w:rPr>
          <w:sz w:val="22"/>
          <w:szCs w:val="22"/>
        </w:rPr>
      </w:pPr>
      <w:r w:rsidRPr="00E72669">
        <w:rPr>
          <w:sz w:val="22"/>
          <w:szCs w:val="22"/>
        </w:rPr>
        <w:t xml:space="preserve">Établir, rendre opérationnels et coordonner </w:t>
      </w:r>
      <w:r w:rsidR="000C26D4">
        <w:rPr>
          <w:sz w:val="22"/>
          <w:szCs w:val="22"/>
        </w:rPr>
        <w:t>d</w:t>
      </w:r>
      <w:r w:rsidRPr="00E72669">
        <w:rPr>
          <w:sz w:val="22"/>
          <w:szCs w:val="22"/>
        </w:rPr>
        <w:t xml:space="preserve">es réseaux de soutien par les pairs afin de mettre en relation les journalistes </w:t>
      </w:r>
      <w:r w:rsidR="00BD3124">
        <w:rPr>
          <w:sz w:val="22"/>
          <w:szCs w:val="22"/>
        </w:rPr>
        <w:t xml:space="preserve">environnementaux </w:t>
      </w:r>
      <w:r w:rsidRPr="00E72669">
        <w:rPr>
          <w:sz w:val="22"/>
          <w:szCs w:val="22"/>
        </w:rPr>
        <w:t>ayant besoin d'une protection juridique avec des organisations fournissant des services juridiques aux journalistes, de manière à renforcer efficacement la protection juridique de ces derniers.</w:t>
      </w:r>
    </w:p>
    <w:p w14:paraId="677BBECA" w14:textId="77777777" w:rsidR="00E84E8D" w:rsidRPr="000C26D4" w:rsidRDefault="00E84E8D" w:rsidP="00E84E8D">
      <w:pPr>
        <w:pStyle w:val="ListParagraph"/>
        <w:spacing w:line="259" w:lineRule="auto"/>
        <w:jc w:val="both"/>
        <w:rPr>
          <w:sz w:val="20"/>
          <w:szCs w:val="20"/>
        </w:rPr>
      </w:pPr>
    </w:p>
    <w:p w14:paraId="54DFD199" w14:textId="2ABD0A64" w:rsidR="00E72669" w:rsidRPr="00DE70AE" w:rsidRDefault="00E72669" w:rsidP="00E72669">
      <w:pPr>
        <w:pStyle w:val="FCsubtitle"/>
        <w:rPr>
          <w:b/>
          <w:bCs/>
          <w:sz w:val="22"/>
          <w:szCs w:val="22"/>
          <w:lang w:val="fr-FR"/>
        </w:rPr>
      </w:pPr>
      <w:r w:rsidRPr="00DE70AE">
        <w:rPr>
          <w:b/>
          <w:bCs/>
          <w:sz w:val="22"/>
          <w:szCs w:val="22"/>
          <w:lang w:val="fr-FR"/>
        </w:rPr>
        <w:t>RÉSULTAT 3</w:t>
      </w:r>
    </w:p>
    <w:p w14:paraId="78B5AE30" w14:textId="30738A7E" w:rsidR="00F5483F" w:rsidRDefault="00F5483F" w:rsidP="00E84E8D">
      <w:pPr>
        <w:jc w:val="both"/>
        <w:rPr>
          <w:sz w:val="22"/>
          <w:szCs w:val="22"/>
        </w:rPr>
      </w:pPr>
      <w:r w:rsidRPr="00F5483F">
        <w:rPr>
          <w:sz w:val="22"/>
          <w:szCs w:val="22"/>
        </w:rPr>
        <w:t xml:space="preserve">Dans le cadre du Résultat 3, le GMDF </w:t>
      </w:r>
      <w:r w:rsidR="00313393">
        <w:rPr>
          <w:sz w:val="22"/>
          <w:szCs w:val="22"/>
        </w:rPr>
        <w:t>cherche à soutenir</w:t>
      </w:r>
      <w:r w:rsidRPr="00F5483F">
        <w:rPr>
          <w:sz w:val="22"/>
          <w:szCs w:val="22"/>
        </w:rPr>
        <w:t xml:space="preserve"> le journalisme</w:t>
      </w:r>
      <w:r w:rsidR="006E3368">
        <w:rPr>
          <w:sz w:val="22"/>
          <w:szCs w:val="22"/>
        </w:rPr>
        <w:t xml:space="preserve"> d’investigation</w:t>
      </w:r>
      <w:r w:rsidRPr="00F5483F">
        <w:rPr>
          <w:sz w:val="22"/>
          <w:szCs w:val="22"/>
        </w:rPr>
        <w:t xml:space="preserve"> qui contribue à a) réduire l’impunité pour les crimes commis contre les journalistes </w:t>
      </w:r>
      <w:r w:rsidR="006E3368">
        <w:rPr>
          <w:sz w:val="22"/>
          <w:szCs w:val="22"/>
        </w:rPr>
        <w:t xml:space="preserve">environnementaux </w:t>
      </w:r>
      <w:r w:rsidRPr="00F5483F">
        <w:rPr>
          <w:sz w:val="22"/>
          <w:szCs w:val="22"/>
        </w:rPr>
        <w:t xml:space="preserve">; et b) à renforcer la sécurité de ceux </w:t>
      </w:r>
      <w:r w:rsidR="006E3368">
        <w:rPr>
          <w:sz w:val="22"/>
          <w:szCs w:val="22"/>
        </w:rPr>
        <w:t xml:space="preserve">et celles </w:t>
      </w:r>
      <w:r w:rsidRPr="00F5483F">
        <w:rPr>
          <w:sz w:val="22"/>
          <w:szCs w:val="22"/>
        </w:rPr>
        <w:t>qui travaillent dans ce domaine, en demandant des comptes au système judiciaire ou en poursuivant un travail d'investigation qui risque d'être censuré lorsque des journalistes sont attaqué</w:t>
      </w:r>
      <w:r w:rsidR="006E3368">
        <w:rPr>
          <w:sz w:val="22"/>
          <w:szCs w:val="22"/>
        </w:rPr>
        <w:t>.e</w:t>
      </w:r>
      <w:r w:rsidRPr="00F5483F">
        <w:rPr>
          <w:sz w:val="22"/>
          <w:szCs w:val="22"/>
        </w:rPr>
        <w:t>s, emprisonné</w:t>
      </w:r>
      <w:r w:rsidR="006E3368">
        <w:rPr>
          <w:sz w:val="22"/>
          <w:szCs w:val="22"/>
        </w:rPr>
        <w:t>.e</w:t>
      </w:r>
      <w:r w:rsidRPr="00F5483F">
        <w:rPr>
          <w:sz w:val="22"/>
          <w:szCs w:val="22"/>
        </w:rPr>
        <w:t>s ou assassiné</w:t>
      </w:r>
      <w:r w:rsidR="006E3368">
        <w:rPr>
          <w:sz w:val="22"/>
          <w:szCs w:val="22"/>
        </w:rPr>
        <w:t>.</w:t>
      </w:r>
      <w:r w:rsidR="00C34A4D">
        <w:rPr>
          <w:sz w:val="22"/>
          <w:szCs w:val="22"/>
        </w:rPr>
        <w:t>e</w:t>
      </w:r>
      <w:r w:rsidRPr="00F5483F">
        <w:rPr>
          <w:sz w:val="22"/>
          <w:szCs w:val="22"/>
        </w:rPr>
        <w:t>s.</w:t>
      </w:r>
    </w:p>
    <w:p w14:paraId="4652CDB5" w14:textId="3598C4C2" w:rsidR="00FB288D" w:rsidRPr="00F5483F" w:rsidRDefault="00FB288D" w:rsidP="00E84E8D">
      <w:pPr>
        <w:jc w:val="both"/>
        <w:rPr>
          <w:sz w:val="22"/>
          <w:szCs w:val="22"/>
        </w:rPr>
      </w:pPr>
      <w:r w:rsidRPr="00FB288D">
        <w:rPr>
          <w:sz w:val="22"/>
          <w:szCs w:val="22"/>
        </w:rPr>
        <w:t>Les projets cherchant à faire progresser le Résultat 3 peuvent mettre en œuvre différentes activités, notamment (</w:t>
      </w:r>
      <w:r w:rsidRPr="00FB288D">
        <w:rPr>
          <w:sz w:val="22"/>
          <w:szCs w:val="22"/>
          <w:u w:val="single"/>
        </w:rPr>
        <w:t>parmi d’autres activités</w:t>
      </w:r>
      <w:r w:rsidRPr="00FB288D">
        <w:rPr>
          <w:sz w:val="22"/>
          <w:szCs w:val="22"/>
        </w:rPr>
        <w:t>) :</w:t>
      </w:r>
    </w:p>
    <w:p w14:paraId="5C6C090D" w14:textId="11A37545" w:rsidR="00FB288D" w:rsidRPr="00EE09FF" w:rsidRDefault="00AE554D" w:rsidP="00E84E8D">
      <w:pPr>
        <w:pStyle w:val="ListParagraph"/>
        <w:numPr>
          <w:ilvl w:val="0"/>
          <w:numId w:val="6"/>
        </w:numPr>
        <w:spacing w:line="259" w:lineRule="auto"/>
        <w:jc w:val="both"/>
        <w:rPr>
          <w:b/>
          <w:bCs/>
          <w:sz w:val="22"/>
          <w:szCs w:val="22"/>
          <w:u w:val="single"/>
        </w:rPr>
      </w:pPr>
      <w:r w:rsidRPr="00AE554D">
        <w:rPr>
          <w:sz w:val="22"/>
          <w:szCs w:val="22"/>
        </w:rPr>
        <w:t xml:space="preserve">Mener des enquêtes journalistiques approfondies </w:t>
      </w:r>
      <w:r>
        <w:rPr>
          <w:sz w:val="22"/>
          <w:szCs w:val="22"/>
        </w:rPr>
        <w:t xml:space="preserve">sur des cas (spécifiques) de violence à l’encontre des journalistes environnementaux, </w:t>
      </w:r>
      <w:r w:rsidRPr="00AE554D">
        <w:rPr>
          <w:sz w:val="22"/>
          <w:szCs w:val="22"/>
        </w:rPr>
        <w:t xml:space="preserve">afin d'assurer un suivi judiciaire et de </w:t>
      </w:r>
      <w:r w:rsidR="00922F4C">
        <w:rPr>
          <w:sz w:val="22"/>
          <w:szCs w:val="22"/>
        </w:rPr>
        <w:t xml:space="preserve">demander des comptes </w:t>
      </w:r>
      <w:r w:rsidR="00070A66">
        <w:rPr>
          <w:sz w:val="22"/>
          <w:szCs w:val="22"/>
        </w:rPr>
        <w:t>aux auteurs et aux autorités compétentes</w:t>
      </w:r>
      <w:r w:rsidR="00475C03">
        <w:rPr>
          <w:sz w:val="22"/>
          <w:szCs w:val="22"/>
        </w:rPr>
        <w:t> ;</w:t>
      </w:r>
    </w:p>
    <w:p w14:paraId="30BB2070" w14:textId="7C15CF98" w:rsidR="00EE09FF" w:rsidRDefault="007C3C4B" w:rsidP="00E84E8D">
      <w:pPr>
        <w:pStyle w:val="ListParagraph"/>
        <w:numPr>
          <w:ilvl w:val="0"/>
          <w:numId w:val="6"/>
        </w:numPr>
        <w:spacing w:line="259" w:lineRule="auto"/>
        <w:jc w:val="both"/>
        <w:rPr>
          <w:sz w:val="22"/>
          <w:szCs w:val="22"/>
        </w:rPr>
      </w:pPr>
      <w:r w:rsidRPr="007C3C4B">
        <w:rPr>
          <w:sz w:val="22"/>
          <w:szCs w:val="22"/>
        </w:rPr>
        <w:t xml:space="preserve">Poursuivre </w:t>
      </w:r>
      <w:r>
        <w:rPr>
          <w:sz w:val="22"/>
          <w:szCs w:val="22"/>
        </w:rPr>
        <w:t>un</w:t>
      </w:r>
      <w:r w:rsidRPr="007C3C4B">
        <w:rPr>
          <w:sz w:val="22"/>
          <w:szCs w:val="22"/>
        </w:rPr>
        <w:t xml:space="preserve"> travail d'investigation qui risque d'être interrompu ou censuré lorsque des journalistes environnementaux sont attaqué</w:t>
      </w:r>
      <w:r>
        <w:rPr>
          <w:sz w:val="22"/>
          <w:szCs w:val="22"/>
        </w:rPr>
        <w:t>.e</w:t>
      </w:r>
      <w:r w:rsidRPr="007C3C4B">
        <w:rPr>
          <w:sz w:val="22"/>
          <w:szCs w:val="22"/>
        </w:rPr>
        <w:t>s, assassiné</w:t>
      </w:r>
      <w:r>
        <w:rPr>
          <w:sz w:val="22"/>
          <w:szCs w:val="22"/>
        </w:rPr>
        <w:t>.e</w:t>
      </w:r>
      <w:r w:rsidRPr="007C3C4B">
        <w:rPr>
          <w:sz w:val="22"/>
          <w:szCs w:val="22"/>
        </w:rPr>
        <w:t>s, menacé</w:t>
      </w:r>
      <w:r>
        <w:rPr>
          <w:sz w:val="22"/>
          <w:szCs w:val="22"/>
        </w:rPr>
        <w:t>.e</w:t>
      </w:r>
      <w:r w:rsidRPr="007C3C4B">
        <w:rPr>
          <w:sz w:val="22"/>
          <w:szCs w:val="22"/>
        </w:rPr>
        <w:t>s, emprisonné</w:t>
      </w:r>
      <w:r>
        <w:rPr>
          <w:sz w:val="22"/>
          <w:szCs w:val="22"/>
        </w:rPr>
        <w:t>.e</w:t>
      </w:r>
      <w:r w:rsidRPr="007C3C4B">
        <w:rPr>
          <w:sz w:val="22"/>
          <w:szCs w:val="22"/>
        </w:rPr>
        <w:t>s arbitrairement ou dissuadé</w:t>
      </w:r>
      <w:r w:rsidR="007342F5">
        <w:rPr>
          <w:sz w:val="22"/>
          <w:szCs w:val="22"/>
        </w:rPr>
        <w:t>.e</w:t>
      </w:r>
      <w:r w:rsidRPr="007C3C4B">
        <w:rPr>
          <w:sz w:val="22"/>
          <w:szCs w:val="22"/>
        </w:rPr>
        <w:t>s ou empêché</w:t>
      </w:r>
      <w:r w:rsidR="007342F5">
        <w:rPr>
          <w:sz w:val="22"/>
          <w:szCs w:val="22"/>
        </w:rPr>
        <w:t>.e</w:t>
      </w:r>
      <w:r w:rsidRPr="007C3C4B">
        <w:rPr>
          <w:sz w:val="22"/>
          <w:szCs w:val="22"/>
        </w:rPr>
        <w:t>s d'une autre manière de le poursuivre, de mettre ces histoires en lumière et de les diffuser largement ("projets Arizona") ;</w:t>
      </w:r>
    </w:p>
    <w:p w14:paraId="73E8B015" w14:textId="3320ED77" w:rsidR="00B461BC" w:rsidRDefault="00557FED" w:rsidP="00E84E8D">
      <w:pPr>
        <w:pStyle w:val="ListParagraph"/>
        <w:numPr>
          <w:ilvl w:val="0"/>
          <w:numId w:val="6"/>
        </w:numPr>
        <w:spacing w:line="259" w:lineRule="auto"/>
        <w:jc w:val="both"/>
        <w:rPr>
          <w:sz w:val="22"/>
          <w:szCs w:val="22"/>
        </w:rPr>
      </w:pPr>
      <w:r w:rsidRPr="00557FED">
        <w:rPr>
          <w:sz w:val="22"/>
          <w:szCs w:val="22"/>
        </w:rPr>
        <w:t xml:space="preserve">Mettre en place, rendre opérationnel et coordonner le travail de réseaux formels ou informels de journalistes d'investigation ou d'initiatives visant à enquêter sur les cas de violence, de menaces et d'attaques à l'encontre de journalistes </w:t>
      </w:r>
      <w:r>
        <w:rPr>
          <w:sz w:val="22"/>
          <w:szCs w:val="22"/>
        </w:rPr>
        <w:t>environnementaux</w:t>
      </w:r>
      <w:r w:rsidRPr="00557FED">
        <w:rPr>
          <w:sz w:val="22"/>
          <w:szCs w:val="22"/>
        </w:rPr>
        <w:t xml:space="preserve"> ;</w:t>
      </w:r>
    </w:p>
    <w:p w14:paraId="15147B53" w14:textId="12A2C5C2" w:rsidR="00F50500" w:rsidRPr="007C3C4B" w:rsidRDefault="00F50500" w:rsidP="00E84E8D">
      <w:pPr>
        <w:pStyle w:val="ListParagraph"/>
        <w:numPr>
          <w:ilvl w:val="0"/>
          <w:numId w:val="6"/>
        </w:numPr>
        <w:spacing w:line="259" w:lineRule="auto"/>
        <w:jc w:val="both"/>
        <w:rPr>
          <w:sz w:val="22"/>
          <w:szCs w:val="22"/>
        </w:rPr>
      </w:pPr>
      <w:r>
        <w:rPr>
          <w:sz w:val="22"/>
          <w:szCs w:val="22"/>
        </w:rPr>
        <w:t>Assurer le suivi, la documentation et la visibilité</w:t>
      </w:r>
      <w:r w:rsidRPr="00F50500">
        <w:rPr>
          <w:sz w:val="22"/>
          <w:szCs w:val="22"/>
        </w:rPr>
        <w:t xml:space="preserve"> </w:t>
      </w:r>
      <w:r>
        <w:rPr>
          <w:sz w:val="22"/>
          <w:szCs w:val="22"/>
        </w:rPr>
        <w:t>d</w:t>
      </w:r>
      <w:r w:rsidRPr="00F50500">
        <w:rPr>
          <w:sz w:val="22"/>
          <w:szCs w:val="22"/>
        </w:rPr>
        <w:t xml:space="preserve">es cas de menaces et/ou d'attaques </w:t>
      </w:r>
      <w:r w:rsidR="001D5591">
        <w:rPr>
          <w:sz w:val="22"/>
          <w:szCs w:val="22"/>
        </w:rPr>
        <w:t>à l’en</w:t>
      </w:r>
      <w:r w:rsidRPr="00F50500">
        <w:rPr>
          <w:sz w:val="22"/>
          <w:szCs w:val="22"/>
        </w:rPr>
        <w:t xml:space="preserve">contre les journalistes environnementaux, </w:t>
      </w:r>
      <w:r w:rsidR="00B57472">
        <w:rPr>
          <w:sz w:val="22"/>
          <w:szCs w:val="22"/>
        </w:rPr>
        <w:t>afin d’attirer</w:t>
      </w:r>
      <w:r w:rsidRPr="00F50500">
        <w:rPr>
          <w:sz w:val="22"/>
          <w:szCs w:val="22"/>
        </w:rPr>
        <w:t xml:space="preserve"> l'attention sur le travail </w:t>
      </w:r>
      <w:r w:rsidRPr="00F50500">
        <w:rPr>
          <w:sz w:val="22"/>
          <w:szCs w:val="22"/>
        </w:rPr>
        <w:lastRenderedPageBreak/>
        <w:t xml:space="preserve">d'investigation qui risque d'être interrompu ou censuré et </w:t>
      </w:r>
      <w:r w:rsidR="000A1CC8">
        <w:rPr>
          <w:sz w:val="22"/>
          <w:szCs w:val="22"/>
        </w:rPr>
        <w:t xml:space="preserve">de </w:t>
      </w:r>
      <w:r w:rsidRPr="00F50500">
        <w:rPr>
          <w:sz w:val="22"/>
          <w:szCs w:val="22"/>
        </w:rPr>
        <w:t>contribuer activement à assurer le suivi judiciaire et la responsabilité de ces cas.</w:t>
      </w:r>
    </w:p>
    <w:p w14:paraId="24107A56" w14:textId="77777777" w:rsidR="00996A9E" w:rsidRPr="00DE70AE" w:rsidRDefault="00996A9E" w:rsidP="00996A9E">
      <w:pPr>
        <w:pStyle w:val="ListParagraph"/>
        <w:spacing w:line="259" w:lineRule="auto"/>
        <w:jc w:val="both"/>
        <w:rPr>
          <w:sz w:val="22"/>
          <w:szCs w:val="22"/>
        </w:rPr>
      </w:pPr>
    </w:p>
    <w:p w14:paraId="0315CCD3" w14:textId="45EE3EB4" w:rsidR="004D4C36" w:rsidRPr="00DE70AE" w:rsidRDefault="004D4C36" w:rsidP="004D4C36">
      <w:pPr>
        <w:pStyle w:val="FCsubtitle"/>
        <w:rPr>
          <w:b/>
          <w:bCs/>
          <w:sz w:val="22"/>
          <w:szCs w:val="22"/>
          <w:lang w:val="fr-FR"/>
        </w:rPr>
      </w:pPr>
      <w:r w:rsidRPr="00DE70AE">
        <w:rPr>
          <w:b/>
          <w:bCs/>
          <w:sz w:val="22"/>
          <w:szCs w:val="22"/>
          <w:lang w:val="fr-FR"/>
        </w:rPr>
        <w:t>RÉSULTAT 4</w:t>
      </w:r>
    </w:p>
    <w:p w14:paraId="04E19C10" w14:textId="0D886B88" w:rsidR="00FB13C5" w:rsidRDefault="00313393" w:rsidP="00996A9E">
      <w:pPr>
        <w:jc w:val="both"/>
        <w:rPr>
          <w:sz w:val="22"/>
          <w:szCs w:val="22"/>
        </w:rPr>
      </w:pPr>
      <w:r w:rsidRPr="00313393">
        <w:rPr>
          <w:sz w:val="22"/>
          <w:szCs w:val="22"/>
        </w:rPr>
        <w:t xml:space="preserve">Dans le cadre du Résultat 4, le GMDF </w:t>
      </w:r>
      <w:r>
        <w:rPr>
          <w:sz w:val="22"/>
          <w:szCs w:val="22"/>
        </w:rPr>
        <w:t>à soutenir</w:t>
      </w:r>
      <w:r w:rsidRPr="00313393">
        <w:rPr>
          <w:sz w:val="22"/>
          <w:szCs w:val="22"/>
        </w:rPr>
        <w:t xml:space="preserve"> le contentieux stratégique avec le but </w:t>
      </w:r>
      <w:r w:rsidR="00C351A4">
        <w:rPr>
          <w:sz w:val="22"/>
          <w:szCs w:val="22"/>
        </w:rPr>
        <w:t>de renforcer la protection juridique des journalistes environnementaux.</w:t>
      </w:r>
    </w:p>
    <w:p w14:paraId="494D1895" w14:textId="58ED7772" w:rsidR="00693A11" w:rsidRPr="00313393" w:rsidRDefault="00693A11" w:rsidP="00996A9E">
      <w:pPr>
        <w:jc w:val="both"/>
        <w:rPr>
          <w:sz w:val="22"/>
          <w:szCs w:val="22"/>
        </w:rPr>
      </w:pPr>
      <w:r w:rsidRPr="00693A11">
        <w:rPr>
          <w:sz w:val="22"/>
          <w:szCs w:val="22"/>
        </w:rPr>
        <w:t>Le litige ou contentieux stratégique consiste à identifier et à poursuivre des affaires juridiques ayant un potentiel stratégique important devant des tribunaux nationaux, régionaux et/ou internationaux, dans le cadre d'une stratégie visant à promouvoir et à protéger la liberté d'expression et la liberté de</w:t>
      </w:r>
      <w:r w:rsidR="008E34AD">
        <w:rPr>
          <w:sz w:val="22"/>
          <w:szCs w:val="22"/>
        </w:rPr>
        <w:t xml:space="preserve"> la presse</w:t>
      </w:r>
      <w:r w:rsidR="00295E2E">
        <w:rPr>
          <w:sz w:val="22"/>
          <w:szCs w:val="22"/>
        </w:rPr>
        <w:t xml:space="preserve">, </w:t>
      </w:r>
      <w:r w:rsidR="00295E2E" w:rsidRPr="008E34AD">
        <w:rPr>
          <w:sz w:val="22"/>
          <w:szCs w:val="22"/>
        </w:rPr>
        <w:t>conformément aux normes internationales en matière de droits de l'homme</w:t>
      </w:r>
      <w:r w:rsidRPr="00693A11">
        <w:rPr>
          <w:sz w:val="22"/>
          <w:szCs w:val="22"/>
        </w:rPr>
        <w:t>. Il s'agit de sélectionner et de porter une affaire devant une cour de justice dont l'impact dépassera le cas individuel</w:t>
      </w:r>
      <w:r w:rsidR="00612231">
        <w:rPr>
          <w:sz w:val="22"/>
          <w:szCs w:val="22"/>
        </w:rPr>
        <w:t>, en contribuant à :</w:t>
      </w:r>
    </w:p>
    <w:p w14:paraId="4971D065" w14:textId="48D24DC2" w:rsidR="00B12277" w:rsidRPr="00B12277" w:rsidRDefault="00714E70" w:rsidP="00B12277">
      <w:pPr>
        <w:pStyle w:val="ListParagraph"/>
        <w:numPr>
          <w:ilvl w:val="0"/>
          <w:numId w:val="7"/>
        </w:numPr>
        <w:spacing w:line="259" w:lineRule="auto"/>
        <w:jc w:val="both"/>
        <w:rPr>
          <w:sz w:val="22"/>
          <w:szCs w:val="22"/>
        </w:rPr>
      </w:pPr>
      <w:r w:rsidRPr="00714E70">
        <w:rPr>
          <w:sz w:val="22"/>
          <w:szCs w:val="22"/>
        </w:rPr>
        <w:t xml:space="preserve">Développer une jurisprudence progressiste en contribuant à établir des précédents juridiques innovants liés aux défis clés et émergents de </w:t>
      </w:r>
      <w:r w:rsidR="007C5842">
        <w:rPr>
          <w:sz w:val="22"/>
          <w:szCs w:val="22"/>
        </w:rPr>
        <w:t xml:space="preserve">la </w:t>
      </w:r>
      <w:r w:rsidRPr="00714E70">
        <w:rPr>
          <w:sz w:val="22"/>
          <w:szCs w:val="22"/>
        </w:rPr>
        <w:t>sécurité des journalistes</w:t>
      </w:r>
      <w:r w:rsidR="007C5842">
        <w:rPr>
          <w:sz w:val="22"/>
          <w:szCs w:val="22"/>
        </w:rPr>
        <w:t xml:space="preserve"> environnementaux, </w:t>
      </w:r>
      <w:r w:rsidR="00B12277" w:rsidRPr="00B12277">
        <w:rPr>
          <w:sz w:val="22"/>
          <w:szCs w:val="22"/>
        </w:rPr>
        <w:t>conformément aux normes internationales en matière de droits de l'homme ;</w:t>
      </w:r>
    </w:p>
    <w:p w14:paraId="1FB0D86D" w14:textId="4F43B20E" w:rsidR="00B12277" w:rsidRDefault="00714E70" w:rsidP="00996A9E">
      <w:pPr>
        <w:pStyle w:val="ListParagraph"/>
        <w:numPr>
          <w:ilvl w:val="0"/>
          <w:numId w:val="7"/>
        </w:numPr>
        <w:spacing w:line="259" w:lineRule="auto"/>
        <w:jc w:val="both"/>
        <w:rPr>
          <w:sz w:val="22"/>
          <w:szCs w:val="22"/>
        </w:rPr>
      </w:pPr>
      <w:r w:rsidRPr="00714E70">
        <w:rPr>
          <w:sz w:val="22"/>
          <w:szCs w:val="22"/>
        </w:rPr>
        <w:t>Veiller à ce que la législation nationale et les normes internationales relatives aux droits de l'homme en matière de liberté d'expression et de sécurité des journalistes soient correctement interprétées et appliquées</w:t>
      </w:r>
      <w:r w:rsidR="00F842ED">
        <w:rPr>
          <w:sz w:val="22"/>
          <w:szCs w:val="22"/>
        </w:rPr>
        <w:t xml:space="preserve"> dans les affaires impliquant des journalistes environnementaux ;</w:t>
      </w:r>
    </w:p>
    <w:p w14:paraId="233F4C04" w14:textId="3238FABA" w:rsidR="00B12277" w:rsidRDefault="00714E70" w:rsidP="00996A9E">
      <w:pPr>
        <w:pStyle w:val="ListParagraph"/>
        <w:numPr>
          <w:ilvl w:val="0"/>
          <w:numId w:val="7"/>
        </w:numPr>
        <w:spacing w:line="259" w:lineRule="auto"/>
        <w:jc w:val="both"/>
        <w:rPr>
          <w:sz w:val="22"/>
          <w:szCs w:val="22"/>
        </w:rPr>
      </w:pPr>
      <w:r w:rsidRPr="00714E70">
        <w:rPr>
          <w:sz w:val="22"/>
          <w:szCs w:val="22"/>
        </w:rPr>
        <w:t>Promouvoir ou déclencher des réformes dans la législation, la politique et les pratiques institutionnelles nationales et régionales, conformément aux normes internationales en matière de droits de l'homme</w:t>
      </w:r>
      <w:r w:rsidR="00F343CD">
        <w:rPr>
          <w:sz w:val="22"/>
          <w:szCs w:val="22"/>
        </w:rPr>
        <w:t>, qui pourraient renforcer la protection des journalistes environnementaux ;</w:t>
      </w:r>
    </w:p>
    <w:p w14:paraId="5648C97B" w14:textId="5182826E" w:rsidR="00162E05" w:rsidRPr="007A0ACE" w:rsidRDefault="00714E70" w:rsidP="00162E05">
      <w:pPr>
        <w:pStyle w:val="ListParagraph"/>
        <w:numPr>
          <w:ilvl w:val="0"/>
          <w:numId w:val="7"/>
        </w:numPr>
        <w:spacing w:line="259" w:lineRule="auto"/>
        <w:jc w:val="both"/>
        <w:rPr>
          <w:sz w:val="22"/>
          <w:szCs w:val="22"/>
        </w:rPr>
      </w:pPr>
      <w:r w:rsidRPr="00714E70">
        <w:rPr>
          <w:sz w:val="22"/>
          <w:szCs w:val="22"/>
        </w:rPr>
        <w:t xml:space="preserve">Permettre aux journalistes et/ou aux médias victimes de menaces, d'attaques, de restrictions ou de pressions </w:t>
      </w:r>
      <w:r w:rsidR="00F3393B">
        <w:rPr>
          <w:sz w:val="22"/>
          <w:szCs w:val="22"/>
        </w:rPr>
        <w:t xml:space="preserve">en raison de leur couverture </w:t>
      </w:r>
      <w:r w:rsidR="007A0ACE">
        <w:rPr>
          <w:sz w:val="22"/>
          <w:szCs w:val="22"/>
        </w:rPr>
        <w:t>des questions environnementales</w:t>
      </w:r>
      <w:r w:rsidRPr="00714E70">
        <w:rPr>
          <w:sz w:val="22"/>
          <w:szCs w:val="22"/>
        </w:rPr>
        <w:t xml:space="preserve"> de demander réparation</w:t>
      </w:r>
      <w:r w:rsidR="007A0ACE">
        <w:rPr>
          <w:sz w:val="22"/>
          <w:szCs w:val="22"/>
        </w:rPr>
        <w:t xml:space="preserve">, </w:t>
      </w:r>
      <w:r w:rsidR="007A0ACE" w:rsidRPr="007A0ACE">
        <w:rPr>
          <w:sz w:val="22"/>
          <w:szCs w:val="22"/>
        </w:rPr>
        <w:t>conformément aux normes internationales en matière de droits de l'homme.</w:t>
      </w:r>
    </w:p>
    <w:p w14:paraId="6CD38DDD" w14:textId="1AC119B6" w:rsidR="00162E05" w:rsidRPr="00162E05" w:rsidRDefault="00162E05" w:rsidP="00162E05">
      <w:pPr>
        <w:spacing w:line="259" w:lineRule="auto"/>
        <w:jc w:val="both"/>
        <w:rPr>
          <w:sz w:val="22"/>
          <w:szCs w:val="22"/>
        </w:rPr>
      </w:pPr>
      <w:r w:rsidRPr="00162E05">
        <w:rPr>
          <w:sz w:val="22"/>
          <w:szCs w:val="22"/>
        </w:rPr>
        <w:t>Les projets cherchant à faire progresser le Résultat 4 peuvent mettre en œuvre différentes activités, notamment (</w:t>
      </w:r>
      <w:r w:rsidRPr="00162E05">
        <w:rPr>
          <w:sz w:val="22"/>
          <w:szCs w:val="22"/>
          <w:u w:val="single"/>
        </w:rPr>
        <w:t>parmi d’autres activités</w:t>
      </w:r>
      <w:r w:rsidRPr="00162E05">
        <w:rPr>
          <w:sz w:val="22"/>
          <w:szCs w:val="22"/>
        </w:rPr>
        <w:t>) :</w:t>
      </w:r>
    </w:p>
    <w:p w14:paraId="152F1979" w14:textId="59CFEBE8" w:rsidR="002A671F" w:rsidRDefault="00BC486B" w:rsidP="00614B82">
      <w:pPr>
        <w:pStyle w:val="ListParagraph"/>
        <w:numPr>
          <w:ilvl w:val="0"/>
          <w:numId w:val="9"/>
        </w:numPr>
        <w:jc w:val="both"/>
        <w:rPr>
          <w:sz w:val="22"/>
          <w:szCs w:val="22"/>
        </w:rPr>
      </w:pPr>
      <w:r w:rsidRPr="00BC486B">
        <w:rPr>
          <w:sz w:val="22"/>
          <w:szCs w:val="22"/>
        </w:rPr>
        <w:t>Identifier et poursuivre l'enquête, la poursuite et la sanction des violations contre les journalistes et/ou contre le droit à la liberté d'expression sur la base d'un contentieux stratégique devant des tribunaux nationaux et régionaux, ainsi que des organismes internationaux</w:t>
      </w:r>
      <w:r w:rsidR="000C3037">
        <w:rPr>
          <w:sz w:val="22"/>
          <w:szCs w:val="22"/>
        </w:rPr>
        <w:t>, dans le but d’atteindre les objectifs mentionnés ci-dessus (</w:t>
      </w:r>
      <w:r w:rsidR="007F2997">
        <w:rPr>
          <w:sz w:val="22"/>
          <w:szCs w:val="22"/>
        </w:rPr>
        <w:t>le développement</w:t>
      </w:r>
      <w:r w:rsidR="000C3037">
        <w:rPr>
          <w:sz w:val="22"/>
          <w:szCs w:val="22"/>
        </w:rPr>
        <w:t xml:space="preserve"> d’une jurisprudence progressiste, </w:t>
      </w:r>
      <w:r w:rsidR="007F2997">
        <w:rPr>
          <w:sz w:val="22"/>
          <w:szCs w:val="22"/>
        </w:rPr>
        <w:t>la promotion et déclenchement des réformes dans la législation, la politique et les pratiques institutionnelles, etc.) ;</w:t>
      </w:r>
    </w:p>
    <w:p w14:paraId="08E387FE" w14:textId="3A4B37B7" w:rsidR="00735ED9" w:rsidRDefault="00735ED9" w:rsidP="00614B82">
      <w:pPr>
        <w:pStyle w:val="ListParagraph"/>
        <w:numPr>
          <w:ilvl w:val="0"/>
          <w:numId w:val="9"/>
        </w:numPr>
        <w:jc w:val="both"/>
        <w:rPr>
          <w:sz w:val="22"/>
          <w:szCs w:val="22"/>
        </w:rPr>
      </w:pPr>
      <w:r w:rsidRPr="00BC486B">
        <w:rPr>
          <w:sz w:val="22"/>
          <w:szCs w:val="22"/>
        </w:rPr>
        <w:t xml:space="preserve">Recourir aux mécanismes des procédures spéciales de l'ONU pour intervenir dans des cas de violence </w:t>
      </w:r>
      <w:r w:rsidR="000231DF">
        <w:rPr>
          <w:sz w:val="22"/>
          <w:szCs w:val="22"/>
        </w:rPr>
        <w:t>à l’en</w:t>
      </w:r>
      <w:r w:rsidRPr="00BC486B">
        <w:rPr>
          <w:sz w:val="22"/>
          <w:szCs w:val="22"/>
        </w:rPr>
        <w:t xml:space="preserve">contre des journalistes </w:t>
      </w:r>
      <w:r w:rsidR="000231DF">
        <w:rPr>
          <w:sz w:val="22"/>
          <w:szCs w:val="22"/>
        </w:rPr>
        <w:t>environnementaux</w:t>
      </w:r>
      <w:r w:rsidR="00B149B2">
        <w:rPr>
          <w:sz w:val="22"/>
          <w:szCs w:val="22"/>
        </w:rPr>
        <w:t> ;</w:t>
      </w:r>
    </w:p>
    <w:p w14:paraId="7F532D7B" w14:textId="7C76AC6E" w:rsidR="001B2ADB" w:rsidRDefault="00735ED9" w:rsidP="00614B82">
      <w:pPr>
        <w:pStyle w:val="ListParagraph"/>
        <w:numPr>
          <w:ilvl w:val="0"/>
          <w:numId w:val="9"/>
        </w:numPr>
        <w:jc w:val="both"/>
        <w:rPr>
          <w:sz w:val="22"/>
          <w:szCs w:val="22"/>
        </w:rPr>
      </w:pPr>
      <w:r>
        <w:rPr>
          <w:sz w:val="22"/>
          <w:szCs w:val="22"/>
        </w:rPr>
        <w:t>P</w:t>
      </w:r>
      <w:r w:rsidR="00BC486B" w:rsidRPr="00BC486B">
        <w:rPr>
          <w:sz w:val="22"/>
          <w:szCs w:val="22"/>
        </w:rPr>
        <w:t>roduire</w:t>
      </w:r>
      <w:r w:rsidR="00B149B2">
        <w:rPr>
          <w:sz w:val="22"/>
          <w:szCs w:val="22"/>
        </w:rPr>
        <w:t xml:space="preserve"> et soumettre des</w:t>
      </w:r>
      <w:r w:rsidR="00BC486B" w:rsidRPr="00BC486B">
        <w:rPr>
          <w:sz w:val="22"/>
          <w:szCs w:val="22"/>
        </w:rPr>
        <w:t xml:space="preserve"> </w:t>
      </w:r>
      <w:r w:rsidR="001B2ADB">
        <w:rPr>
          <w:sz w:val="22"/>
          <w:szCs w:val="22"/>
        </w:rPr>
        <w:t xml:space="preserve">interventions </w:t>
      </w:r>
      <w:r w:rsidR="00BC486B" w:rsidRPr="00BC486B">
        <w:rPr>
          <w:sz w:val="22"/>
          <w:szCs w:val="22"/>
        </w:rPr>
        <w:t>d'</w:t>
      </w:r>
      <w:proofErr w:type="spellStart"/>
      <w:r w:rsidR="00BC486B" w:rsidRPr="00B149B2">
        <w:rPr>
          <w:i/>
          <w:iCs/>
          <w:sz w:val="22"/>
          <w:szCs w:val="22"/>
        </w:rPr>
        <w:t>amicus</w:t>
      </w:r>
      <w:proofErr w:type="spellEnd"/>
      <w:r w:rsidR="00BC486B" w:rsidRPr="00B149B2">
        <w:rPr>
          <w:i/>
          <w:iCs/>
          <w:sz w:val="22"/>
          <w:szCs w:val="22"/>
        </w:rPr>
        <w:t xml:space="preserve"> </w:t>
      </w:r>
      <w:proofErr w:type="spellStart"/>
      <w:r w:rsidR="00BC486B" w:rsidRPr="00B149B2">
        <w:rPr>
          <w:i/>
          <w:iCs/>
          <w:sz w:val="22"/>
          <w:szCs w:val="22"/>
        </w:rPr>
        <w:t>curiae</w:t>
      </w:r>
      <w:proofErr w:type="spellEnd"/>
      <w:r w:rsidR="00BC486B" w:rsidRPr="00BC486B">
        <w:rPr>
          <w:sz w:val="22"/>
          <w:szCs w:val="22"/>
        </w:rPr>
        <w:t xml:space="preserve"> dans le cadre </w:t>
      </w:r>
      <w:r w:rsidR="001B2ADB">
        <w:rPr>
          <w:sz w:val="22"/>
          <w:szCs w:val="22"/>
        </w:rPr>
        <w:t>des contentieux</w:t>
      </w:r>
      <w:r w:rsidR="00BC486B" w:rsidRPr="00BC486B">
        <w:rPr>
          <w:sz w:val="22"/>
          <w:szCs w:val="22"/>
        </w:rPr>
        <w:t xml:space="preserve"> stratégiques</w:t>
      </w:r>
      <w:r w:rsidR="001B2ADB">
        <w:rPr>
          <w:sz w:val="22"/>
          <w:szCs w:val="22"/>
        </w:rPr>
        <w:t xml:space="preserve"> concernant </w:t>
      </w:r>
      <w:r w:rsidR="00A438D8">
        <w:rPr>
          <w:sz w:val="22"/>
          <w:szCs w:val="22"/>
        </w:rPr>
        <w:t xml:space="preserve">des journalistes </w:t>
      </w:r>
      <w:r w:rsidR="00A438D8" w:rsidRPr="00A438D8">
        <w:rPr>
          <w:sz w:val="22"/>
          <w:szCs w:val="22"/>
        </w:rPr>
        <w:t xml:space="preserve">et/ou des médias confrontés à des menaces, des attaques, des restrictions indues ou excessives, ou des pressions pour </w:t>
      </w:r>
      <w:r w:rsidR="00A438D8">
        <w:rPr>
          <w:sz w:val="22"/>
          <w:szCs w:val="22"/>
        </w:rPr>
        <w:t xml:space="preserve">la couverture </w:t>
      </w:r>
      <w:r w:rsidR="00A438D8">
        <w:rPr>
          <w:sz w:val="22"/>
          <w:szCs w:val="22"/>
        </w:rPr>
        <w:lastRenderedPageBreak/>
        <w:t>des sujets environnementaux, c</w:t>
      </w:r>
      <w:r w:rsidR="00A438D8" w:rsidRPr="00A438D8">
        <w:rPr>
          <w:sz w:val="22"/>
          <w:szCs w:val="22"/>
        </w:rPr>
        <w:t>onformément aux normes internationales en matière de droits de l'homme ;</w:t>
      </w:r>
    </w:p>
    <w:p w14:paraId="5246F340" w14:textId="6C3A2DD1" w:rsidR="00A24A4D" w:rsidRPr="00163CBB" w:rsidRDefault="00BC486B" w:rsidP="00163CBB">
      <w:pPr>
        <w:pStyle w:val="ListParagraph"/>
        <w:numPr>
          <w:ilvl w:val="0"/>
          <w:numId w:val="9"/>
        </w:numPr>
        <w:jc w:val="both"/>
        <w:rPr>
          <w:sz w:val="22"/>
          <w:szCs w:val="22"/>
        </w:rPr>
      </w:pPr>
      <w:r w:rsidRPr="00BC486B">
        <w:rPr>
          <w:sz w:val="22"/>
          <w:szCs w:val="22"/>
        </w:rPr>
        <w:t xml:space="preserve">Permettre, promouvoir ou renforcer la collaboration juridique entre des experts locaux, régionaux et internationaux pour la fourniture de conseils juridiques spécialisés sur des affaires présentant un potentiel stratégique </w:t>
      </w:r>
      <w:r w:rsidR="009114A0">
        <w:rPr>
          <w:sz w:val="22"/>
          <w:szCs w:val="22"/>
        </w:rPr>
        <w:t>impliquant des journalistes</w:t>
      </w:r>
      <w:r w:rsidR="00A8363A">
        <w:rPr>
          <w:sz w:val="22"/>
          <w:szCs w:val="22"/>
        </w:rPr>
        <w:t xml:space="preserve"> </w:t>
      </w:r>
      <w:r w:rsidR="009114A0">
        <w:rPr>
          <w:sz w:val="22"/>
          <w:szCs w:val="22"/>
        </w:rPr>
        <w:t xml:space="preserve">environnementaux et le soutien à d’autres actions </w:t>
      </w:r>
      <w:r w:rsidR="00A8363A" w:rsidRPr="00A8363A">
        <w:rPr>
          <w:sz w:val="22"/>
          <w:szCs w:val="22"/>
        </w:rPr>
        <w:t>visant à sauvegarder le droit à la liberté d'expression et à la liberté de la presse.</w:t>
      </w:r>
    </w:p>
    <w:p w14:paraId="4A156EEF" w14:textId="0DADC63C" w:rsidR="001446C0" w:rsidRPr="0052365C" w:rsidRDefault="0055399E" w:rsidP="001446C0">
      <w:pPr>
        <w:jc w:val="both"/>
        <w:rPr>
          <w:rFonts w:eastAsiaTheme="minorHAnsi"/>
          <w:b/>
          <w:bCs/>
          <w:color w:val="FFFFFF" w:themeColor="background1"/>
          <w:kern w:val="0"/>
          <w:sz w:val="22"/>
          <w:szCs w:val="16"/>
          <w:shd w:val="clear" w:color="auto" w:fill="C5192D"/>
          <w:lang w:val="en-GB" w:eastAsia="en-US"/>
          <w14:ligatures w14:val="none"/>
        </w:rPr>
      </w:pPr>
      <w:r>
        <w:rPr>
          <w:rFonts w:eastAsiaTheme="minorHAnsi"/>
          <w:b/>
          <w:bCs/>
          <w:color w:val="FFFFFF" w:themeColor="background1"/>
          <w:kern w:val="0"/>
          <w:sz w:val="22"/>
          <w:szCs w:val="16"/>
          <w:shd w:val="clear" w:color="auto" w:fill="C5192D"/>
          <w:lang w:val="en-GB" w:eastAsia="en-US"/>
          <w14:ligatures w14:val="none"/>
        </w:rPr>
        <w:t xml:space="preserve">INFORMATIONS </w:t>
      </w:r>
      <w:proofErr w:type="gramStart"/>
      <w:r>
        <w:rPr>
          <w:rFonts w:eastAsiaTheme="minorHAnsi"/>
          <w:b/>
          <w:bCs/>
          <w:color w:val="FFFFFF" w:themeColor="background1"/>
          <w:kern w:val="0"/>
          <w:sz w:val="22"/>
          <w:szCs w:val="16"/>
          <w:shd w:val="clear" w:color="auto" w:fill="C5192D"/>
          <w:lang w:val="en-GB" w:eastAsia="en-US"/>
          <w14:ligatures w14:val="none"/>
        </w:rPr>
        <w:t xml:space="preserve">IMPORTANTES </w:t>
      </w:r>
      <w:r w:rsidR="001446C0" w:rsidRPr="0052365C">
        <w:rPr>
          <w:rFonts w:eastAsiaTheme="minorHAnsi"/>
          <w:b/>
          <w:bCs/>
          <w:color w:val="FFFFFF" w:themeColor="background1"/>
          <w:kern w:val="0"/>
          <w:sz w:val="22"/>
          <w:szCs w:val="16"/>
          <w:shd w:val="clear" w:color="auto" w:fill="C5192D"/>
          <w:lang w:val="en-GB" w:eastAsia="en-US"/>
          <w14:ligatures w14:val="none"/>
        </w:rPr>
        <w:t>:</w:t>
      </w:r>
      <w:proofErr w:type="gramEnd"/>
    </w:p>
    <w:p w14:paraId="25E00515" w14:textId="05D48750" w:rsidR="006E23E6" w:rsidRDefault="006E23E6" w:rsidP="001446C0">
      <w:pPr>
        <w:pStyle w:val="ListParagraph"/>
        <w:numPr>
          <w:ilvl w:val="0"/>
          <w:numId w:val="11"/>
        </w:numPr>
        <w:jc w:val="both"/>
        <w:rPr>
          <w:sz w:val="22"/>
          <w:szCs w:val="22"/>
        </w:rPr>
      </w:pPr>
      <w:r w:rsidRPr="006E632F">
        <w:rPr>
          <w:sz w:val="22"/>
          <w:szCs w:val="22"/>
        </w:rPr>
        <w:t xml:space="preserve">Tous les projets doivent contribuer directement à l'avancement d'au moins un des résultats couverts par cet </w:t>
      </w:r>
      <w:r w:rsidR="006E632F">
        <w:rPr>
          <w:sz w:val="22"/>
          <w:szCs w:val="22"/>
        </w:rPr>
        <w:t>A</w:t>
      </w:r>
      <w:r w:rsidRPr="006E632F">
        <w:rPr>
          <w:sz w:val="22"/>
          <w:szCs w:val="22"/>
        </w:rPr>
        <w:t xml:space="preserve">ppel </w:t>
      </w:r>
      <w:r w:rsidR="006E632F">
        <w:rPr>
          <w:sz w:val="22"/>
          <w:szCs w:val="22"/>
        </w:rPr>
        <w:t>R</w:t>
      </w:r>
      <w:r w:rsidRPr="006E632F">
        <w:rPr>
          <w:sz w:val="22"/>
          <w:szCs w:val="22"/>
        </w:rPr>
        <w:t xml:space="preserve">ésultat 2, </w:t>
      </w:r>
      <w:r w:rsidR="006E632F">
        <w:rPr>
          <w:sz w:val="22"/>
          <w:szCs w:val="22"/>
        </w:rPr>
        <w:t>R</w:t>
      </w:r>
      <w:r w:rsidRPr="006E632F">
        <w:rPr>
          <w:sz w:val="22"/>
          <w:szCs w:val="22"/>
        </w:rPr>
        <w:t xml:space="preserve">ésultat 3, </w:t>
      </w:r>
      <w:r w:rsidR="006E632F">
        <w:rPr>
          <w:sz w:val="22"/>
          <w:szCs w:val="22"/>
        </w:rPr>
        <w:t>R</w:t>
      </w:r>
      <w:r w:rsidRPr="006E632F">
        <w:rPr>
          <w:sz w:val="22"/>
          <w:szCs w:val="22"/>
        </w:rPr>
        <w:t>ésultat 4)</w:t>
      </w:r>
      <w:r w:rsidR="006E632F">
        <w:rPr>
          <w:sz w:val="22"/>
          <w:szCs w:val="22"/>
        </w:rPr>
        <w:t> ;</w:t>
      </w:r>
    </w:p>
    <w:p w14:paraId="1E68479B" w14:textId="4116CAF4" w:rsidR="006E632F" w:rsidRDefault="006E632F" w:rsidP="001446C0">
      <w:pPr>
        <w:pStyle w:val="ListParagraph"/>
        <w:numPr>
          <w:ilvl w:val="0"/>
          <w:numId w:val="11"/>
        </w:numPr>
        <w:jc w:val="both"/>
        <w:rPr>
          <w:sz w:val="22"/>
          <w:szCs w:val="22"/>
        </w:rPr>
      </w:pPr>
      <w:r w:rsidRPr="006E632F">
        <w:rPr>
          <w:sz w:val="22"/>
          <w:szCs w:val="22"/>
        </w:rPr>
        <w:t xml:space="preserve">Le Résultat 1 du Fonds </w:t>
      </w:r>
      <w:r w:rsidRPr="006E632F">
        <w:rPr>
          <w:sz w:val="22"/>
          <w:szCs w:val="22"/>
          <w:u w:val="single"/>
        </w:rPr>
        <w:t>n’est PAS</w:t>
      </w:r>
      <w:r w:rsidRPr="006E632F">
        <w:rPr>
          <w:sz w:val="22"/>
          <w:szCs w:val="22"/>
        </w:rPr>
        <w:t xml:space="preserve"> visé par cet Appel à </w:t>
      </w:r>
      <w:r>
        <w:rPr>
          <w:sz w:val="22"/>
          <w:szCs w:val="22"/>
        </w:rPr>
        <w:t>p</w:t>
      </w:r>
      <w:r w:rsidRPr="006E632F">
        <w:rPr>
          <w:sz w:val="22"/>
          <w:szCs w:val="22"/>
        </w:rPr>
        <w:t>artenariats</w:t>
      </w:r>
      <w:r>
        <w:rPr>
          <w:sz w:val="22"/>
          <w:szCs w:val="22"/>
        </w:rPr>
        <w:t> ;</w:t>
      </w:r>
    </w:p>
    <w:p w14:paraId="5B689CEA" w14:textId="6C84223B" w:rsidR="006E632F" w:rsidRDefault="00152BCC" w:rsidP="001446C0">
      <w:pPr>
        <w:pStyle w:val="ListParagraph"/>
        <w:numPr>
          <w:ilvl w:val="0"/>
          <w:numId w:val="11"/>
        </w:numPr>
        <w:jc w:val="both"/>
        <w:rPr>
          <w:sz w:val="22"/>
          <w:szCs w:val="22"/>
        </w:rPr>
      </w:pPr>
      <w:r w:rsidRPr="00152BCC">
        <w:rPr>
          <w:sz w:val="22"/>
          <w:szCs w:val="22"/>
        </w:rPr>
        <w:t xml:space="preserve">La proposition de partenariat doit </w:t>
      </w:r>
      <w:r w:rsidR="00CC4AC2">
        <w:rPr>
          <w:sz w:val="22"/>
          <w:szCs w:val="22"/>
        </w:rPr>
        <w:t>se conformer</w:t>
      </w:r>
      <w:r w:rsidRPr="00152BCC">
        <w:rPr>
          <w:sz w:val="22"/>
          <w:szCs w:val="22"/>
        </w:rPr>
        <w:t xml:space="preserve"> </w:t>
      </w:r>
      <w:r w:rsidR="00CC4AC2">
        <w:rPr>
          <w:sz w:val="22"/>
          <w:szCs w:val="22"/>
        </w:rPr>
        <w:t xml:space="preserve">à </w:t>
      </w:r>
      <w:r w:rsidRPr="00152BCC">
        <w:rPr>
          <w:sz w:val="22"/>
          <w:szCs w:val="22"/>
        </w:rPr>
        <w:t xml:space="preserve">l'axe thématique de cet </w:t>
      </w:r>
      <w:r>
        <w:rPr>
          <w:sz w:val="22"/>
          <w:szCs w:val="22"/>
        </w:rPr>
        <w:t>A</w:t>
      </w:r>
      <w:r w:rsidRPr="00152BCC">
        <w:rPr>
          <w:sz w:val="22"/>
          <w:szCs w:val="22"/>
        </w:rPr>
        <w:t>ppel à partenariats (renforcer la protection juridique des journalistes environnementaux et/ou réduire l'impunité liée aux cas de violence, de menaces et d'attaques à leur encontre) ;</w:t>
      </w:r>
    </w:p>
    <w:p w14:paraId="5D9E4F33" w14:textId="23082067" w:rsidR="00940E60" w:rsidRPr="006E632F" w:rsidRDefault="00940E60" w:rsidP="001446C0">
      <w:pPr>
        <w:pStyle w:val="ListParagraph"/>
        <w:numPr>
          <w:ilvl w:val="0"/>
          <w:numId w:val="11"/>
        </w:numPr>
        <w:jc w:val="both"/>
        <w:rPr>
          <w:sz w:val="22"/>
          <w:szCs w:val="22"/>
        </w:rPr>
      </w:pPr>
      <w:r w:rsidRPr="00940E60">
        <w:rPr>
          <w:sz w:val="22"/>
          <w:szCs w:val="22"/>
        </w:rPr>
        <w:t xml:space="preserve">Les activités de plaidoyer et de sensibilisation ne sont pas une priorité dans le cadre du </w:t>
      </w:r>
      <w:r>
        <w:rPr>
          <w:sz w:val="22"/>
          <w:szCs w:val="22"/>
        </w:rPr>
        <w:t>GMDF</w:t>
      </w:r>
      <w:r w:rsidRPr="00940E60">
        <w:rPr>
          <w:sz w:val="22"/>
          <w:szCs w:val="22"/>
        </w:rPr>
        <w:t>, mais peuvent (seulement) être soutenues en tant qu'activités complémentaires à l'action principale ou dans le cadre de la stratégie de communication et de visibilité d'un projet.</w:t>
      </w:r>
    </w:p>
    <w:p w14:paraId="7597E634" w14:textId="5B5BAED3" w:rsidR="00A7451A" w:rsidRPr="008423CA" w:rsidRDefault="00A7451A" w:rsidP="00A7451A">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423CA">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00915EFE" w:rsidRPr="008423CA">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8423CA">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 </w:t>
      </w:r>
      <w:r w:rsidR="008423CA" w:rsidRPr="008423CA">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CRITÈRES D’ADMISSIBILITÉ ET D’ÉLIGIBILITÉ</w:t>
      </w:r>
    </w:p>
    <w:p w14:paraId="630FC68C" w14:textId="3FA79964" w:rsidR="003C1B5B" w:rsidRPr="003C1B5B" w:rsidRDefault="003C1B5B" w:rsidP="00A81733">
      <w:pPr>
        <w:jc w:val="both"/>
        <w:rPr>
          <w:b/>
          <w:bCs/>
          <w:sz w:val="22"/>
          <w:szCs w:val="20"/>
        </w:rPr>
      </w:pPr>
      <w:r w:rsidRPr="003C1B5B">
        <w:rPr>
          <w:b/>
          <w:bCs/>
          <w:sz w:val="22"/>
          <w:szCs w:val="20"/>
        </w:rPr>
        <w:t xml:space="preserve">Seules les soumissions conformes aux critères </w:t>
      </w:r>
      <w:r>
        <w:rPr>
          <w:b/>
          <w:bCs/>
          <w:sz w:val="22"/>
          <w:szCs w:val="20"/>
        </w:rPr>
        <w:t>d’admissibilité</w:t>
      </w:r>
      <w:r w:rsidRPr="003C1B5B">
        <w:rPr>
          <w:b/>
          <w:bCs/>
          <w:sz w:val="22"/>
          <w:szCs w:val="20"/>
        </w:rPr>
        <w:t xml:space="preserve"> et d'éligibilité feront l'objet d'une évaluation approfondie.</w:t>
      </w:r>
    </w:p>
    <w:p w14:paraId="0EC19CB6" w14:textId="159DD562" w:rsidR="00A81733" w:rsidRPr="00DE70AE" w:rsidRDefault="00A81733" w:rsidP="00A81733">
      <w:pPr>
        <w:jc w:val="both"/>
        <w:rPr>
          <w:b/>
          <w:bCs/>
          <w:sz w:val="22"/>
          <w:szCs w:val="22"/>
        </w:rPr>
      </w:pPr>
      <w:r w:rsidRPr="00DE70AE">
        <w:rPr>
          <w:b/>
          <w:bCs/>
          <w:sz w:val="22"/>
          <w:szCs w:val="22"/>
          <w:highlight w:val="lightGray"/>
        </w:rPr>
        <w:t>3.1.</w:t>
      </w:r>
      <w:r w:rsidRPr="00DE70AE">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4639BB" w:rsidRPr="00DE70AE">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ADMISSIBILITÉ</w:t>
      </w:r>
    </w:p>
    <w:p w14:paraId="27E6CB37" w14:textId="77777777" w:rsidR="00375D14" w:rsidRDefault="00375D14" w:rsidP="00A81733">
      <w:pPr>
        <w:jc w:val="both"/>
        <w:rPr>
          <w:sz w:val="22"/>
          <w:szCs w:val="22"/>
        </w:rPr>
      </w:pPr>
      <w:r w:rsidRPr="00375D14">
        <w:rPr>
          <w:sz w:val="22"/>
          <w:szCs w:val="22"/>
        </w:rPr>
        <w:t xml:space="preserve">Les conditions d'admissibilité sont les suivantes : </w:t>
      </w:r>
    </w:p>
    <w:p w14:paraId="6BA8BEB3" w14:textId="0502FF48" w:rsidR="003F1A3F" w:rsidRDefault="00375D14" w:rsidP="003F1A3F">
      <w:pPr>
        <w:pStyle w:val="ListParagraph"/>
        <w:numPr>
          <w:ilvl w:val="0"/>
          <w:numId w:val="41"/>
        </w:numPr>
        <w:jc w:val="both"/>
        <w:rPr>
          <w:sz w:val="22"/>
          <w:szCs w:val="22"/>
        </w:rPr>
      </w:pPr>
      <w:r w:rsidRPr="00375D14">
        <w:rPr>
          <w:sz w:val="22"/>
          <w:szCs w:val="22"/>
        </w:rPr>
        <w:t>La proposition de partenariat (</w:t>
      </w:r>
      <w:r>
        <w:rPr>
          <w:sz w:val="22"/>
          <w:szCs w:val="22"/>
        </w:rPr>
        <w:t>F</w:t>
      </w:r>
      <w:r w:rsidRPr="00375D14">
        <w:rPr>
          <w:sz w:val="22"/>
          <w:szCs w:val="22"/>
        </w:rPr>
        <w:t xml:space="preserve">ormulaire de candidature et </w:t>
      </w:r>
      <w:r>
        <w:rPr>
          <w:sz w:val="22"/>
          <w:szCs w:val="22"/>
        </w:rPr>
        <w:t>B</w:t>
      </w:r>
      <w:r w:rsidRPr="00375D14">
        <w:rPr>
          <w:sz w:val="22"/>
          <w:szCs w:val="22"/>
        </w:rPr>
        <w:t xml:space="preserve">udget) et les documents justificatifs doivent être soumis </w:t>
      </w:r>
      <w:r w:rsidRPr="003F1A3F">
        <w:rPr>
          <w:b/>
          <w:bCs/>
          <w:sz w:val="22"/>
          <w:szCs w:val="22"/>
        </w:rPr>
        <w:t xml:space="preserve">par </w:t>
      </w:r>
      <w:proofErr w:type="gramStart"/>
      <w:r w:rsidRPr="003F1A3F">
        <w:rPr>
          <w:b/>
          <w:bCs/>
          <w:sz w:val="22"/>
          <w:szCs w:val="22"/>
        </w:rPr>
        <w:t>e-mail</w:t>
      </w:r>
      <w:proofErr w:type="gramEnd"/>
      <w:r w:rsidRPr="00375D14">
        <w:rPr>
          <w:sz w:val="22"/>
          <w:szCs w:val="22"/>
        </w:rPr>
        <w:t xml:space="preserve"> à </w:t>
      </w:r>
      <w:hyperlink r:id="rId16" w:history="1">
        <w:r w:rsidR="003F1A3F" w:rsidRPr="00417565">
          <w:rPr>
            <w:rStyle w:val="Hyperlink"/>
            <w:sz w:val="22"/>
            <w:szCs w:val="22"/>
          </w:rPr>
          <w:t>gmdf@unesco.org</w:t>
        </w:r>
      </w:hyperlink>
      <w:r w:rsidRPr="003F1A3F">
        <w:rPr>
          <w:sz w:val="22"/>
          <w:szCs w:val="22"/>
        </w:rPr>
        <w:t xml:space="preserve"> avant la </w:t>
      </w:r>
      <w:r w:rsidRPr="003F1A3F">
        <w:rPr>
          <w:b/>
          <w:bCs/>
          <w:sz w:val="22"/>
          <w:szCs w:val="22"/>
        </w:rPr>
        <w:t>date butoir de</w:t>
      </w:r>
      <w:r w:rsidRPr="003F1A3F">
        <w:rPr>
          <w:sz w:val="22"/>
          <w:szCs w:val="22"/>
        </w:rPr>
        <w:t xml:space="preserve"> cet Appel</w:t>
      </w:r>
      <w:r w:rsidR="003F1A3F">
        <w:rPr>
          <w:sz w:val="22"/>
          <w:szCs w:val="22"/>
        </w:rPr>
        <w:t xml:space="preserve"> (le vendredi </w:t>
      </w:r>
      <w:r w:rsidR="006F191A">
        <w:rPr>
          <w:sz w:val="22"/>
          <w:szCs w:val="22"/>
        </w:rPr>
        <w:t xml:space="preserve">18 </w:t>
      </w:r>
      <w:r w:rsidR="003F1A3F">
        <w:rPr>
          <w:sz w:val="22"/>
          <w:szCs w:val="22"/>
        </w:rPr>
        <w:t xml:space="preserve">octobre 2024, 23h59 </w:t>
      </w:r>
      <w:r w:rsidR="00F01F04">
        <w:rPr>
          <w:sz w:val="22"/>
          <w:szCs w:val="22"/>
        </w:rPr>
        <w:t>GMT+2) ;</w:t>
      </w:r>
    </w:p>
    <w:p w14:paraId="36B96BE4" w14:textId="0088BE0B" w:rsidR="007942FD" w:rsidRDefault="00375D14" w:rsidP="003F1A3F">
      <w:pPr>
        <w:pStyle w:val="ListParagraph"/>
        <w:numPr>
          <w:ilvl w:val="0"/>
          <w:numId w:val="41"/>
        </w:numPr>
        <w:jc w:val="both"/>
        <w:rPr>
          <w:sz w:val="22"/>
          <w:szCs w:val="22"/>
        </w:rPr>
      </w:pPr>
      <w:r w:rsidRPr="003F1A3F">
        <w:rPr>
          <w:sz w:val="22"/>
          <w:szCs w:val="22"/>
        </w:rPr>
        <w:t xml:space="preserve">La proposition doit être </w:t>
      </w:r>
      <w:r w:rsidRPr="007942FD">
        <w:rPr>
          <w:b/>
          <w:bCs/>
          <w:sz w:val="22"/>
          <w:szCs w:val="22"/>
        </w:rPr>
        <w:t>complète et soumise dans le bon format</w:t>
      </w:r>
      <w:r w:rsidRPr="003F1A3F">
        <w:rPr>
          <w:sz w:val="22"/>
          <w:szCs w:val="22"/>
        </w:rPr>
        <w:t xml:space="preserve"> (voir les formulaires, les documents et le format requis dans la section VII ci-dessous)</w:t>
      </w:r>
      <w:r w:rsidR="007942FD">
        <w:rPr>
          <w:sz w:val="22"/>
          <w:szCs w:val="22"/>
        </w:rPr>
        <w:t xml:space="preserve"> ;</w:t>
      </w:r>
    </w:p>
    <w:p w14:paraId="761E6827" w14:textId="29996297" w:rsidR="00A81733" w:rsidRPr="007942FD" w:rsidRDefault="00375D14" w:rsidP="007942FD">
      <w:pPr>
        <w:pStyle w:val="ListParagraph"/>
        <w:numPr>
          <w:ilvl w:val="0"/>
          <w:numId w:val="41"/>
        </w:numPr>
        <w:jc w:val="both"/>
        <w:rPr>
          <w:sz w:val="22"/>
          <w:szCs w:val="22"/>
        </w:rPr>
      </w:pPr>
      <w:r w:rsidRPr="003F1A3F">
        <w:rPr>
          <w:sz w:val="22"/>
          <w:szCs w:val="22"/>
        </w:rPr>
        <w:t xml:space="preserve">La proposition et les </w:t>
      </w:r>
      <w:r w:rsidR="007942FD">
        <w:rPr>
          <w:sz w:val="22"/>
          <w:szCs w:val="22"/>
        </w:rPr>
        <w:t>documents</w:t>
      </w:r>
      <w:r w:rsidRPr="003F1A3F">
        <w:rPr>
          <w:sz w:val="22"/>
          <w:szCs w:val="22"/>
        </w:rPr>
        <w:t xml:space="preserve"> justificati</w:t>
      </w:r>
      <w:r w:rsidR="007942FD">
        <w:rPr>
          <w:sz w:val="22"/>
          <w:szCs w:val="22"/>
        </w:rPr>
        <w:t>f</w:t>
      </w:r>
      <w:r w:rsidRPr="003F1A3F">
        <w:rPr>
          <w:sz w:val="22"/>
          <w:szCs w:val="22"/>
        </w:rPr>
        <w:t xml:space="preserve">s doivent </w:t>
      </w:r>
      <w:r w:rsidRPr="007942FD">
        <w:rPr>
          <w:b/>
          <w:bCs/>
          <w:sz w:val="22"/>
          <w:szCs w:val="22"/>
        </w:rPr>
        <w:t>être signée</w:t>
      </w:r>
      <w:r w:rsidR="007942FD" w:rsidRPr="007942FD">
        <w:rPr>
          <w:b/>
          <w:bCs/>
          <w:sz w:val="22"/>
          <w:szCs w:val="22"/>
        </w:rPr>
        <w:t xml:space="preserve"> et</w:t>
      </w:r>
      <w:r w:rsidRPr="007942FD">
        <w:rPr>
          <w:b/>
          <w:bCs/>
          <w:sz w:val="22"/>
          <w:szCs w:val="22"/>
        </w:rPr>
        <w:t xml:space="preserve"> datés, le cas échéant,</w:t>
      </w:r>
      <w:r w:rsidRPr="003F1A3F">
        <w:rPr>
          <w:sz w:val="22"/>
          <w:szCs w:val="22"/>
        </w:rPr>
        <w:t xml:space="preserve"> par le représentant autorisé du candidat.</w:t>
      </w:r>
    </w:p>
    <w:p w14:paraId="2DA9A08B" w14:textId="77777777" w:rsidR="00473AF0" w:rsidRPr="00DE70AE" w:rsidRDefault="00473AF0" w:rsidP="007E4E38">
      <w:pPr>
        <w:pStyle w:val="ListParagraph"/>
        <w:spacing w:after="0" w:line="259" w:lineRule="auto"/>
        <w:jc w:val="both"/>
        <w:rPr>
          <w:sz w:val="22"/>
          <w:szCs w:val="22"/>
        </w:rPr>
      </w:pPr>
    </w:p>
    <w:p w14:paraId="615C75D5" w14:textId="45D596A5" w:rsidR="00473AF0" w:rsidRPr="00721069" w:rsidRDefault="00473AF0" w:rsidP="00473AF0">
      <w:pPr>
        <w:jc w:val="both"/>
        <w:rPr>
          <w:b/>
          <w:bCs/>
          <w:sz w:val="22"/>
          <w:szCs w:val="22"/>
        </w:rPr>
      </w:pPr>
      <w:r w:rsidRPr="00721069">
        <w:rPr>
          <w:b/>
          <w:bCs/>
          <w:sz w:val="22"/>
          <w:szCs w:val="22"/>
          <w:highlight w:val="lightGray"/>
        </w:rPr>
        <w:t>3.2.</w:t>
      </w:r>
      <w:r w:rsidRPr="00721069">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B65554" w:rsidRPr="00721069">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Pr="00721069">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LIGIBIL</w:t>
      </w:r>
      <w:r w:rsidR="007942FD" w:rsidRPr="00721069">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ITÉ</w:t>
      </w:r>
    </w:p>
    <w:p w14:paraId="166ED781" w14:textId="77777777" w:rsidR="00721069" w:rsidRPr="00721069" w:rsidRDefault="00721069" w:rsidP="00D83217">
      <w:pPr>
        <w:jc w:val="both"/>
        <w:rPr>
          <w:sz w:val="22"/>
          <w:szCs w:val="22"/>
        </w:rPr>
      </w:pPr>
      <w:r w:rsidRPr="00721069">
        <w:rPr>
          <w:sz w:val="22"/>
          <w:szCs w:val="22"/>
        </w:rPr>
        <w:t>Les conditions d'éligibilité sont les suivantes :</w:t>
      </w:r>
    </w:p>
    <w:p w14:paraId="481C78CD" w14:textId="47385A61" w:rsidR="00D83217" w:rsidRPr="00DE70AE" w:rsidRDefault="00D83217" w:rsidP="00D83217">
      <w:pPr>
        <w:jc w:val="both"/>
        <w:rPr>
          <w:b/>
          <w:bCs/>
          <w:sz w:val="22"/>
          <w:szCs w:val="22"/>
        </w:rPr>
      </w:pPr>
      <w:r w:rsidRPr="00DE70AE">
        <w:rPr>
          <w:b/>
          <w:bCs/>
          <w:sz w:val="22"/>
          <w:szCs w:val="22"/>
          <w:highlight w:val="lightGray"/>
        </w:rPr>
        <w:t xml:space="preserve">3.2.1. </w:t>
      </w:r>
      <w:r w:rsidR="00B65554" w:rsidRPr="00DE70AE">
        <w:rPr>
          <w:b/>
          <w:bCs/>
          <w:sz w:val="22"/>
          <w:szCs w:val="22"/>
          <w:highlight w:val="lightGray"/>
        </w:rPr>
        <w:t xml:space="preserve">CANDIDATS </w:t>
      </w:r>
      <w:r w:rsidR="00B65554" w:rsidRPr="00721069">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B65554">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LIGIBLES</w:t>
      </w:r>
    </w:p>
    <w:p w14:paraId="6DB3E435" w14:textId="2C9EE109" w:rsidR="000C5799" w:rsidRPr="000C5799" w:rsidRDefault="000C5799" w:rsidP="00B10BE9">
      <w:pPr>
        <w:jc w:val="both"/>
        <w:rPr>
          <w:sz w:val="22"/>
          <w:szCs w:val="22"/>
        </w:rPr>
      </w:pPr>
      <w:r w:rsidRPr="000C5799">
        <w:rPr>
          <w:sz w:val="22"/>
          <w:szCs w:val="22"/>
        </w:rPr>
        <w:t xml:space="preserve">Les candidats </w:t>
      </w:r>
      <w:r w:rsidR="001768B9">
        <w:rPr>
          <w:sz w:val="22"/>
          <w:szCs w:val="22"/>
        </w:rPr>
        <w:t xml:space="preserve">à partenaires d’exécution </w:t>
      </w:r>
      <w:r w:rsidRPr="000C5799">
        <w:rPr>
          <w:sz w:val="22"/>
          <w:szCs w:val="22"/>
        </w:rPr>
        <w:t>doivent se conformer aux critères suivants :</w:t>
      </w:r>
    </w:p>
    <w:p w14:paraId="4F13804A" w14:textId="6FCF05C3" w:rsidR="00B10BE9" w:rsidRPr="00B10BE9" w:rsidRDefault="001768B9" w:rsidP="00B10BE9">
      <w:pPr>
        <w:pStyle w:val="ListParagraph"/>
        <w:numPr>
          <w:ilvl w:val="0"/>
          <w:numId w:val="12"/>
        </w:numPr>
        <w:spacing w:line="259" w:lineRule="auto"/>
        <w:jc w:val="both"/>
        <w:rPr>
          <w:sz w:val="22"/>
          <w:szCs w:val="22"/>
        </w:rPr>
      </w:pPr>
      <w:r>
        <w:rPr>
          <w:b/>
          <w:bCs/>
          <w:sz w:val="22"/>
          <w:szCs w:val="22"/>
          <w:u w:val="single"/>
        </w:rPr>
        <w:t xml:space="preserve">Statut Juridique </w:t>
      </w:r>
      <w:r w:rsidR="00B10BE9" w:rsidRPr="00B10BE9">
        <w:rPr>
          <w:b/>
          <w:bCs/>
          <w:sz w:val="22"/>
          <w:szCs w:val="22"/>
        </w:rPr>
        <w:t>:</w:t>
      </w:r>
    </w:p>
    <w:p w14:paraId="09B8D7CF" w14:textId="155CC34E" w:rsidR="007F5046" w:rsidRDefault="007F5046" w:rsidP="00B10BE9">
      <w:pPr>
        <w:jc w:val="both"/>
        <w:rPr>
          <w:sz w:val="22"/>
          <w:szCs w:val="22"/>
        </w:rPr>
      </w:pPr>
      <w:r w:rsidRPr="007F5046">
        <w:rPr>
          <w:sz w:val="22"/>
          <w:szCs w:val="22"/>
        </w:rPr>
        <w:lastRenderedPageBreak/>
        <w:t xml:space="preserve">Cet Appel à Partenariats est ouvert </w:t>
      </w:r>
      <w:r w:rsidRPr="007F5046">
        <w:rPr>
          <w:b/>
          <w:bCs/>
          <w:sz w:val="22"/>
          <w:szCs w:val="22"/>
        </w:rPr>
        <w:t>uniquement aux</w:t>
      </w:r>
      <w:r w:rsidRPr="007F5046">
        <w:rPr>
          <w:sz w:val="22"/>
          <w:szCs w:val="22"/>
        </w:rPr>
        <w:t xml:space="preserve"> </w:t>
      </w:r>
      <w:r w:rsidRPr="007F5046">
        <w:rPr>
          <w:b/>
          <w:bCs/>
          <w:sz w:val="22"/>
          <w:szCs w:val="22"/>
        </w:rPr>
        <w:t>entités à but non lucratif</w:t>
      </w:r>
      <w:r w:rsidRPr="007F5046">
        <w:rPr>
          <w:sz w:val="22"/>
          <w:szCs w:val="22"/>
        </w:rPr>
        <w:t xml:space="preserve"> (</w:t>
      </w:r>
      <w:r w:rsidR="00523AB4" w:rsidRPr="00523AB4">
        <w:rPr>
          <w:sz w:val="22"/>
          <w:szCs w:val="22"/>
        </w:rPr>
        <w:t>organisations non gouvernementales, fondations, associations professionnelles, institutions académiques et organisations intergouvernementales, entre autres</w:t>
      </w:r>
      <w:r w:rsidRPr="007F5046">
        <w:rPr>
          <w:sz w:val="22"/>
          <w:szCs w:val="22"/>
        </w:rPr>
        <w:t xml:space="preserve">). </w:t>
      </w:r>
      <w:r w:rsidR="002D55CC" w:rsidRPr="002D55CC">
        <w:rPr>
          <w:sz w:val="22"/>
          <w:szCs w:val="22"/>
        </w:rPr>
        <w:t xml:space="preserve">Selon la définition du Système de comptabilité nationale élaboré par la Division des statistiques des Nations unies, les institutions sans but lucratif sont des entités juridiques ou sociales créées dans le but de produire des biens et des services dont le statut ne leur permet pas d'être une source de revenus, de profits ou d'autres gains financiers pour les unités qui les établissent, les contrôlent </w:t>
      </w:r>
      <w:proofErr w:type="gramStart"/>
      <w:r w:rsidR="002D55CC" w:rsidRPr="002D55CC">
        <w:rPr>
          <w:sz w:val="22"/>
          <w:szCs w:val="22"/>
        </w:rPr>
        <w:t>ou</w:t>
      </w:r>
      <w:proofErr w:type="gramEnd"/>
      <w:r w:rsidR="002D55CC" w:rsidRPr="002D55CC">
        <w:rPr>
          <w:sz w:val="22"/>
          <w:szCs w:val="22"/>
        </w:rPr>
        <w:t xml:space="preserve"> les financent.</w:t>
      </w:r>
    </w:p>
    <w:p w14:paraId="6F4D1D39" w14:textId="0269F6D7" w:rsidR="007F5046" w:rsidRPr="007F5046" w:rsidRDefault="007F5046" w:rsidP="00B10BE9">
      <w:pPr>
        <w:jc w:val="both"/>
        <w:rPr>
          <w:sz w:val="22"/>
          <w:szCs w:val="22"/>
        </w:rPr>
      </w:pPr>
      <w:r w:rsidRPr="007F5046">
        <w:rPr>
          <w:sz w:val="22"/>
          <w:szCs w:val="22"/>
        </w:rPr>
        <w:t xml:space="preserve">Les </w:t>
      </w:r>
      <w:r w:rsidR="00E97D5E">
        <w:rPr>
          <w:sz w:val="22"/>
          <w:szCs w:val="22"/>
        </w:rPr>
        <w:t xml:space="preserve">organisations candidates </w:t>
      </w:r>
      <w:r w:rsidRPr="007F5046">
        <w:rPr>
          <w:sz w:val="22"/>
          <w:szCs w:val="22"/>
        </w:rPr>
        <w:t xml:space="preserve">doivent aussi être </w:t>
      </w:r>
      <w:r w:rsidRPr="00E97D5E">
        <w:rPr>
          <w:b/>
          <w:bCs/>
          <w:sz w:val="22"/>
          <w:szCs w:val="22"/>
        </w:rPr>
        <w:t>acti</w:t>
      </w:r>
      <w:r w:rsidR="00E97D5E" w:rsidRPr="00E97D5E">
        <w:rPr>
          <w:b/>
          <w:bCs/>
          <w:sz w:val="22"/>
          <w:szCs w:val="22"/>
        </w:rPr>
        <w:t>ve</w:t>
      </w:r>
      <w:r w:rsidRPr="00E97D5E">
        <w:rPr>
          <w:b/>
          <w:bCs/>
          <w:sz w:val="22"/>
          <w:szCs w:val="22"/>
        </w:rPr>
        <w:t>s et enregistré</w:t>
      </w:r>
      <w:r w:rsidR="00E97D5E" w:rsidRPr="00E97D5E">
        <w:rPr>
          <w:b/>
          <w:bCs/>
          <w:sz w:val="22"/>
          <w:szCs w:val="22"/>
        </w:rPr>
        <w:t>e</w:t>
      </w:r>
      <w:r w:rsidRPr="00E97D5E">
        <w:rPr>
          <w:b/>
          <w:bCs/>
          <w:sz w:val="22"/>
          <w:szCs w:val="22"/>
        </w:rPr>
        <w:t>s en tant qu'entités à but non lucratif depuis au moins deux ans</w:t>
      </w:r>
      <w:r w:rsidRPr="00E97D5E">
        <w:rPr>
          <w:sz w:val="22"/>
          <w:szCs w:val="22"/>
        </w:rPr>
        <w:t>.</w:t>
      </w:r>
    </w:p>
    <w:p w14:paraId="4F2DD45E" w14:textId="63647476" w:rsidR="00E97D5E" w:rsidRPr="00B60EA3" w:rsidRDefault="00B60EA3" w:rsidP="00B10BE9">
      <w:pPr>
        <w:jc w:val="both"/>
        <w:rPr>
          <w:sz w:val="22"/>
          <w:szCs w:val="22"/>
        </w:rPr>
      </w:pPr>
      <w:r w:rsidRPr="00B60EA3">
        <w:rPr>
          <w:sz w:val="22"/>
          <w:szCs w:val="22"/>
        </w:rPr>
        <w:t xml:space="preserve">Les personnes physiques, les sociétés privées, les entités non constituées en </w:t>
      </w:r>
      <w:r>
        <w:rPr>
          <w:sz w:val="22"/>
          <w:szCs w:val="22"/>
        </w:rPr>
        <w:t xml:space="preserve">personne morale </w:t>
      </w:r>
      <w:r w:rsidRPr="00B60EA3">
        <w:rPr>
          <w:sz w:val="22"/>
          <w:szCs w:val="22"/>
        </w:rPr>
        <w:t xml:space="preserve">et les organisations à but non lucratif constituées en </w:t>
      </w:r>
      <w:r>
        <w:rPr>
          <w:sz w:val="22"/>
          <w:szCs w:val="22"/>
        </w:rPr>
        <w:t>personne morale</w:t>
      </w:r>
      <w:r w:rsidRPr="00B60EA3">
        <w:rPr>
          <w:sz w:val="22"/>
          <w:szCs w:val="22"/>
        </w:rPr>
        <w:t xml:space="preserve"> ayant moins de deux ans d'activités en tant qu'entités légalement enregistrées ne sont pas éligibles au financement.</w:t>
      </w:r>
    </w:p>
    <w:p w14:paraId="64101313" w14:textId="56E84C65" w:rsidR="008334CB" w:rsidRPr="004F4115" w:rsidRDefault="00A3368C" w:rsidP="008334CB">
      <w:pPr>
        <w:pStyle w:val="ListParagraph"/>
        <w:numPr>
          <w:ilvl w:val="0"/>
          <w:numId w:val="12"/>
        </w:numPr>
        <w:spacing w:line="259" w:lineRule="auto"/>
        <w:jc w:val="both"/>
        <w:rPr>
          <w:sz w:val="22"/>
          <w:szCs w:val="22"/>
        </w:rPr>
      </w:pPr>
      <w:r w:rsidRPr="00A3368C">
        <w:rPr>
          <w:b/>
          <w:bCs/>
          <w:sz w:val="22"/>
          <w:szCs w:val="22"/>
          <w:u w:val="single"/>
        </w:rPr>
        <w:t xml:space="preserve">Conditions générales </w:t>
      </w:r>
      <w:proofErr w:type="gramStart"/>
      <w:r w:rsidRPr="00A3368C">
        <w:rPr>
          <w:b/>
          <w:bCs/>
          <w:sz w:val="22"/>
          <w:szCs w:val="22"/>
          <w:u w:val="single"/>
        </w:rPr>
        <w:t>d'</w:t>
      </w:r>
      <w:r>
        <w:rPr>
          <w:b/>
          <w:bCs/>
          <w:sz w:val="22"/>
          <w:szCs w:val="22"/>
          <w:u w:val="single"/>
        </w:rPr>
        <w:t>éligibilité</w:t>
      </w:r>
      <w:r w:rsidR="008334CB" w:rsidRPr="00B10BE9">
        <w:rPr>
          <w:b/>
          <w:bCs/>
          <w:sz w:val="22"/>
          <w:szCs w:val="22"/>
        </w:rPr>
        <w:t>:</w:t>
      </w:r>
      <w:proofErr w:type="gramEnd"/>
    </w:p>
    <w:p w14:paraId="57B8B53D" w14:textId="77777777" w:rsidR="008334CB" w:rsidRPr="00B10BE9" w:rsidRDefault="008334CB" w:rsidP="008334CB">
      <w:pPr>
        <w:pStyle w:val="ListParagraph"/>
        <w:spacing w:line="259" w:lineRule="auto"/>
        <w:jc w:val="both"/>
        <w:rPr>
          <w:sz w:val="22"/>
          <w:szCs w:val="22"/>
        </w:rPr>
      </w:pPr>
    </w:p>
    <w:p w14:paraId="7D8AE92C" w14:textId="0CF74487" w:rsidR="00826783" w:rsidRDefault="00702234" w:rsidP="00702234">
      <w:pPr>
        <w:pStyle w:val="ListParagraph"/>
        <w:numPr>
          <w:ilvl w:val="0"/>
          <w:numId w:val="13"/>
        </w:numPr>
        <w:spacing w:line="259" w:lineRule="auto"/>
        <w:jc w:val="both"/>
        <w:rPr>
          <w:sz w:val="22"/>
          <w:szCs w:val="22"/>
        </w:rPr>
      </w:pPr>
      <w:r w:rsidRPr="00702234">
        <w:rPr>
          <w:sz w:val="22"/>
          <w:szCs w:val="22"/>
        </w:rPr>
        <w:t xml:space="preserve">Être en mesure </w:t>
      </w:r>
      <w:r>
        <w:rPr>
          <w:sz w:val="22"/>
          <w:szCs w:val="22"/>
        </w:rPr>
        <w:t xml:space="preserve">de contribuer efficacement à la réalisation </w:t>
      </w:r>
      <w:r w:rsidRPr="00702234">
        <w:rPr>
          <w:sz w:val="22"/>
          <w:szCs w:val="22"/>
        </w:rPr>
        <w:t xml:space="preserve">des objectifs de l'UNESCO, conformément aux principes </w:t>
      </w:r>
      <w:r>
        <w:rPr>
          <w:sz w:val="22"/>
          <w:szCs w:val="22"/>
        </w:rPr>
        <w:t xml:space="preserve">énoncés </w:t>
      </w:r>
      <w:r w:rsidRPr="00702234">
        <w:rPr>
          <w:sz w:val="22"/>
          <w:szCs w:val="22"/>
        </w:rPr>
        <w:t>dans l'Acte constitutif de l'UNESCO ;</w:t>
      </w:r>
    </w:p>
    <w:p w14:paraId="449C1727" w14:textId="4BA33E66" w:rsidR="007A759B" w:rsidRPr="00702234" w:rsidRDefault="009959BB" w:rsidP="00702234">
      <w:pPr>
        <w:pStyle w:val="ListParagraph"/>
        <w:numPr>
          <w:ilvl w:val="0"/>
          <w:numId w:val="13"/>
        </w:numPr>
        <w:spacing w:line="259" w:lineRule="auto"/>
        <w:jc w:val="both"/>
        <w:rPr>
          <w:sz w:val="22"/>
          <w:szCs w:val="22"/>
        </w:rPr>
      </w:pPr>
      <w:r>
        <w:rPr>
          <w:sz w:val="22"/>
          <w:szCs w:val="22"/>
        </w:rPr>
        <w:t>Faire preuve d’un</w:t>
      </w:r>
      <w:r w:rsidR="00AD39AC">
        <w:rPr>
          <w:sz w:val="22"/>
          <w:szCs w:val="22"/>
        </w:rPr>
        <w:t xml:space="preserve"> e</w:t>
      </w:r>
      <w:r w:rsidR="00E158DE">
        <w:rPr>
          <w:sz w:val="22"/>
          <w:szCs w:val="22"/>
        </w:rPr>
        <w:t>ngagement à</w:t>
      </w:r>
      <w:r w:rsidR="00AD39AC">
        <w:rPr>
          <w:sz w:val="22"/>
          <w:szCs w:val="22"/>
        </w:rPr>
        <w:t xml:space="preserve"> la défense et promotion des droits de l’homme</w:t>
      </w:r>
      <w:r>
        <w:rPr>
          <w:sz w:val="22"/>
          <w:szCs w:val="22"/>
        </w:rPr>
        <w:t>, la liberté d’expression et l’égalité des genres ;</w:t>
      </w:r>
    </w:p>
    <w:p w14:paraId="76B64EDF" w14:textId="182C7CEA" w:rsidR="009959BB" w:rsidRDefault="008C73FC" w:rsidP="00C67E45">
      <w:pPr>
        <w:pStyle w:val="ListParagraph"/>
        <w:numPr>
          <w:ilvl w:val="0"/>
          <w:numId w:val="13"/>
        </w:numPr>
        <w:spacing w:line="259" w:lineRule="auto"/>
        <w:jc w:val="both"/>
        <w:rPr>
          <w:sz w:val="22"/>
          <w:szCs w:val="22"/>
        </w:rPr>
      </w:pPr>
      <w:r w:rsidRPr="008C73FC">
        <w:rPr>
          <w:sz w:val="22"/>
          <w:szCs w:val="22"/>
        </w:rPr>
        <w:t xml:space="preserve">Apporter une « valeur ajoutée » en termes de contribution monétaire ou en nature (quantifiée) : les candidats doivent être en mesure de contribuer à hauteur </w:t>
      </w:r>
      <w:r w:rsidRPr="008C73FC">
        <w:rPr>
          <w:sz w:val="22"/>
          <w:szCs w:val="22"/>
          <w:u w:val="single"/>
        </w:rPr>
        <w:t xml:space="preserve">d'au moins 5% </w:t>
      </w:r>
      <w:r w:rsidRPr="008C73FC">
        <w:rPr>
          <w:sz w:val="22"/>
          <w:szCs w:val="22"/>
        </w:rPr>
        <w:t>du budget total du projet. Ce dernier doit inclure les coûts directs appropriés pour la réalisation des objectifs de l'action (et pas seulement les coûts liés au fonctionnement général de leur organisation</w:t>
      </w:r>
      <w:r w:rsidR="00F47902">
        <w:rPr>
          <w:sz w:val="22"/>
          <w:szCs w:val="22"/>
        </w:rPr>
        <w:t xml:space="preserve"> – </w:t>
      </w:r>
      <w:r w:rsidR="00F47902" w:rsidRPr="00F47902">
        <w:rPr>
          <w:sz w:val="22"/>
          <w:szCs w:val="22"/>
        </w:rPr>
        <w:t>voir "Coûts éligibles" ci-dessous pour des informations plus détaillées</w:t>
      </w:r>
      <w:r w:rsidRPr="008C73FC">
        <w:rPr>
          <w:sz w:val="22"/>
          <w:szCs w:val="22"/>
        </w:rPr>
        <w:t>).</w:t>
      </w:r>
    </w:p>
    <w:p w14:paraId="3F8C384F" w14:textId="6EA24DCC" w:rsidR="00F47902" w:rsidRPr="008C73FC" w:rsidRDefault="00F47902" w:rsidP="00C67E45">
      <w:pPr>
        <w:pStyle w:val="ListParagraph"/>
        <w:numPr>
          <w:ilvl w:val="0"/>
          <w:numId w:val="13"/>
        </w:numPr>
        <w:spacing w:line="259" w:lineRule="auto"/>
        <w:jc w:val="both"/>
        <w:rPr>
          <w:sz w:val="22"/>
          <w:szCs w:val="22"/>
        </w:rPr>
      </w:pPr>
      <w:r>
        <w:rPr>
          <w:sz w:val="22"/>
          <w:szCs w:val="22"/>
        </w:rPr>
        <w:t xml:space="preserve">Ne pas figurer sur la </w:t>
      </w:r>
      <w:hyperlink r:id="rId17" w:history="1">
        <w:r w:rsidRPr="0033087D">
          <w:rPr>
            <w:rStyle w:val="Hyperlink"/>
            <w:sz w:val="22"/>
            <w:szCs w:val="22"/>
          </w:rPr>
          <w:t>Liste récapitulative du Conseil de sécurité relative aux sanctions</w:t>
        </w:r>
      </w:hyperlink>
      <w:r>
        <w:rPr>
          <w:sz w:val="22"/>
          <w:szCs w:val="22"/>
        </w:rPr>
        <w:t>, ni sur la liste d’exclusion publiée sur le Portail mondial pour les fournisseurs des organismes des Nations Unies.</w:t>
      </w:r>
    </w:p>
    <w:p w14:paraId="688A3663" w14:textId="77777777" w:rsidR="00414B41" w:rsidRPr="00F47902" w:rsidRDefault="00414B41" w:rsidP="00414B41">
      <w:pPr>
        <w:pStyle w:val="ListParagraph"/>
        <w:spacing w:line="259" w:lineRule="auto"/>
        <w:jc w:val="both"/>
        <w:rPr>
          <w:sz w:val="22"/>
          <w:szCs w:val="22"/>
        </w:rPr>
      </w:pPr>
    </w:p>
    <w:p w14:paraId="4E14D6F8" w14:textId="26DF74E1" w:rsidR="00B10BE9" w:rsidRPr="008334CB" w:rsidRDefault="00B10BE9" w:rsidP="00B10BE9">
      <w:pPr>
        <w:pStyle w:val="ListParagraph"/>
        <w:numPr>
          <w:ilvl w:val="0"/>
          <w:numId w:val="12"/>
        </w:numPr>
        <w:spacing w:line="259" w:lineRule="auto"/>
        <w:jc w:val="both"/>
        <w:rPr>
          <w:sz w:val="22"/>
          <w:szCs w:val="22"/>
        </w:rPr>
      </w:pPr>
      <w:r w:rsidRPr="00B10BE9">
        <w:rPr>
          <w:b/>
          <w:bCs/>
          <w:sz w:val="22"/>
          <w:szCs w:val="22"/>
          <w:u w:val="single"/>
        </w:rPr>
        <w:t>Capacit</w:t>
      </w:r>
      <w:r w:rsidR="002416D1">
        <w:rPr>
          <w:b/>
          <w:bCs/>
          <w:sz w:val="22"/>
          <w:szCs w:val="22"/>
          <w:u w:val="single"/>
        </w:rPr>
        <w:t xml:space="preserve">é </w:t>
      </w:r>
      <w:r w:rsidRPr="00B10BE9">
        <w:rPr>
          <w:b/>
          <w:bCs/>
          <w:sz w:val="22"/>
          <w:szCs w:val="22"/>
        </w:rPr>
        <w:t>:</w:t>
      </w:r>
    </w:p>
    <w:p w14:paraId="00855C67" w14:textId="77777777" w:rsidR="008334CB" w:rsidRPr="00B10BE9" w:rsidRDefault="008334CB" w:rsidP="008334CB">
      <w:pPr>
        <w:pStyle w:val="ListParagraph"/>
        <w:spacing w:line="259" w:lineRule="auto"/>
        <w:jc w:val="both"/>
        <w:rPr>
          <w:sz w:val="22"/>
          <w:szCs w:val="22"/>
        </w:rPr>
      </w:pPr>
    </w:p>
    <w:p w14:paraId="35E960C1" w14:textId="6A8E75EB" w:rsidR="003258F6" w:rsidRDefault="003258F6" w:rsidP="00B10BE9">
      <w:pPr>
        <w:pStyle w:val="ListParagraph"/>
        <w:numPr>
          <w:ilvl w:val="0"/>
          <w:numId w:val="13"/>
        </w:numPr>
        <w:spacing w:line="259" w:lineRule="auto"/>
        <w:jc w:val="both"/>
        <w:rPr>
          <w:sz w:val="22"/>
          <w:szCs w:val="22"/>
        </w:rPr>
      </w:pPr>
      <w:r w:rsidRPr="003258F6">
        <w:rPr>
          <w:sz w:val="22"/>
          <w:szCs w:val="22"/>
        </w:rPr>
        <w:t>Avoir une situation financière saine : les candidats doivent prouver qu'ils disposent de sources de financement stables et suffisantes pour maintenir leur activité pendant toute la durée du projet</w:t>
      </w:r>
      <w:r>
        <w:rPr>
          <w:sz w:val="22"/>
          <w:szCs w:val="22"/>
        </w:rPr>
        <w:t> ;</w:t>
      </w:r>
    </w:p>
    <w:p w14:paraId="0B6BAE2F" w14:textId="517FFA0C" w:rsidR="00812BE3" w:rsidRDefault="00812BE3" w:rsidP="00B10BE9">
      <w:pPr>
        <w:pStyle w:val="ListParagraph"/>
        <w:numPr>
          <w:ilvl w:val="0"/>
          <w:numId w:val="13"/>
        </w:numPr>
        <w:spacing w:line="259" w:lineRule="auto"/>
        <w:jc w:val="both"/>
        <w:rPr>
          <w:sz w:val="22"/>
          <w:szCs w:val="22"/>
        </w:rPr>
      </w:pPr>
      <w:r w:rsidRPr="00812BE3">
        <w:rPr>
          <w:sz w:val="22"/>
          <w:szCs w:val="22"/>
        </w:rPr>
        <w:t>Disposer de procédures de contrôle interne appropriées ;</w:t>
      </w:r>
    </w:p>
    <w:p w14:paraId="1C4BA05D" w14:textId="591B5571" w:rsidR="00812BE3" w:rsidRPr="003258F6" w:rsidRDefault="009449CF" w:rsidP="00B10BE9">
      <w:pPr>
        <w:pStyle w:val="ListParagraph"/>
        <w:numPr>
          <w:ilvl w:val="0"/>
          <w:numId w:val="13"/>
        </w:numPr>
        <w:spacing w:line="259" w:lineRule="auto"/>
        <w:jc w:val="both"/>
        <w:rPr>
          <w:sz w:val="22"/>
          <w:szCs w:val="22"/>
        </w:rPr>
      </w:pPr>
      <w:r>
        <w:rPr>
          <w:sz w:val="22"/>
          <w:szCs w:val="22"/>
        </w:rPr>
        <w:t>Faire preuve de la possession</w:t>
      </w:r>
      <w:r w:rsidR="005049D1" w:rsidRPr="005049D1">
        <w:rPr>
          <w:sz w:val="22"/>
          <w:szCs w:val="22"/>
        </w:rPr>
        <w:t xml:space="preserve"> des installations adéquates et qu'ils ont la capacité de gérer le volume de fonds et de mettre en œuvre les activités convenues de manière efficace et efficiente, ainsi que de participer aux activités de planification, de suivi et d'assurance ;</w:t>
      </w:r>
    </w:p>
    <w:p w14:paraId="733C8390" w14:textId="099EA70B" w:rsidR="009449CF" w:rsidRDefault="009449CF" w:rsidP="003F2A34">
      <w:pPr>
        <w:pStyle w:val="ListParagraph"/>
        <w:numPr>
          <w:ilvl w:val="0"/>
          <w:numId w:val="13"/>
        </w:numPr>
        <w:spacing w:line="259" w:lineRule="auto"/>
        <w:jc w:val="both"/>
        <w:rPr>
          <w:sz w:val="22"/>
          <w:szCs w:val="22"/>
        </w:rPr>
      </w:pPr>
      <w:bookmarkStart w:id="0" w:name="_Hlk66714749"/>
      <w:r>
        <w:rPr>
          <w:sz w:val="22"/>
          <w:szCs w:val="22"/>
        </w:rPr>
        <w:t xml:space="preserve">Faire preuve de </w:t>
      </w:r>
      <w:r w:rsidRPr="009449CF">
        <w:rPr>
          <w:sz w:val="22"/>
          <w:szCs w:val="22"/>
        </w:rPr>
        <w:t>leur capacité à opérer dans les zones cibles ;</w:t>
      </w:r>
    </w:p>
    <w:p w14:paraId="4D6D3D4E" w14:textId="52019918" w:rsidR="00B10BE9" w:rsidRPr="00437B58" w:rsidRDefault="00B041AC" w:rsidP="00437B58">
      <w:pPr>
        <w:pStyle w:val="ListParagraph"/>
        <w:numPr>
          <w:ilvl w:val="0"/>
          <w:numId w:val="13"/>
        </w:numPr>
        <w:spacing w:line="259" w:lineRule="auto"/>
        <w:jc w:val="both"/>
        <w:rPr>
          <w:sz w:val="22"/>
          <w:szCs w:val="22"/>
        </w:rPr>
      </w:pPr>
      <w:r>
        <w:rPr>
          <w:sz w:val="22"/>
          <w:szCs w:val="22"/>
        </w:rPr>
        <w:t>F</w:t>
      </w:r>
      <w:r w:rsidRPr="00B041AC">
        <w:rPr>
          <w:sz w:val="22"/>
          <w:szCs w:val="22"/>
        </w:rPr>
        <w:t>aire preuve de compétences de base en matière de gestion et de tenue de dossiers,</w:t>
      </w:r>
      <w:r w:rsidRPr="00B041AC">
        <w:t xml:space="preserve"> </w:t>
      </w:r>
      <w:r w:rsidRPr="00B041AC">
        <w:rPr>
          <w:sz w:val="22"/>
          <w:szCs w:val="22"/>
        </w:rPr>
        <w:t xml:space="preserve">ainsi que de </w:t>
      </w:r>
      <w:r w:rsidR="003B0CF2">
        <w:rPr>
          <w:sz w:val="22"/>
          <w:szCs w:val="22"/>
        </w:rPr>
        <w:t xml:space="preserve">la disposition d’un </w:t>
      </w:r>
      <w:r w:rsidRPr="00B041AC">
        <w:rPr>
          <w:sz w:val="22"/>
          <w:szCs w:val="22"/>
        </w:rPr>
        <w:t>personnel permanent et de</w:t>
      </w:r>
      <w:r w:rsidR="003B0CF2">
        <w:rPr>
          <w:sz w:val="22"/>
          <w:szCs w:val="22"/>
        </w:rPr>
        <w:t xml:space="preserve"> la</w:t>
      </w:r>
      <w:r w:rsidRPr="00B041AC">
        <w:rPr>
          <w:sz w:val="22"/>
          <w:szCs w:val="22"/>
        </w:rPr>
        <w:t xml:space="preserve"> capacité à gérer et à soutenir le</w:t>
      </w:r>
      <w:r w:rsidR="007F3E20">
        <w:rPr>
          <w:sz w:val="22"/>
          <w:szCs w:val="22"/>
        </w:rPr>
        <w:t>ur</w:t>
      </w:r>
      <w:r w:rsidRPr="00B041AC">
        <w:rPr>
          <w:sz w:val="22"/>
          <w:szCs w:val="22"/>
        </w:rPr>
        <w:t xml:space="preserve"> personnel sur le terrain (le cas échéant).</w:t>
      </w:r>
    </w:p>
    <w:bookmarkEnd w:id="0"/>
    <w:p w14:paraId="2DAD95C8" w14:textId="77E9502D" w:rsidR="00CF7F23" w:rsidRPr="00CF7F23" w:rsidRDefault="00CF7F23" w:rsidP="00B10BE9">
      <w:pPr>
        <w:jc w:val="both"/>
        <w:rPr>
          <w:sz w:val="22"/>
          <w:szCs w:val="22"/>
        </w:rPr>
      </w:pPr>
      <w:r w:rsidRPr="00CF7F23">
        <w:rPr>
          <w:sz w:val="22"/>
          <w:szCs w:val="22"/>
        </w:rPr>
        <w:lastRenderedPageBreak/>
        <w:t>La préférence sera donnée aux projets conçus et mis en œuvre principalement par des partenaires locaux/de base, y compris ceux qui sont enracinés dans les communautés autochtones.</w:t>
      </w:r>
    </w:p>
    <w:p w14:paraId="640FDE54" w14:textId="2CEFF5DD" w:rsidR="007A5CC1" w:rsidRPr="00605B10" w:rsidRDefault="00605B10" w:rsidP="00B10BE9">
      <w:pPr>
        <w:jc w:val="both"/>
        <w:rPr>
          <w:sz w:val="22"/>
          <w:szCs w:val="22"/>
        </w:rPr>
      </w:pPr>
      <w:r w:rsidRPr="00605B10">
        <w:rPr>
          <w:sz w:val="22"/>
          <w:szCs w:val="22"/>
        </w:rPr>
        <w:t xml:space="preserve">Les initiatives </w:t>
      </w:r>
      <w:r w:rsidR="00AF37B9">
        <w:rPr>
          <w:sz w:val="22"/>
          <w:szCs w:val="22"/>
        </w:rPr>
        <w:t xml:space="preserve">collaboratives </w:t>
      </w:r>
      <w:r w:rsidRPr="00605B10">
        <w:rPr>
          <w:sz w:val="22"/>
          <w:szCs w:val="22"/>
        </w:rPr>
        <w:t xml:space="preserve">ou de coalition sont fortement encouragées, car la complexité des questions de sécurité des journalistes et de liberté des médias </w:t>
      </w:r>
      <w:r w:rsidR="00D842D7">
        <w:rPr>
          <w:sz w:val="22"/>
          <w:szCs w:val="22"/>
        </w:rPr>
        <w:t>–</w:t>
      </w:r>
      <w:r w:rsidRPr="00605B10">
        <w:rPr>
          <w:sz w:val="22"/>
          <w:szCs w:val="22"/>
        </w:rPr>
        <w:t>en particulier celles liées à l'information sur l'environnement</w:t>
      </w:r>
      <w:r w:rsidR="00D842D7">
        <w:rPr>
          <w:sz w:val="22"/>
          <w:szCs w:val="22"/>
        </w:rPr>
        <w:t>–</w:t>
      </w:r>
      <w:r w:rsidRPr="00605B10">
        <w:rPr>
          <w:sz w:val="22"/>
          <w:szCs w:val="22"/>
        </w:rPr>
        <w:t xml:space="preserve"> exige une action concertée des parties prenantes. Toutefois, veuillez noter que les propositions de partenariat ne peuvent être soumises que par une seule entité (</w:t>
      </w:r>
      <w:r w:rsidR="008A57A0">
        <w:rPr>
          <w:sz w:val="22"/>
          <w:szCs w:val="22"/>
        </w:rPr>
        <w:t>le candidat principal</w:t>
      </w:r>
      <w:r w:rsidRPr="00605B10">
        <w:rPr>
          <w:sz w:val="22"/>
          <w:szCs w:val="22"/>
        </w:rPr>
        <w:t>), qui sera</w:t>
      </w:r>
      <w:r w:rsidR="008A57A0">
        <w:rPr>
          <w:sz w:val="22"/>
          <w:szCs w:val="22"/>
        </w:rPr>
        <w:t xml:space="preserve"> la contrepartie</w:t>
      </w:r>
      <w:r w:rsidRPr="00605B10">
        <w:rPr>
          <w:sz w:val="22"/>
          <w:szCs w:val="22"/>
        </w:rPr>
        <w:t xml:space="preserve"> de l'UNESCO dans le cadre de l'</w:t>
      </w:r>
      <w:r w:rsidR="008A57A0">
        <w:rPr>
          <w:sz w:val="22"/>
          <w:szCs w:val="22"/>
        </w:rPr>
        <w:t>A</w:t>
      </w:r>
      <w:r w:rsidRPr="00605B10">
        <w:rPr>
          <w:sz w:val="22"/>
          <w:szCs w:val="22"/>
        </w:rPr>
        <w:t>ccord de partenariat</w:t>
      </w:r>
      <w:r w:rsidR="008A57A0">
        <w:rPr>
          <w:sz w:val="22"/>
          <w:szCs w:val="22"/>
        </w:rPr>
        <w:t xml:space="preserve"> d’exécution</w:t>
      </w:r>
      <w:r w:rsidRPr="00605B10">
        <w:rPr>
          <w:sz w:val="22"/>
          <w:szCs w:val="22"/>
        </w:rPr>
        <w:t xml:space="preserve"> correspondant ("Accord de</w:t>
      </w:r>
      <w:r w:rsidR="00F52FB1">
        <w:rPr>
          <w:sz w:val="22"/>
          <w:szCs w:val="22"/>
        </w:rPr>
        <w:t xml:space="preserve"> partenariat d’exécution</w:t>
      </w:r>
      <w:r w:rsidRPr="00605B10">
        <w:rPr>
          <w:sz w:val="22"/>
          <w:szCs w:val="22"/>
        </w:rPr>
        <w:t>").</w:t>
      </w:r>
    </w:p>
    <w:p w14:paraId="436F7D5D" w14:textId="779C4230" w:rsidR="007B3343" w:rsidRDefault="00426F7F" w:rsidP="00B10BE9">
      <w:pPr>
        <w:jc w:val="both"/>
        <w:rPr>
          <w:sz w:val="22"/>
          <w:szCs w:val="22"/>
        </w:rPr>
      </w:pPr>
      <w:r w:rsidRPr="00426F7F">
        <w:rPr>
          <w:sz w:val="22"/>
          <w:szCs w:val="22"/>
        </w:rPr>
        <w:t xml:space="preserve">Les candidats ayant déjà obtenu un financement du GMDF dans le cadre du premier Appel à Partenariats, du programme régulier de l'UNESCO ou d'autres modalités extrabudgétaires (telles que le </w:t>
      </w:r>
      <w:hyperlink r:id="rId18" w:history="1">
        <w:r w:rsidRPr="00807EEA">
          <w:rPr>
            <w:rStyle w:val="Hyperlink"/>
            <w:sz w:val="22"/>
            <w:szCs w:val="22"/>
          </w:rPr>
          <w:t xml:space="preserve">Programme </w:t>
        </w:r>
        <w:r w:rsidR="00807EEA">
          <w:rPr>
            <w:rStyle w:val="Hyperlink"/>
            <w:sz w:val="22"/>
            <w:szCs w:val="22"/>
          </w:rPr>
          <w:t>i</w:t>
        </w:r>
        <w:r w:rsidRPr="00807EEA">
          <w:rPr>
            <w:rStyle w:val="Hyperlink"/>
            <w:sz w:val="22"/>
            <w:szCs w:val="22"/>
          </w:rPr>
          <w:t xml:space="preserve">nternational pour le </w:t>
        </w:r>
        <w:r w:rsidR="00807EEA">
          <w:rPr>
            <w:rStyle w:val="Hyperlink"/>
            <w:sz w:val="22"/>
            <w:szCs w:val="22"/>
          </w:rPr>
          <w:t>d</w:t>
        </w:r>
        <w:r w:rsidRPr="00807EEA">
          <w:rPr>
            <w:rStyle w:val="Hyperlink"/>
            <w:sz w:val="22"/>
            <w:szCs w:val="22"/>
          </w:rPr>
          <w:t xml:space="preserve">éveloppement </w:t>
        </w:r>
        <w:r w:rsidR="00807EEA">
          <w:rPr>
            <w:rStyle w:val="Hyperlink"/>
            <w:sz w:val="22"/>
            <w:szCs w:val="22"/>
          </w:rPr>
          <w:t>de</w:t>
        </w:r>
        <w:r w:rsidRPr="00807EEA">
          <w:rPr>
            <w:rStyle w:val="Hyperlink"/>
            <w:sz w:val="22"/>
            <w:szCs w:val="22"/>
          </w:rPr>
          <w:t xml:space="preserve"> la </w:t>
        </w:r>
        <w:r w:rsidR="00807EEA">
          <w:rPr>
            <w:rStyle w:val="Hyperlink"/>
            <w:sz w:val="22"/>
            <w:szCs w:val="22"/>
          </w:rPr>
          <w:t>c</w:t>
        </w:r>
        <w:r w:rsidRPr="00807EEA">
          <w:rPr>
            <w:rStyle w:val="Hyperlink"/>
            <w:sz w:val="22"/>
            <w:szCs w:val="22"/>
          </w:rPr>
          <w:t>ommunication</w:t>
        </w:r>
      </w:hyperlink>
      <w:r w:rsidRPr="00426F7F">
        <w:rPr>
          <w:sz w:val="22"/>
          <w:szCs w:val="22"/>
        </w:rPr>
        <w:t xml:space="preserve"> ou le </w:t>
      </w:r>
      <w:hyperlink r:id="rId19" w:history="1">
        <w:r w:rsidRPr="007B3343">
          <w:rPr>
            <w:rStyle w:val="Hyperlink"/>
            <w:sz w:val="22"/>
            <w:szCs w:val="22"/>
          </w:rPr>
          <w:t xml:space="preserve">Programme </w:t>
        </w:r>
        <w:proofErr w:type="spellStart"/>
        <w:r w:rsidR="00807EEA" w:rsidRPr="007B3343">
          <w:rPr>
            <w:rStyle w:val="Hyperlink"/>
            <w:sz w:val="22"/>
            <w:szCs w:val="22"/>
          </w:rPr>
          <w:t>multidonateurs</w:t>
        </w:r>
        <w:proofErr w:type="spellEnd"/>
        <w:r w:rsidRPr="007B3343">
          <w:rPr>
            <w:rStyle w:val="Hyperlink"/>
            <w:sz w:val="22"/>
            <w:szCs w:val="22"/>
          </w:rPr>
          <w:t xml:space="preserve"> sur la </w:t>
        </w:r>
        <w:r w:rsidR="00807EEA" w:rsidRPr="007B3343">
          <w:rPr>
            <w:rStyle w:val="Hyperlink"/>
            <w:sz w:val="22"/>
            <w:szCs w:val="22"/>
          </w:rPr>
          <w:t>l</w:t>
        </w:r>
        <w:r w:rsidRPr="007B3343">
          <w:rPr>
            <w:rStyle w:val="Hyperlink"/>
            <w:sz w:val="22"/>
            <w:szCs w:val="22"/>
          </w:rPr>
          <w:t>iberté d'</w:t>
        </w:r>
        <w:r w:rsidR="00807EEA" w:rsidRPr="007B3343">
          <w:rPr>
            <w:rStyle w:val="Hyperlink"/>
            <w:sz w:val="22"/>
            <w:szCs w:val="22"/>
          </w:rPr>
          <w:t>e</w:t>
        </w:r>
        <w:r w:rsidRPr="007B3343">
          <w:rPr>
            <w:rStyle w:val="Hyperlink"/>
            <w:sz w:val="22"/>
            <w:szCs w:val="22"/>
          </w:rPr>
          <w:t xml:space="preserve">xpression et la </w:t>
        </w:r>
        <w:r w:rsidR="00807EEA" w:rsidRPr="007B3343">
          <w:rPr>
            <w:rStyle w:val="Hyperlink"/>
            <w:sz w:val="22"/>
            <w:szCs w:val="22"/>
          </w:rPr>
          <w:t>s</w:t>
        </w:r>
        <w:r w:rsidRPr="007B3343">
          <w:rPr>
            <w:rStyle w:val="Hyperlink"/>
            <w:sz w:val="22"/>
            <w:szCs w:val="22"/>
          </w:rPr>
          <w:t xml:space="preserve">écurité des </w:t>
        </w:r>
        <w:r w:rsidR="00807EEA" w:rsidRPr="007B3343">
          <w:rPr>
            <w:rStyle w:val="Hyperlink"/>
            <w:sz w:val="22"/>
            <w:szCs w:val="22"/>
          </w:rPr>
          <w:t>j</w:t>
        </w:r>
        <w:r w:rsidRPr="007B3343">
          <w:rPr>
            <w:rStyle w:val="Hyperlink"/>
            <w:sz w:val="22"/>
            <w:szCs w:val="22"/>
          </w:rPr>
          <w:t>ournalistes</w:t>
        </w:r>
      </w:hyperlink>
      <w:r w:rsidRPr="00426F7F">
        <w:rPr>
          <w:sz w:val="22"/>
          <w:szCs w:val="22"/>
        </w:rPr>
        <w:t>) peuvent également être éligibles pour faire une demande de subvention au</w:t>
      </w:r>
      <w:r w:rsidR="00814A94">
        <w:rPr>
          <w:sz w:val="22"/>
          <w:szCs w:val="22"/>
        </w:rPr>
        <w:t xml:space="preserve"> </w:t>
      </w:r>
      <w:r w:rsidRPr="00426F7F">
        <w:rPr>
          <w:sz w:val="22"/>
          <w:szCs w:val="22"/>
        </w:rPr>
        <w:t xml:space="preserve">Fonds </w:t>
      </w:r>
      <w:r w:rsidR="007B3343">
        <w:rPr>
          <w:sz w:val="22"/>
          <w:szCs w:val="22"/>
        </w:rPr>
        <w:t>m</w:t>
      </w:r>
      <w:r w:rsidRPr="00426F7F">
        <w:rPr>
          <w:sz w:val="22"/>
          <w:szCs w:val="22"/>
        </w:rPr>
        <w:t xml:space="preserve">ondial pour la </w:t>
      </w:r>
      <w:r w:rsidR="007B3343">
        <w:rPr>
          <w:sz w:val="22"/>
          <w:szCs w:val="22"/>
        </w:rPr>
        <w:t>d</w:t>
      </w:r>
      <w:r w:rsidRPr="00426F7F">
        <w:rPr>
          <w:sz w:val="22"/>
          <w:szCs w:val="22"/>
        </w:rPr>
        <w:t xml:space="preserve">éfense des </w:t>
      </w:r>
      <w:r w:rsidR="007B3343">
        <w:rPr>
          <w:sz w:val="22"/>
          <w:szCs w:val="22"/>
        </w:rPr>
        <w:t>m</w:t>
      </w:r>
      <w:r w:rsidRPr="00426F7F">
        <w:rPr>
          <w:sz w:val="22"/>
          <w:szCs w:val="22"/>
        </w:rPr>
        <w:t xml:space="preserve">édias, s’ils remplissent les conditions énumérées ci-dessus. </w:t>
      </w:r>
    </w:p>
    <w:p w14:paraId="7FD477A0" w14:textId="73AA48BB" w:rsidR="00426F7F" w:rsidRPr="00426F7F" w:rsidRDefault="00426F7F" w:rsidP="00B10BE9">
      <w:pPr>
        <w:jc w:val="both"/>
        <w:rPr>
          <w:sz w:val="22"/>
          <w:szCs w:val="22"/>
        </w:rPr>
      </w:pPr>
      <w:r w:rsidRPr="00426F7F">
        <w:rPr>
          <w:sz w:val="22"/>
          <w:szCs w:val="22"/>
        </w:rPr>
        <w:t xml:space="preserve">Un candidat ne peut pas soumettre plus d'une proposition de partenariat dans le cadre de cet Appel à </w:t>
      </w:r>
      <w:r w:rsidR="007B3343">
        <w:rPr>
          <w:sz w:val="22"/>
          <w:szCs w:val="22"/>
        </w:rPr>
        <w:t>p</w:t>
      </w:r>
      <w:r w:rsidRPr="00426F7F">
        <w:rPr>
          <w:sz w:val="22"/>
          <w:szCs w:val="22"/>
        </w:rPr>
        <w:t>artenariats, et ne peut donc pas se voir attribuer plus d'une subvention.</w:t>
      </w:r>
    </w:p>
    <w:p w14:paraId="65658397" w14:textId="65B956F4" w:rsidR="00E95AFA" w:rsidRPr="00DE70AE" w:rsidRDefault="00E95AFA" w:rsidP="00E95AFA">
      <w:pPr>
        <w:jc w:val="both"/>
        <w:rPr>
          <w:b/>
          <w:bCs/>
          <w:sz w:val="22"/>
          <w:szCs w:val="22"/>
        </w:rPr>
      </w:pPr>
      <w:r w:rsidRPr="00DE70AE">
        <w:rPr>
          <w:b/>
          <w:bCs/>
          <w:sz w:val="22"/>
          <w:szCs w:val="22"/>
          <w:highlight w:val="lightGray"/>
        </w:rPr>
        <w:t xml:space="preserve">3.2.2. </w:t>
      </w:r>
      <w:r w:rsidR="00CD232A" w:rsidRPr="00DE70AE">
        <w:rPr>
          <w:b/>
          <w:bCs/>
          <w:sz w:val="22"/>
          <w:szCs w:val="22"/>
          <w:highlight w:val="lightGray"/>
        </w:rPr>
        <w:t xml:space="preserve">PROPOSITIONS DE PARTENARIAT </w:t>
      </w:r>
      <w:r w:rsidR="00CD232A" w:rsidRPr="00721069">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CD232A">
        <w:rPr>
          <w:b/>
          <w:bCs/>
          <w:sz w:val="22"/>
          <w:szCs w:val="22"/>
          <w:highlight w:val="lightGray"/>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LIGIBLES</w:t>
      </w:r>
    </w:p>
    <w:p w14:paraId="02761A64" w14:textId="245B2BFB" w:rsidR="00E95AFA" w:rsidRPr="00DE70AE" w:rsidRDefault="0042101F" w:rsidP="00E95AFA">
      <w:pPr>
        <w:jc w:val="both"/>
        <w:rPr>
          <w:b/>
          <w:bCs/>
          <w:sz w:val="22"/>
          <w:szCs w:val="22"/>
          <w:u w:val="single"/>
        </w:rPr>
      </w:pPr>
      <w:r w:rsidRPr="00DE70AE">
        <w:rPr>
          <w:b/>
          <w:bCs/>
          <w:sz w:val="22"/>
          <w:szCs w:val="22"/>
          <w:u w:val="single"/>
        </w:rPr>
        <w:t>CONDITIONS DE BASE</w:t>
      </w:r>
    </w:p>
    <w:p w14:paraId="60B3F8B8" w14:textId="0B06E0F8" w:rsidR="00F072FD" w:rsidRDefault="00E272B7" w:rsidP="00B30063">
      <w:pPr>
        <w:jc w:val="both"/>
        <w:rPr>
          <w:sz w:val="22"/>
          <w:szCs w:val="22"/>
        </w:rPr>
      </w:pPr>
      <w:r w:rsidRPr="003F7D78">
        <w:rPr>
          <w:b/>
          <w:bCs/>
          <w:sz w:val="22"/>
          <w:szCs w:val="22"/>
        </w:rPr>
        <w:t xml:space="preserve">1. </w:t>
      </w:r>
      <w:r w:rsidR="0042101F" w:rsidRPr="003F7D78">
        <w:rPr>
          <w:b/>
          <w:bCs/>
          <w:sz w:val="22"/>
          <w:szCs w:val="22"/>
          <w:u w:val="single"/>
        </w:rPr>
        <w:t>Proposition technique</w:t>
      </w:r>
      <w:r w:rsidR="00973602" w:rsidRPr="003F7D78">
        <w:rPr>
          <w:b/>
          <w:bCs/>
          <w:sz w:val="22"/>
          <w:szCs w:val="22"/>
          <w:u w:val="single"/>
        </w:rPr>
        <w:t xml:space="preserve"> (</w:t>
      </w:r>
      <w:r w:rsidR="0042101F" w:rsidRPr="003F7D78">
        <w:rPr>
          <w:b/>
          <w:bCs/>
          <w:sz w:val="22"/>
          <w:szCs w:val="22"/>
          <w:u w:val="single"/>
        </w:rPr>
        <w:t>Formulaire de candidature</w:t>
      </w:r>
      <w:r w:rsidR="00BD7FDD" w:rsidRPr="003F7D78">
        <w:rPr>
          <w:b/>
          <w:bCs/>
          <w:sz w:val="22"/>
          <w:szCs w:val="22"/>
          <w:u w:val="single"/>
        </w:rPr>
        <w:t>)</w:t>
      </w:r>
      <w:r w:rsidR="0084149C" w:rsidRPr="0084149C">
        <w:rPr>
          <w:b/>
          <w:bCs/>
          <w:sz w:val="22"/>
          <w:szCs w:val="22"/>
        </w:rPr>
        <w:t xml:space="preserve"> </w:t>
      </w:r>
      <w:r w:rsidR="003B550D" w:rsidRPr="003F7D78">
        <w:rPr>
          <w:b/>
          <w:bCs/>
          <w:sz w:val="22"/>
          <w:szCs w:val="22"/>
        </w:rPr>
        <w:t>:</w:t>
      </w:r>
      <w:r w:rsidR="00B30063" w:rsidRPr="003F7D78">
        <w:rPr>
          <w:b/>
          <w:bCs/>
          <w:sz w:val="22"/>
          <w:szCs w:val="22"/>
        </w:rPr>
        <w:t xml:space="preserve"> </w:t>
      </w:r>
      <w:r w:rsidR="003F7D78" w:rsidRPr="003F7D78">
        <w:rPr>
          <w:sz w:val="22"/>
          <w:szCs w:val="22"/>
        </w:rPr>
        <w:t xml:space="preserve">Pour qu'une proposition de partenariat soit éligible, les organisations candidates doivent avoir rempli intégralement toutes les sections du </w:t>
      </w:r>
      <w:r w:rsidR="003F7D78">
        <w:rPr>
          <w:sz w:val="22"/>
          <w:szCs w:val="22"/>
        </w:rPr>
        <w:t>F</w:t>
      </w:r>
      <w:r w:rsidR="003F7D78" w:rsidRPr="003F7D78">
        <w:rPr>
          <w:sz w:val="22"/>
          <w:szCs w:val="22"/>
        </w:rPr>
        <w:t>ormulaire de candidature (</w:t>
      </w:r>
      <w:r w:rsidR="003F7D78">
        <w:rPr>
          <w:sz w:val="22"/>
          <w:szCs w:val="22"/>
        </w:rPr>
        <w:t>A</w:t>
      </w:r>
      <w:r w:rsidR="003F7D78" w:rsidRPr="003F7D78">
        <w:rPr>
          <w:sz w:val="22"/>
          <w:szCs w:val="22"/>
        </w:rPr>
        <w:t xml:space="preserve">nnexe </w:t>
      </w:r>
      <w:r w:rsidR="003F7D78">
        <w:rPr>
          <w:sz w:val="22"/>
          <w:szCs w:val="22"/>
        </w:rPr>
        <w:t>3</w:t>
      </w:r>
      <w:r w:rsidR="003F7D78" w:rsidRPr="003F7D78">
        <w:rPr>
          <w:sz w:val="22"/>
          <w:szCs w:val="22"/>
        </w:rPr>
        <w:t>).</w:t>
      </w:r>
    </w:p>
    <w:p w14:paraId="12293743" w14:textId="3FD0110A" w:rsidR="00987850" w:rsidRPr="003F7D78" w:rsidRDefault="006D3F0C" w:rsidP="00B30063">
      <w:pPr>
        <w:jc w:val="both"/>
        <w:rPr>
          <w:sz w:val="22"/>
          <w:szCs w:val="22"/>
        </w:rPr>
      </w:pPr>
      <w:r w:rsidRPr="006D3F0C">
        <w:rPr>
          <w:sz w:val="22"/>
          <w:szCs w:val="22"/>
        </w:rPr>
        <w:t>Les propositions de partenariat doivent respecter les critères suivants :</w:t>
      </w:r>
    </w:p>
    <w:p w14:paraId="4482F795" w14:textId="488C071C" w:rsidR="00E86722" w:rsidRPr="00032F12" w:rsidRDefault="00C31292" w:rsidP="00F072FD">
      <w:pPr>
        <w:pStyle w:val="ListParagraph"/>
        <w:numPr>
          <w:ilvl w:val="0"/>
          <w:numId w:val="14"/>
        </w:numPr>
        <w:jc w:val="both"/>
        <w:rPr>
          <w:sz w:val="22"/>
          <w:szCs w:val="22"/>
        </w:rPr>
      </w:pPr>
      <w:r w:rsidRPr="00032F12">
        <w:rPr>
          <w:i/>
          <w:iCs/>
          <w:sz w:val="22"/>
          <w:szCs w:val="22"/>
        </w:rPr>
        <w:t>Contribution aux Résultats du GMDF</w:t>
      </w:r>
      <w:r w:rsidR="00032F12">
        <w:rPr>
          <w:i/>
          <w:iCs/>
          <w:sz w:val="22"/>
          <w:szCs w:val="22"/>
        </w:rPr>
        <w:t xml:space="preserve"> </w:t>
      </w:r>
      <w:r w:rsidR="00684B4C" w:rsidRPr="00032F12">
        <w:rPr>
          <w:i/>
          <w:iCs/>
          <w:sz w:val="22"/>
          <w:szCs w:val="22"/>
        </w:rPr>
        <w:t>:</w:t>
      </w:r>
      <w:r w:rsidR="003F0F6D" w:rsidRPr="00032F12">
        <w:rPr>
          <w:b/>
          <w:bCs/>
          <w:sz w:val="22"/>
          <w:szCs w:val="22"/>
        </w:rPr>
        <w:t xml:space="preserve"> </w:t>
      </w:r>
      <w:r w:rsidR="00032F12" w:rsidRPr="00032F12">
        <w:rPr>
          <w:sz w:val="22"/>
          <w:szCs w:val="22"/>
        </w:rPr>
        <w:t>Les objectifs de l'action proposée doivent contribuer à faire progresser au moins un des résultats du</w:t>
      </w:r>
      <w:r w:rsidR="00201F86">
        <w:rPr>
          <w:sz w:val="22"/>
          <w:szCs w:val="22"/>
        </w:rPr>
        <w:t xml:space="preserve"> GMDF</w:t>
      </w:r>
      <w:r w:rsidR="00032F12" w:rsidRPr="00032F12">
        <w:rPr>
          <w:sz w:val="22"/>
          <w:szCs w:val="22"/>
        </w:rPr>
        <w:t xml:space="preserve"> couverts par cet </w:t>
      </w:r>
      <w:r w:rsidR="00201F86">
        <w:rPr>
          <w:sz w:val="22"/>
          <w:szCs w:val="22"/>
        </w:rPr>
        <w:t>A</w:t>
      </w:r>
      <w:r w:rsidR="00032F12" w:rsidRPr="00032F12">
        <w:rPr>
          <w:sz w:val="22"/>
          <w:szCs w:val="22"/>
        </w:rPr>
        <w:t>ppel.</w:t>
      </w:r>
    </w:p>
    <w:p w14:paraId="6C431A59" w14:textId="77777777" w:rsidR="002F2F8B" w:rsidRPr="00032F12" w:rsidRDefault="002F2F8B" w:rsidP="002F2F8B">
      <w:pPr>
        <w:pStyle w:val="ListParagraph"/>
        <w:jc w:val="both"/>
        <w:rPr>
          <w:sz w:val="22"/>
          <w:szCs w:val="22"/>
        </w:rPr>
      </w:pPr>
    </w:p>
    <w:p w14:paraId="7FEFCFCB" w14:textId="21DD23CB" w:rsidR="00276C4D" w:rsidRDefault="008F0A38" w:rsidP="008F0A38">
      <w:pPr>
        <w:pStyle w:val="ListParagraph"/>
        <w:numPr>
          <w:ilvl w:val="0"/>
          <w:numId w:val="14"/>
        </w:numPr>
        <w:jc w:val="both"/>
        <w:rPr>
          <w:sz w:val="22"/>
          <w:szCs w:val="22"/>
        </w:rPr>
      </w:pPr>
      <w:r w:rsidRPr="008F0A38">
        <w:rPr>
          <w:i/>
          <w:iCs/>
          <w:sz w:val="22"/>
          <w:szCs w:val="22"/>
        </w:rPr>
        <w:t xml:space="preserve">Axe thématique </w:t>
      </w:r>
      <w:r w:rsidR="00684B4C" w:rsidRPr="008F0A38">
        <w:rPr>
          <w:i/>
          <w:iCs/>
          <w:sz w:val="22"/>
          <w:szCs w:val="22"/>
        </w:rPr>
        <w:t>:</w:t>
      </w:r>
      <w:r w:rsidR="002F2F8B" w:rsidRPr="008F0A38">
        <w:rPr>
          <w:b/>
          <w:bCs/>
          <w:sz w:val="22"/>
          <w:szCs w:val="22"/>
        </w:rPr>
        <w:t xml:space="preserve"> </w:t>
      </w:r>
      <w:r w:rsidRPr="008F0A38">
        <w:rPr>
          <w:sz w:val="22"/>
          <w:szCs w:val="22"/>
        </w:rPr>
        <w:t xml:space="preserve">La proposition de partenariat doit </w:t>
      </w:r>
      <w:r>
        <w:rPr>
          <w:sz w:val="22"/>
          <w:szCs w:val="22"/>
        </w:rPr>
        <w:t>se conformer à</w:t>
      </w:r>
      <w:r w:rsidRPr="008F0A38">
        <w:rPr>
          <w:sz w:val="22"/>
          <w:szCs w:val="22"/>
        </w:rPr>
        <w:t xml:space="preserve"> l'axe thématique de cet </w:t>
      </w:r>
      <w:r>
        <w:rPr>
          <w:sz w:val="22"/>
          <w:szCs w:val="22"/>
        </w:rPr>
        <w:t>A</w:t>
      </w:r>
      <w:r w:rsidRPr="008F0A38">
        <w:rPr>
          <w:sz w:val="22"/>
          <w:szCs w:val="22"/>
        </w:rPr>
        <w:t>ppel à partenariat</w:t>
      </w:r>
      <w:r>
        <w:rPr>
          <w:sz w:val="22"/>
          <w:szCs w:val="22"/>
        </w:rPr>
        <w:t>s</w:t>
      </w:r>
      <w:r w:rsidRPr="008F0A38">
        <w:rPr>
          <w:sz w:val="22"/>
          <w:szCs w:val="22"/>
        </w:rPr>
        <w:t xml:space="preserve"> (renforcer la protection juridique des journalistes environnementaux et/ou réduire l'impunité liée aux cas de violence, de menaces et d'attaques à leur encontre).</w:t>
      </w:r>
    </w:p>
    <w:p w14:paraId="59E4B6F1" w14:textId="77777777" w:rsidR="008F0A38" w:rsidRPr="008F0A38" w:rsidRDefault="008F0A38" w:rsidP="008F0A38">
      <w:pPr>
        <w:pStyle w:val="ListParagraph"/>
        <w:jc w:val="both"/>
        <w:rPr>
          <w:sz w:val="22"/>
          <w:szCs w:val="22"/>
        </w:rPr>
      </w:pPr>
    </w:p>
    <w:p w14:paraId="274D5FB0" w14:textId="384CEF95" w:rsidR="003B6360" w:rsidRPr="00347E9C" w:rsidRDefault="0095760B" w:rsidP="00B74D03">
      <w:pPr>
        <w:pStyle w:val="ListParagraph"/>
        <w:numPr>
          <w:ilvl w:val="0"/>
          <w:numId w:val="14"/>
        </w:numPr>
        <w:jc w:val="both"/>
        <w:rPr>
          <w:sz w:val="22"/>
          <w:szCs w:val="22"/>
        </w:rPr>
      </w:pPr>
      <w:r w:rsidRPr="00347E9C">
        <w:rPr>
          <w:i/>
          <w:iCs/>
          <w:sz w:val="22"/>
          <w:szCs w:val="22"/>
        </w:rPr>
        <w:t xml:space="preserve">Objectifs </w:t>
      </w:r>
      <w:r w:rsidR="007A2340" w:rsidRPr="00347E9C">
        <w:rPr>
          <w:i/>
          <w:iCs/>
          <w:sz w:val="22"/>
          <w:szCs w:val="22"/>
        </w:rPr>
        <w:t xml:space="preserve">S.M.A.R.T. </w:t>
      </w:r>
      <w:r w:rsidRPr="00347E9C">
        <w:rPr>
          <w:i/>
          <w:iCs/>
          <w:sz w:val="22"/>
          <w:szCs w:val="22"/>
        </w:rPr>
        <w:t xml:space="preserve">et réalisables </w:t>
      </w:r>
      <w:r w:rsidR="00E65E3C" w:rsidRPr="00347E9C">
        <w:rPr>
          <w:i/>
          <w:iCs/>
          <w:sz w:val="22"/>
          <w:szCs w:val="22"/>
        </w:rPr>
        <w:t>:</w:t>
      </w:r>
      <w:r w:rsidR="007A2340" w:rsidRPr="00347E9C">
        <w:rPr>
          <w:i/>
          <w:iCs/>
          <w:sz w:val="22"/>
          <w:szCs w:val="22"/>
        </w:rPr>
        <w:t xml:space="preserve"> </w:t>
      </w:r>
      <w:r w:rsidR="0012584E" w:rsidRPr="00347E9C">
        <w:rPr>
          <w:sz w:val="22"/>
          <w:szCs w:val="22"/>
        </w:rPr>
        <w:t xml:space="preserve">Les objectifs de l'action doivent être S.M.A.R.T. et réalisables d'un point de vue opérationnel, technique et financier. </w:t>
      </w:r>
      <w:r w:rsidR="003B6360">
        <w:rPr>
          <w:rStyle w:val="FootnoteReference"/>
          <w:sz w:val="22"/>
          <w:szCs w:val="22"/>
          <w:lang w:val="en-US"/>
        </w:rPr>
        <w:footnoteReference w:id="2"/>
      </w:r>
      <w:r w:rsidR="001D6098" w:rsidRPr="00347E9C">
        <w:rPr>
          <w:sz w:val="22"/>
          <w:szCs w:val="22"/>
        </w:rPr>
        <w:t xml:space="preserve">. </w:t>
      </w:r>
      <w:r w:rsidR="00347E9C" w:rsidRPr="00347E9C">
        <w:rPr>
          <w:sz w:val="22"/>
          <w:szCs w:val="22"/>
        </w:rPr>
        <w:t xml:space="preserve">Les modalités de </w:t>
      </w:r>
      <w:r w:rsidR="00347E9C" w:rsidRPr="00347E9C">
        <w:rPr>
          <w:sz w:val="22"/>
          <w:szCs w:val="22"/>
        </w:rPr>
        <w:lastRenderedPageBreak/>
        <w:t>mise en œuvre proposées doivent contribuer de manière effective et efficace à la réalisation de l'objectif ou des objectifs de l'action.</w:t>
      </w:r>
    </w:p>
    <w:p w14:paraId="0EBD06AA" w14:textId="77777777" w:rsidR="00347E9C" w:rsidRPr="00347E9C" w:rsidRDefault="00347E9C" w:rsidP="00347E9C">
      <w:pPr>
        <w:pStyle w:val="ListParagraph"/>
        <w:jc w:val="both"/>
        <w:rPr>
          <w:sz w:val="22"/>
          <w:szCs w:val="22"/>
        </w:rPr>
      </w:pPr>
    </w:p>
    <w:p w14:paraId="78D6190D" w14:textId="702B688D" w:rsidR="00085EA2" w:rsidRDefault="00B15F9E" w:rsidP="00986492">
      <w:pPr>
        <w:pStyle w:val="ListParagraph"/>
        <w:numPr>
          <w:ilvl w:val="0"/>
          <w:numId w:val="17"/>
        </w:numPr>
        <w:jc w:val="both"/>
        <w:rPr>
          <w:sz w:val="22"/>
          <w:szCs w:val="22"/>
        </w:rPr>
      </w:pPr>
      <w:r w:rsidRPr="00986492">
        <w:rPr>
          <w:i/>
          <w:iCs/>
          <w:sz w:val="22"/>
          <w:szCs w:val="22"/>
        </w:rPr>
        <w:t xml:space="preserve">Une Approche Fondée sur les Droits de l’Homme </w:t>
      </w:r>
      <w:r w:rsidR="00112C6C" w:rsidRPr="00986492">
        <w:rPr>
          <w:i/>
          <w:iCs/>
          <w:sz w:val="22"/>
          <w:szCs w:val="22"/>
        </w:rPr>
        <w:t xml:space="preserve">: </w:t>
      </w:r>
      <w:r w:rsidR="00986492" w:rsidRPr="00986492">
        <w:rPr>
          <w:sz w:val="22"/>
          <w:szCs w:val="22"/>
        </w:rPr>
        <w:t>Les actions proposées doivent être développées et mises en œuvre sur la base d'une approche fondée sur les droits de l'homme : elles doivent être fondées sur les normes internationales en matière de droits de l'homme et destinées à promouvoir et à protéger les droits de l'homme, et doivent aussi veiller à la participation des personnes les plus marginalisées, exclues ou victimes de discrimination.</w:t>
      </w:r>
    </w:p>
    <w:p w14:paraId="3C4BB785" w14:textId="77777777" w:rsidR="00986492" w:rsidRDefault="00986492" w:rsidP="00986492">
      <w:pPr>
        <w:pStyle w:val="ListParagraph"/>
        <w:jc w:val="both"/>
        <w:rPr>
          <w:sz w:val="22"/>
          <w:szCs w:val="22"/>
        </w:rPr>
      </w:pPr>
    </w:p>
    <w:p w14:paraId="1D8CFBB0" w14:textId="02E85377" w:rsidR="003E4E82" w:rsidRPr="00986492" w:rsidRDefault="003E4E82" w:rsidP="00986492">
      <w:pPr>
        <w:pStyle w:val="ListParagraph"/>
        <w:jc w:val="both"/>
        <w:rPr>
          <w:sz w:val="22"/>
          <w:szCs w:val="22"/>
        </w:rPr>
      </w:pPr>
      <w:r w:rsidRPr="003E4E82">
        <w:rPr>
          <w:sz w:val="22"/>
          <w:szCs w:val="22"/>
        </w:rPr>
        <w:t xml:space="preserve">Tous les </w:t>
      </w:r>
      <w:r>
        <w:rPr>
          <w:sz w:val="22"/>
          <w:szCs w:val="22"/>
        </w:rPr>
        <w:t>projets</w:t>
      </w:r>
      <w:r w:rsidRPr="003E4E82">
        <w:rPr>
          <w:sz w:val="22"/>
          <w:szCs w:val="22"/>
        </w:rPr>
        <w:t xml:space="preserve"> bénéficiant d'un financement partiel ou total du GMDF devront respecter les normes internationales en matière de liberté d'expression et de sécurité des journalistes (telles que définies par la DUDH et le PIDCP, ainsi que par les résolutions pertinentes des Nations Unies et des organismes régionaux des droits de l'homme) et se conformer au Plan d'action des Nations Unies sur la Sécurité des Journalistes et la Question de l'Impunité.</w:t>
      </w:r>
    </w:p>
    <w:p w14:paraId="797FFD4C" w14:textId="77777777" w:rsidR="00684B4C" w:rsidRPr="003D332F" w:rsidRDefault="00684B4C" w:rsidP="00085EA2">
      <w:pPr>
        <w:pStyle w:val="ListParagraph"/>
        <w:jc w:val="both"/>
        <w:rPr>
          <w:sz w:val="22"/>
          <w:szCs w:val="22"/>
        </w:rPr>
      </w:pPr>
    </w:p>
    <w:p w14:paraId="7B79776D" w14:textId="6516FC67" w:rsidR="007C32D6" w:rsidRPr="004B0D08" w:rsidRDefault="00B71ECE" w:rsidP="008856D9">
      <w:pPr>
        <w:pStyle w:val="ListParagraph"/>
        <w:numPr>
          <w:ilvl w:val="0"/>
          <w:numId w:val="17"/>
        </w:numPr>
        <w:jc w:val="both"/>
        <w:rPr>
          <w:sz w:val="22"/>
          <w:szCs w:val="22"/>
        </w:rPr>
      </w:pPr>
      <w:r w:rsidRPr="004B0D08">
        <w:rPr>
          <w:i/>
          <w:iCs/>
          <w:sz w:val="22"/>
          <w:szCs w:val="22"/>
        </w:rPr>
        <w:t xml:space="preserve">L’égalité des genres </w:t>
      </w:r>
      <w:r w:rsidR="00684B4C" w:rsidRPr="004B0D08">
        <w:rPr>
          <w:i/>
          <w:iCs/>
          <w:sz w:val="22"/>
          <w:szCs w:val="22"/>
        </w:rPr>
        <w:t>:</w:t>
      </w:r>
      <w:r w:rsidR="00CE1DE8" w:rsidRPr="004B0D08">
        <w:rPr>
          <w:i/>
          <w:iCs/>
          <w:sz w:val="22"/>
          <w:szCs w:val="22"/>
        </w:rPr>
        <w:t xml:space="preserve"> </w:t>
      </w:r>
      <w:r w:rsidR="004B0D08" w:rsidRPr="004B0D08">
        <w:rPr>
          <w:sz w:val="22"/>
          <w:szCs w:val="22"/>
        </w:rPr>
        <w:t>Toutes les propositions de partenariat sollicitant un financement du GMDF doivent intégrer la dimension de genre tout au long de l'élaboration et de la mise en œuvre de l'action qu'elles proposent</w:t>
      </w:r>
      <w:r w:rsidR="004B0D08">
        <w:rPr>
          <w:sz w:val="22"/>
          <w:szCs w:val="22"/>
        </w:rPr>
        <w:t>.</w:t>
      </w:r>
    </w:p>
    <w:p w14:paraId="22490C86" w14:textId="77777777" w:rsidR="0012573D" w:rsidRDefault="0012573D" w:rsidP="007C32D6">
      <w:pPr>
        <w:pStyle w:val="ListParagraph"/>
        <w:jc w:val="both"/>
        <w:rPr>
          <w:i/>
          <w:iCs/>
          <w:sz w:val="22"/>
          <w:szCs w:val="22"/>
        </w:rPr>
      </w:pPr>
    </w:p>
    <w:p w14:paraId="6BB3D3EA" w14:textId="440BDB28" w:rsidR="007C32D6" w:rsidRPr="0012573D" w:rsidRDefault="0038433C" w:rsidP="007C32D6">
      <w:pPr>
        <w:pStyle w:val="ListParagraph"/>
        <w:jc w:val="both"/>
        <w:rPr>
          <w:sz w:val="22"/>
          <w:szCs w:val="22"/>
        </w:rPr>
      </w:pPr>
      <w:r>
        <w:rPr>
          <w:sz w:val="22"/>
          <w:szCs w:val="22"/>
        </w:rPr>
        <w:t xml:space="preserve">Même si le </w:t>
      </w:r>
      <w:r w:rsidR="00DE4C81">
        <w:rPr>
          <w:sz w:val="22"/>
          <w:szCs w:val="22"/>
        </w:rPr>
        <w:t>fait d’a</w:t>
      </w:r>
      <w:r w:rsidR="0012573D" w:rsidRPr="0012573D">
        <w:rPr>
          <w:sz w:val="22"/>
          <w:szCs w:val="22"/>
        </w:rPr>
        <w:t xml:space="preserve">ssurer la participation égale des femmes, des hommes et des personnes d'autres identités </w:t>
      </w:r>
      <w:r w:rsidR="0012573D">
        <w:rPr>
          <w:sz w:val="22"/>
          <w:szCs w:val="22"/>
        </w:rPr>
        <w:t>de genre</w:t>
      </w:r>
      <w:r w:rsidR="0012573D" w:rsidRPr="0012573D">
        <w:rPr>
          <w:sz w:val="22"/>
          <w:szCs w:val="22"/>
        </w:rPr>
        <w:t xml:space="preserve"> </w:t>
      </w:r>
      <w:r w:rsidR="00F65196">
        <w:rPr>
          <w:sz w:val="22"/>
          <w:szCs w:val="22"/>
        </w:rPr>
        <w:t>aux</w:t>
      </w:r>
      <w:r w:rsidR="0012573D" w:rsidRPr="0012573D">
        <w:rPr>
          <w:sz w:val="22"/>
          <w:szCs w:val="22"/>
        </w:rPr>
        <w:t xml:space="preserve"> </w:t>
      </w:r>
      <w:r w:rsidR="00F65196">
        <w:rPr>
          <w:sz w:val="22"/>
          <w:szCs w:val="22"/>
        </w:rPr>
        <w:t>processus de prise</w:t>
      </w:r>
      <w:r w:rsidR="0012573D" w:rsidRPr="0012573D">
        <w:rPr>
          <w:sz w:val="22"/>
          <w:szCs w:val="22"/>
        </w:rPr>
        <w:t xml:space="preserve"> de décision et en tant que bénéficiaires du projet </w:t>
      </w:r>
      <w:r w:rsidR="00F65196">
        <w:rPr>
          <w:sz w:val="22"/>
          <w:szCs w:val="22"/>
        </w:rPr>
        <w:t>constitue</w:t>
      </w:r>
      <w:r w:rsidR="0012573D" w:rsidRPr="0012573D">
        <w:rPr>
          <w:sz w:val="22"/>
          <w:szCs w:val="22"/>
        </w:rPr>
        <w:t xml:space="preserve"> un premier pas, cela ne satisfait pas à l'exigence d'intég</w:t>
      </w:r>
      <w:r w:rsidR="00F65196">
        <w:rPr>
          <w:sz w:val="22"/>
          <w:szCs w:val="22"/>
        </w:rPr>
        <w:t>rer</w:t>
      </w:r>
      <w:r w:rsidR="0012573D" w:rsidRPr="0012573D">
        <w:rPr>
          <w:sz w:val="22"/>
          <w:szCs w:val="22"/>
        </w:rPr>
        <w:t xml:space="preserve"> la dimension de genre. Pour y parvenir, il convient d'adopter une perspective d'égalité dans l'identification des problèmes, des préoccupations et des besoins des bénéficiaires, ainsi que dans la définition des moyens à mettre en œuvre pour y répondre.</w:t>
      </w:r>
    </w:p>
    <w:p w14:paraId="1D0EA556" w14:textId="2A5D90BC" w:rsidR="004B0470" w:rsidRPr="004B0470" w:rsidRDefault="004B0470" w:rsidP="00E712EB">
      <w:pPr>
        <w:ind w:left="708"/>
        <w:jc w:val="both"/>
        <w:rPr>
          <w:sz w:val="22"/>
          <w:szCs w:val="22"/>
        </w:rPr>
      </w:pPr>
      <w:r w:rsidRPr="004B0470">
        <w:rPr>
          <w:sz w:val="22"/>
          <w:szCs w:val="22"/>
        </w:rPr>
        <w:t xml:space="preserve">Toutes les actions soutenues par le </w:t>
      </w:r>
      <w:r>
        <w:rPr>
          <w:sz w:val="22"/>
          <w:szCs w:val="22"/>
        </w:rPr>
        <w:t xml:space="preserve">GMDF </w:t>
      </w:r>
      <w:r w:rsidRPr="004B0470">
        <w:rPr>
          <w:sz w:val="22"/>
          <w:szCs w:val="22"/>
        </w:rPr>
        <w:t>doivent</w:t>
      </w:r>
      <w:r>
        <w:rPr>
          <w:sz w:val="22"/>
          <w:szCs w:val="22"/>
        </w:rPr>
        <w:t> :</w:t>
      </w:r>
    </w:p>
    <w:p w14:paraId="09C1B805" w14:textId="77777777" w:rsidR="00FF2605" w:rsidRDefault="00902DAE" w:rsidP="00F65DDF">
      <w:pPr>
        <w:pStyle w:val="ListParagraph"/>
        <w:numPr>
          <w:ilvl w:val="1"/>
          <w:numId w:val="1"/>
        </w:numPr>
        <w:jc w:val="both"/>
        <w:rPr>
          <w:sz w:val="22"/>
          <w:szCs w:val="22"/>
        </w:rPr>
      </w:pPr>
      <w:r w:rsidRPr="00902DAE">
        <w:rPr>
          <w:sz w:val="22"/>
          <w:szCs w:val="22"/>
        </w:rPr>
        <w:t>Aborder activement les risques spécifiques auxquels sont confrontées les femmes journalistes et les professionne</w:t>
      </w:r>
      <w:r w:rsidR="008947C9">
        <w:rPr>
          <w:sz w:val="22"/>
          <w:szCs w:val="22"/>
        </w:rPr>
        <w:t>ls</w:t>
      </w:r>
      <w:r w:rsidR="008E77A8">
        <w:rPr>
          <w:sz w:val="22"/>
          <w:szCs w:val="22"/>
        </w:rPr>
        <w:t xml:space="preserve"> des médias d’autres identités de genre </w:t>
      </w:r>
      <w:r w:rsidRPr="00902DAE">
        <w:rPr>
          <w:sz w:val="22"/>
          <w:szCs w:val="22"/>
        </w:rPr>
        <w:t>dans la conduite de leur travail –y compris la discrimination et la violence sexuelle et sexiste, l'intimidation et le harcèlement, en ligne et hors ligne– lors de la mise en place de mesures visant à assurer la sécurité des journalistes</w:t>
      </w:r>
      <w:r w:rsidR="00FF2605">
        <w:rPr>
          <w:sz w:val="22"/>
          <w:szCs w:val="22"/>
        </w:rPr>
        <w:t> ;</w:t>
      </w:r>
    </w:p>
    <w:p w14:paraId="6C7BE12E" w14:textId="30D6DA68" w:rsidR="00D235DD" w:rsidRDefault="00902DAE" w:rsidP="00F65DDF">
      <w:pPr>
        <w:pStyle w:val="ListParagraph"/>
        <w:numPr>
          <w:ilvl w:val="1"/>
          <w:numId w:val="1"/>
        </w:numPr>
        <w:jc w:val="both"/>
        <w:rPr>
          <w:sz w:val="22"/>
          <w:szCs w:val="22"/>
        </w:rPr>
      </w:pPr>
      <w:r w:rsidRPr="00902DAE">
        <w:rPr>
          <w:sz w:val="22"/>
          <w:szCs w:val="22"/>
        </w:rPr>
        <w:lastRenderedPageBreak/>
        <w:t>Promouvoir l'égalité des genres et</w:t>
      </w:r>
      <w:r w:rsidR="00E65547">
        <w:rPr>
          <w:sz w:val="22"/>
          <w:szCs w:val="22"/>
        </w:rPr>
        <w:t xml:space="preserve"> l’autonomisation</w:t>
      </w:r>
      <w:r w:rsidRPr="00902DAE">
        <w:rPr>
          <w:sz w:val="22"/>
          <w:szCs w:val="22"/>
        </w:rPr>
        <w:t xml:space="preserve"> des femmes</w:t>
      </w:r>
      <w:r w:rsidR="00D235DD">
        <w:rPr>
          <w:sz w:val="22"/>
          <w:szCs w:val="22"/>
        </w:rPr>
        <w:t xml:space="preserve"> et des personnes d’autres identités de genre</w:t>
      </w:r>
      <w:r w:rsidRPr="00902DAE">
        <w:rPr>
          <w:sz w:val="22"/>
          <w:szCs w:val="22"/>
        </w:rPr>
        <w:t xml:space="preserve"> dans l'équipe du Projet et dans la mise en œuvre des Activités du Projet. </w:t>
      </w:r>
    </w:p>
    <w:p w14:paraId="0320E899" w14:textId="64B86ABB" w:rsidR="00902DAE" w:rsidRPr="004B0470" w:rsidRDefault="00D235DD" w:rsidP="00F65DDF">
      <w:pPr>
        <w:pStyle w:val="ListParagraph"/>
        <w:numPr>
          <w:ilvl w:val="1"/>
          <w:numId w:val="1"/>
        </w:numPr>
        <w:jc w:val="both"/>
        <w:rPr>
          <w:sz w:val="22"/>
          <w:szCs w:val="22"/>
        </w:rPr>
      </w:pPr>
      <w:r>
        <w:rPr>
          <w:sz w:val="22"/>
          <w:szCs w:val="22"/>
        </w:rPr>
        <w:t>Dans la mesure du possible, r</w:t>
      </w:r>
      <w:r w:rsidR="00902DAE" w:rsidRPr="004B0470">
        <w:rPr>
          <w:sz w:val="22"/>
          <w:szCs w:val="22"/>
        </w:rPr>
        <w:t>ecueillir, assurer le suivi et analyser les données et les informations de manière ventilée par genre afin de mettre en évidence les risques spécifiques auxquels sont confrontées les femmes journalistes</w:t>
      </w:r>
      <w:r w:rsidR="00E36D49">
        <w:rPr>
          <w:sz w:val="22"/>
          <w:szCs w:val="22"/>
        </w:rPr>
        <w:t xml:space="preserve"> et les professionnels des médias d'autres identité de genre</w:t>
      </w:r>
      <w:r w:rsidR="00902DAE" w:rsidRPr="004B0470">
        <w:rPr>
          <w:sz w:val="22"/>
          <w:szCs w:val="22"/>
        </w:rPr>
        <w:t xml:space="preserve"> dans l'exercice de leur métier, ainsi que d'évaluer comment l'impact du Projet diffère pour les femmes</w:t>
      </w:r>
      <w:r w:rsidR="0051734B">
        <w:rPr>
          <w:sz w:val="22"/>
          <w:szCs w:val="22"/>
        </w:rPr>
        <w:t xml:space="preserve">, </w:t>
      </w:r>
      <w:r w:rsidR="00902DAE" w:rsidRPr="004B0470">
        <w:rPr>
          <w:sz w:val="22"/>
          <w:szCs w:val="22"/>
        </w:rPr>
        <w:t>les hommes</w:t>
      </w:r>
      <w:r w:rsidR="0051734B">
        <w:rPr>
          <w:sz w:val="22"/>
          <w:szCs w:val="22"/>
        </w:rPr>
        <w:t xml:space="preserve"> et</w:t>
      </w:r>
      <w:r w:rsidR="00902DAE" w:rsidRPr="004B0470">
        <w:rPr>
          <w:sz w:val="22"/>
          <w:szCs w:val="22"/>
        </w:rPr>
        <w:t xml:space="preserve"> </w:t>
      </w:r>
      <w:r w:rsidR="0051734B">
        <w:rPr>
          <w:sz w:val="22"/>
          <w:szCs w:val="22"/>
        </w:rPr>
        <w:t xml:space="preserve">les </w:t>
      </w:r>
      <w:r w:rsidR="00902DAE" w:rsidRPr="004B0470">
        <w:rPr>
          <w:sz w:val="22"/>
          <w:szCs w:val="22"/>
        </w:rPr>
        <w:t>journalistes</w:t>
      </w:r>
      <w:r w:rsidR="0051734B">
        <w:rPr>
          <w:sz w:val="22"/>
          <w:szCs w:val="22"/>
        </w:rPr>
        <w:t xml:space="preserve"> d’autres identités de genre</w:t>
      </w:r>
      <w:r w:rsidR="00902DAE" w:rsidRPr="004B0470">
        <w:rPr>
          <w:sz w:val="22"/>
          <w:szCs w:val="22"/>
        </w:rPr>
        <w:t>.</w:t>
      </w:r>
    </w:p>
    <w:p w14:paraId="219BAC58" w14:textId="77777777" w:rsidR="00653449" w:rsidRPr="00D235DD" w:rsidRDefault="00653449" w:rsidP="00C25C15">
      <w:pPr>
        <w:pStyle w:val="ListParagraph"/>
        <w:spacing w:after="0"/>
        <w:ind w:left="1440"/>
        <w:jc w:val="both"/>
        <w:rPr>
          <w:sz w:val="22"/>
          <w:szCs w:val="22"/>
        </w:rPr>
      </w:pPr>
    </w:p>
    <w:p w14:paraId="167B2408" w14:textId="6262B842" w:rsidR="0006456F" w:rsidRPr="0006456F" w:rsidRDefault="0006456F" w:rsidP="00F072FD">
      <w:pPr>
        <w:pStyle w:val="ListParagraph"/>
        <w:numPr>
          <w:ilvl w:val="0"/>
          <w:numId w:val="14"/>
        </w:numPr>
        <w:jc w:val="both"/>
        <w:rPr>
          <w:i/>
          <w:iCs/>
          <w:sz w:val="22"/>
          <w:szCs w:val="22"/>
        </w:rPr>
      </w:pPr>
      <w:r>
        <w:rPr>
          <w:i/>
          <w:iCs/>
          <w:sz w:val="22"/>
          <w:szCs w:val="22"/>
        </w:rPr>
        <w:t xml:space="preserve">Durée de l’action </w:t>
      </w:r>
      <w:r w:rsidR="00B07464" w:rsidRPr="0006456F">
        <w:rPr>
          <w:i/>
          <w:iCs/>
          <w:sz w:val="22"/>
          <w:szCs w:val="22"/>
        </w:rPr>
        <w:t xml:space="preserve">: </w:t>
      </w:r>
      <w:r w:rsidRPr="002729DC">
        <w:rPr>
          <w:sz w:val="22"/>
          <w:szCs w:val="22"/>
        </w:rPr>
        <w:t>L’action proposée doit être mise en œuvre sur une période de 6 mois minimum et 18 mois maximum.</w:t>
      </w:r>
      <w:r w:rsidR="002729DC">
        <w:rPr>
          <w:sz w:val="22"/>
          <w:szCs w:val="22"/>
        </w:rPr>
        <w:t xml:space="preserve"> </w:t>
      </w:r>
      <w:r w:rsidR="002729DC" w:rsidRPr="002729DC">
        <w:rPr>
          <w:sz w:val="22"/>
          <w:szCs w:val="22"/>
        </w:rPr>
        <w:t>La durée du projet correspond à la période pendant laquelle les coûts du projet sont encourus et les activités du projet se déroulent.</w:t>
      </w:r>
    </w:p>
    <w:p w14:paraId="185D39E6" w14:textId="77777777" w:rsidR="00AD692D" w:rsidRPr="002729DC" w:rsidRDefault="00AD692D" w:rsidP="00AD692D">
      <w:pPr>
        <w:pStyle w:val="ListParagraph"/>
        <w:jc w:val="both"/>
        <w:rPr>
          <w:i/>
          <w:iCs/>
          <w:sz w:val="22"/>
          <w:szCs w:val="22"/>
        </w:rPr>
      </w:pPr>
    </w:p>
    <w:p w14:paraId="7C1CCF89" w14:textId="47676849" w:rsidR="00AD692D" w:rsidRPr="00F65168" w:rsidRDefault="002729DC" w:rsidP="00F072FD">
      <w:pPr>
        <w:pStyle w:val="ListParagraph"/>
        <w:numPr>
          <w:ilvl w:val="0"/>
          <w:numId w:val="14"/>
        </w:numPr>
        <w:jc w:val="both"/>
        <w:rPr>
          <w:i/>
          <w:iCs/>
          <w:sz w:val="22"/>
          <w:szCs w:val="22"/>
        </w:rPr>
      </w:pPr>
      <w:r w:rsidRPr="00BD16B6">
        <w:rPr>
          <w:i/>
          <w:iCs/>
          <w:sz w:val="22"/>
          <w:szCs w:val="22"/>
        </w:rPr>
        <w:t xml:space="preserve">Durabilité de l’action </w:t>
      </w:r>
      <w:r w:rsidR="00AD692D" w:rsidRPr="00BD16B6">
        <w:rPr>
          <w:i/>
          <w:iCs/>
          <w:sz w:val="22"/>
          <w:szCs w:val="22"/>
        </w:rPr>
        <w:t>:</w:t>
      </w:r>
      <w:r w:rsidR="00D600D7" w:rsidRPr="00BD16B6">
        <w:rPr>
          <w:i/>
          <w:iCs/>
          <w:sz w:val="22"/>
          <w:szCs w:val="22"/>
        </w:rPr>
        <w:t xml:space="preserve"> </w:t>
      </w:r>
      <w:r w:rsidR="00F65168" w:rsidRPr="00F65168">
        <w:rPr>
          <w:sz w:val="22"/>
          <w:szCs w:val="22"/>
        </w:rPr>
        <w:t>Les propositions de partenariat doivent aller bien au-delà du niveau des activités et viser un changement durable et sur le long terme. Des mesures concrètes pour assurer la durabilité de l'action doivent être proposées.</w:t>
      </w:r>
    </w:p>
    <w:p w14:paraId="453C819A" w14:textId="77777777" w:rsidR="00DE7CC5" w:rsidRPr="00F65168" w:rsidRDefault="00DE7CC5" w:rsidP="00DE7CC5">
      <w:pPr>
        <w:pStyle w:val="ListParagraph"/>
        <w:rPr>
          <w:i/>
          <w:iCs/>
          <w:sz w:val="22"/>
          <w:szCs w:val="22"/>
        </w:rPr>
      </w:pPr>
    </w:p>
    <w:p w14:paraId="0D68E07F" w14:textId="50B048EA" w:rsidR="005B1FB6" w:rsidRPr="005B1FB6" w:rsidRDefault="00BD16B6" w:rsidP="00F072FD">
      <w:pPr>
        <w:pStyle w:val="ListParagraph"/>
        <w:numPr>
          <w:ilvl w:val="0"/>
          <w:numId w:val="14"/>
        </w:numPr>
        <w:jc w:val="both"/>
        <w:rPr>
          <w:i/>
          <w:iCs/>
          <w:sz w:val="22"/>
          <w:szCs w:val="22"/>
        </w:rPr>
      </w:pPr>
      <w:r w:rsidRPr="005B1FB6">
        <w:rPr>
          <w:i/>
          <w:iCs/>
          <w:sz w:val="22"/>
          <w:szCs w:val="22"/>
        </w:rPr>
        <w:t xml:space="preserve">Durabilité environnementale </w:t>
      </w:r>
      <w:r w:rsidR="00DE7CC5" w:rsidRPr="005B1FB6">
        <w:rPr>
          <w:i/>
          <w:iCs/>
          <w:sz w:val="22"/>
          <w:szCs w:val="22"/>
        </w:rPr>
        <w:t xml:space="preserve">: </w:t>
      </w:r>
      <w:r w:rsidR="005B1FB6" w:rsidRPr="00094F43">
        <w:rPr>
          <w:sz w:val="22"/>
          <w:szCs w:val="22"/>
        </w:rPr>
        <w:t>Dans le contexte de la crise environnementale mondiale, l'UNESCO fait</w:t>
      </w:r>
      <w:r w:rsidR="00094F43">
        <w:rPr>
          <w:sz w:val="22"/>
          <w:szCs w:val="22"/>
        </w:rPr>
        <w:t xml:space="preserve"> le possible pour</w:t>
      </w:r>
      <w:r w:rsidR="005B1FB6" w:rsidRPr="00094F43">
        <w:rPr>
          <w:sz w:val="22"/>
          <w:szCs w:val="22"/>
        </w:rPr>
        <w:t xml:space="preserve"> que les projets soutenus par le </w:t>
      </w:r>
      <w:r w:rsidR="00094F43">
        <w:rPr>
          <w:sz w:val="22"/>
          <w:szCs w:val="22"/>
        </w:rPr>
        <w:t>GMDF</w:t>
      </w:r>
      <w:r w:rsidR="005B1FB6" w:rsidRPr="00094F43">
        <w:rPr>
          <w:sz w:val="22"/>
          <w:szCs w:val="22"/>
        </w:rPr>
        <w:t xml:space="preserve"> ne nuisent pas à l'environnement et protègent les écosystèmes locaux. Les partenaires </w:t>
      </w:r>
      <w:r w:rsidR="00666DCC">
        <w:rPr>
          <w:sz w:val="22"/>
          <w:szCs w:val="22"/>
        </w:rPr>
        <w:t xml:space="preserve">d’exécution </w:t>
      </w:r>
      <w:r w:rsidR="005B1FB6" w:rsidRPr="00094F43">
        <w:rPr>
          <w:sz w:val="22"/>
          <w:szCs w:val="22"/>
        </w:rPr>
        <w:t xml:space="preserve">doivent intégrer des considérations de durabilité dans les processus </w:t>
      </w:r>
      <w:r w:rsidR="00632710">
        <w:rPr>
          <w:sz w:val="22"/>
          <w:szCs w:val="22"/>
        </w:rPr>
        <w:t xml:space="preserve">d’acquisition </w:t>
      </w:r>
      <w:r w:rsidR="005B1FB6" w:rsidRPr="00094F43">
        <w:rPr>
          <w:sz w:val="22"/>
          <w:szCs w:val="22"/>
        </w:rPr>
        <w:t xml:space="preserve">associés à la mise en œuvre des projets bénéficiant du soutien de l'UNESCO et du </w:t>
      </w:r>
      <w:r w:rsidR="00632710">
        <w:rPr>
          <w:sz w:val="22"/>
          <w:szCs w:val="22"/>
        </w:rPr>
        <w:t>GMDF</w:t>
      </w:r>
      <w:r w:rsidR="005B1FB6" w:rsidRPr="00094F43">
        <w:rPr>
          <w:sz w:val="22"/>
          <w:szCs w:val="22"/>
        </w:rPr>
        <w:t>.</w:t>
      </w:r>
    </w:p>
    <w:p w14:paraId="47906633" w14:textId="77777777" w:rsidR="00F9299C" w:rsidRPr="00632710" w:rsidRDefault="00F9299C" w:rsidP="00F9299C">
      <w:pPr>
        <w:pStyle w:val="ListParagraph"/>
        <w:spacing w:after="0"/>
        <w:jc w:val="both"/>
        <w:rPr>
          <w:i/>
          <w:iCs/>
          <w:sz w:val="22"/>
          <w:szCs w:val="22"/>
        </w:rPr>
      </w:pPr>
    </w:p>
    <w:p w14:paraId="03DB5FE0" w14:textId="2A58D8DF" w:rsidR="001C37DB" w:rsidRPr="00FB6FE9" w:rsidRDefault="00FB6FE9" w:rsidP="001C37DB">
      <w:pPr>
        <w:jc w:val="both"/>
        <w:rPr>
          <w:sz w:val="22"/>
          <w:szCs w:val="22"/>
        </w:rPr>
      </w:pPr>
      <w:r w:rsidRPr="00FB6FE9">
        <w:rPr>
          <w:i/>
          <w:iCs/>
          <w:sz w:val="22"/>
          <w:szCs w:val="22"/>
        </w:rPr>
        <w:t>Les priorités mondiales de l’UN</w:t>
      </w:r>
      <w:r>
        <w:rPr>
          <w:i/>
          <w:iCs/>
          <w:sz w:val="22"/>
          <w:szCs w:val="22"/>
        </w:rPr>
        <w:t xml:space="preserve">ESCO : l’Afrique et l’égalité des genres  </w:t>
      </w:r>
    </w:p>
    <w:p w14:paraId="08E17F96" w14:textId="57421BD7" w:rsidR="00B3535A" w:rsidRPr="00B3535A" w:rsidRDefault="00B3535A" w:rsidP="001C37DB">
      <w:pPr>
        <w:jc w:val="both"/>
        <w:rPr>
          <w:sz w:val="22"/>
          <w:szCs w:val="22"/>
        </w:rPr>
      </w:pPr>
      <w:r w:rsidRPr="00B3535A">
        <w:rPr>
          <w:sz w:val="22"/>
          <w:szCs w:val="22"/>
        </w:rPr>
        <w:t>Conformément aux priorités globales de l'UNESCO que sont l'</w:t>
      </w:r>
      <w:hyperlink r:id="rId20" w:history="1">
        <w:r w:rsidRPr="00F730F8">
          <w:rPr>
            <w:rStyle w:val="Hyperlink"/>
            <w:sz w:val="22"/>
            <w:szCs w:val="22"/>
          </w:rPr>
          <w:t>Afrique</w:t>
        </w:r>
      </w:hyperlink>
      <w:r w:rsidRPr="00B3535A">
        <w:rPr>
          <w:sz w:val="22"/>
          <w:szCs w:val="22"/>
        </w:rPr>
        <w:t xml:space="preserve"> et l'</w:t>
      </w:r>
      <w:hyperlink r:id="rId21" w:history="1">
        <w:r w:rsidRPr="00F730F8">
          <w:rPr>
            <w:rStyle w:val="Hyperlink"/>
            <w:sz w:val="22"/>
            <w:szCs w:val="22"/>
          </w:rPr>
          <w:t>égalité des genres</w:t>
        </w:r>
      </w:hyperlink>
      <w:r w:rsidRPr="00B3535A">
        <w:rPr>
          <w:sz w:val="22"/>
          <w:szCs w:val="22"/>
        </w:rPr>
        <w:t>, une note supplémentaire sera attribuée aux propositions de partenariat répondant à au moins l'un des critères suivants :</w:t>
      </w:r>
    </w:p>
    <w:p w14:paraId="5F74ED53" w14:textId="79295D6C" w:rsidR="0030375D" w:rsidRDefault="0030375D" w:rsidP="002B4BC7">
      <w:pPr>
        <w:pStyle w:val="ListParagraph"/>
        <w:numPr>
          <w:ilvl w:val="0"/>
          <w:numId w:val="18"/>
        </w:numPr>
        <w:jc w:val="both"/>
        <w:rPr>
          <w:sz w:val="22"/>
          <w:szCs w:val="22"/>
        </w:rPr>
      </w:pPr>
      <w:r>
        <w:rPr>
          <w:sz w:val="22"/>
          <w:szCs w:val="22"/>
        </w:rPr>
        <w:t>P</w:t>
      </w:r>
      <w:r w:rsidRPr="0030375D">
        <w:rPr>
          <w:sz w:val="22"/>
          <w:szCs w:val="22"/>
        </w:rPr>
        <w:t>ropositions provenant de/ou ciblant l'Afrique</w:t>
      </w:r>
      <w:r>
        <w:rPr>
          <w:sz w:val="22"/>
          <w:szCs w:val="22"/>
        </w:rPr>
        <w:t> ;</w:t>
      </w:r>
    </w:p>
    <w:p w14:paraId="569E4067" w14:textId="5F60A396" w:rsidR="0030375D" w:rsidRPr="0030375D" w:rsidRDefault="00FF2D48" w:rsidP="002B4BC7">
      <w:pPr>
        <w:pStyle w:val="ListParagraph"/>
        <w:numPr>
          <w:ilvl w:val="0"/>
          <w:numId w:val="18"/>
        </w:numPr>
        <w:jc w:val="both"/>
        <w:rPr>
          <w:sz w:val="22"/>
          <w:szCs w:val="22"/>
        </w:rPr>
      </w:pPr>
      <w:r>
        <w:rPr>
          <w:sz w:val="22"/>
          <w:szCs w:val="22"/>
        </w:rPr>
        <w:t>P</w:t>
      </w:r>
      <w:r w:rsidRPr="00FF2D48">
        <w:rPr>
          <w:sz w:val="22"/>
          <w:szCs w:val="22"/>
        </w:rPr>
        <w:t>ropositions abordant les menaces spécifiques auxquelles sont confrontées les femmes journalistes, ciblant les femmes journalistes comme les principales bénéficiaires de l'action, et/ou contribuant de manière significative à l'égalité des genres par la mise en œuvre des actions proposées</w:t>
      </w:r>
      <w:r w:rsidR="00041EF0">
        <w:rPr>
          <w:sz w:val="22"/>
          <w:szCs w:val="22"/>
        </w:rPr>
        <w:t>.</w:t>
      </w:r>
    </w:p>
    <w:p w14:paraId="32C53E79" w14:textId="2DC6B274" w:rsidR="005221FA" w:rsidRPr="00417B7E" w:rsidRDefault="00675604" w:rsidP="005221FA">
      <w:pPr>
        <w:jc w:val="both"/>
        <w:rPr>
          <w:i/>
          <w:iCs/>
          <w:sz w:val="22"/>
          <w:szCs w:val="22"/>
        </w:rPr>
      </w:pPr>
      <w:r w:rsidRPr="00417B7E">
        <w:rPr>
          <w:i/>
          <w:iCs/>
          <w:sz w:val="22"/>
          <w:szCs w:val="22"/>
        </w:rPr>
        <w:t>Attention particulière</w:t>
      </w:r>
      <w:r w:rsidR="00417B7E" w:rsidRPr="00417B7E">
        <w:rPr>
          <w:i/>
          <w:iCs/>
          <w:sz w:val="22"/>
          <w:szCs w:val="22"/>
        </w:rPr>
        <w:t xml:space="preserve"> : PMA, </w:t>
      </w:r>
      <w:r w:rsidR="00A73964">
        <w:rPr>
          <w:i/>
          <w:iCs/>
          <w:sz w:val="22"/>
          <w:szCs w:val="22"/>
        </w:rPr>
        <w:t>PEID,</w:t>
      </w:r>
      <w:r w:rsidR="00417B7E">
        <w:rPr>
          <w:i/>
          <w:iCs/>
          <w:sz w:val="22"/>
          <w:szCs w:val="22"/>
        </w:rPr>
        <w:t xml:space="preserve"> Peuples autochtones</w:t>
      </w:r>
    </w:p>
    <w:p w14:paraId="1648B559" w14:textId="5C18D796" w:rsidR="00C57864" w:rsidRPr="00C57864" w:rsidRDefault="00C57864" w:rsidP="005221FA">
      <w:pPr>
        <w:jc w:val="both"/>
        <w:rPr>
          <w:sz w:val="22"/>
          <w:szCs w:val="22"/>
        </w:rPr>
      </w:pPr>
      <w:r w:rsidRPr="00C57864">
        <w:rPr>
          <w:sz w:val="22"/>
          <w:szCs w:val="22"/>
        </w:rPr>
        <w:t>Une attention particulière sera accordée à</w:t>
      </w:r>
      <w:r>
        <w:rPr>
          <w:sz w:val="22"/>
          <w:szCs w:val="22"/>
        </w:rPr>
        <w:t> :</w:t>
      </w:r>
    </w:p>
    <w:p w14:paraId="21C8F2BE" w14:textId="6C85E8DE" w:rsidR="00382F23" w:rsidRDefault="009D102C" w:rsidP="005648E6">
      <w:pPr>
        <w:pStyle w:val="ListParagraph"/>
        <w:numPr>
          <w:ilvl w:val="0"/>
          <w:numId w:val="19"/>
        </w:numPr>
        <w:jc w:val="both"/>
        <w:rPr>
          <w:sz w:val="22"/>
          <w:szCs w:val="22"/>
        </w:rPr>
      </w:pPr>
      <w:r>
        <w:rPr>
          <w:sz w:val="22"/>
          <w:szCs w:val="22"/>
        </w:rPr>
        <w:t xml:space="preserve">Des projets </w:t>
      </w:r>
      <w:r w:rsidR="002C4333">
        <w:rPr>
          <w:sz w:val="22"/>
          <w:szCs w:val="22"/>
        </w:rPr>
        <w:t>p</w:t>
      </w:r>
      <w:r w:rsidRPr="009D102C">
        <w:rPr>
          <w:sz w:val="22"/>
          <w:szCs w:val="22"/>
        </w:rPr>
        <w:t xml:space="preserve">rovenant de/ou ciblant des </w:t>
      </w:r>
      <w:hyperlink r:id="rId22" w:history="1">
        <w:r w:rsidRPr="003B2D65">
          <w:rPr>
            <w:rStyle w:val="Hyperlink"/>
            <w:sz w:val="22"/>
            <w:szCs w:val="22"/>
          </w:rPr>
          <w:t>pays les moins avancés (PMA)</w:t>
        </w:r>
      </w:hyperlink>
      <w:r w:rsidR="003B2D65">
        <w:rPr>
          <w:sz w:val="22"/>
          <w:szCs w:val="22"/>
        </w:rPr>
        <w:t xml:space="preserve"> </w:t>
      </w:r>
      <w:r w:rsidRPr="009D102C">
        <w:rPr>
          <w:sz w:val="22"/>
          <w:szCs w:val="22"/>
        </w:rPr>
        <w:t>;</w:t>
      </w:r>
      <w:r w:rsidR="00382F23" w:rsidRPr="009D102C">
        <w:rPr>
          <w:sz w:val="22"/>
          <w:szCs w:val="22"/>
        </w:rPr>
        <w:t xml:space="preserve"> </w:t>
      </w:r>
    </w:p>
    <w:p w14:paraId="5706E0A3" w14:textId="716CA13F" w:rsidR="002C4333" w:rsidRPr="009D102C" w:rsidRDefault="002C4333" w:rsidP="005648E6">
      <w:pPr>
        <w:pStyle w:val="ListParagraph"/>
        <w:numPr>
          <w:ilvl w:val="0"/>
          <w:numId w:val="19"/>
        </w:numPr>
        <w:jc w:val="both"/>
        <w:rPr>
          <w:sz w:val="22"/>
          <w:szCs w:val="22"/>
        </w:rPr>
      </w:pPr>
      <w:r>
        <w:rPr>
          <w:sz w:val="22"/>
          <w:szCs w:val="22"/>
        </w:rPr>
        <w:t>Des projets p</w:t>
      </w:r>
      <w:r w:rsidRPr="009D102C">
        <w:rPr>
          <w:sz w:val="22"/>
          <w:szCs w:val="22"/>
        </w:rPr>
        <w:t xml:space="preserve">rovenant de/ou ciblant des </w:t>
      </w:r>
      <w:hyperlink r:id="rId23" w:history="1">
        <w:r w:rsidRPr="003045AD">
          <w:rPr>
            <w:rStyle w:val="Hyperlink"/>
            <w:sz w:val="22"/>
            <w:szCs w:val="22"/>
          </w:rPr>
          <w:t>petits États insulaires en développement (PEID)</w:t>
        </w:r>
      </w:hyperlink>
      <w:r w:rsidR="003045AD">
        <w:rPr>
          <w:sz w:val="22"/>
          <w:szCs w:val="22"/>
        </w:rPr>
        <w:t xml:space="preserve"> </w:t>
      </w:r>
      <w:r w:rsidR="003B2D65">
        <w:rPr>
          <w:sz w:val="22"/>
          <w:szCs w:val="22"/>
        </w:rPr>
        <w:t>;</w:t>
      </w:r>
    </w:p>
    <w:p w14:paraId="1B9E0FE3" w14:textId="6F5A3AFA" w:rsidR="005648E6" w:rsidRPr="000847E5" w:rsidRDefault="000847E5" w:rsidP="005648E6">
      <w:pPr>
        <w:pStyle w:val="ListParagraph"/>
        <w:numPr>
          <w:ilvl w:val="0"/>
          <w:numId w:val="19"/>
        </w:numPr>
        <w:jc w:val="both"/>
        <w:rPr>
          <w:sz w:val="22"/>
          <w:szCs w:val="22"/>
        </w:rPr>
      </w:pPr>
      <w:r w:rsidRPr="000847E5">
        <w:rPr>
          <w:sz w:val="22"/>
          <w:szCs w:val="22"/>
        </w:rPr>
        <w:t xml:space="preserve">Des projets mis en œuvre par/avec une forte participation </w:t>
      </w:r>
      <w:hyperlink r:id="rId24" w:history="1">
        <w:r w:rsidRPr="00AB78D1">
          <w:rPr>
            <w:rStyle w:val="Hyperlink"/>
            <w:sz w:val="22"/>
            <w:szCs w:val="22"/>
          </w:rPr>
          <w:t xml:space="preserve">des </w:t>
        </w:r>
        <w:r w:rsidR="00BE37AA" w:rsidRPr="00AB78D1">
          <w:rPr>
            <w:rStyle w:val="Hyperlink"/>
            <w:sz w:val="22"/>
            <w:szCs w:val="22"/>
          </w:rPr>
          <w:t>peuples autochtones</w:t>
        </w:r>
      </w:hyperlink>
      <w:r w:rsidR="00BE37AA">
        <w:rPr>
          <w:sz w:val="22"/>
          <w:szCs w:val="22"/>
        </w:rPr>
        <w:t xml:space="preserve"> out</w:t>
      </w:r>
      <w:r w:rsidRPr="000847E5">
        <w:rPr>
          <w:sz w:val="22"/>
          <w:szCs w:val="22"/>
        </w:rPr>
        <w:t xml:space="preserve"> mettant l'accent sur celles-ci.</w:t>
      </w:r>
    </w:p>
    <w:p w14:paraId="0A46DEAE" w14:textId="1ACEE221" w:rsidR="00AC6BAD" w:rsidRPr="00AC6BAD" w:rsidRDefault="00AC6BAD" w:rsidP="00E14358">
      <w:pPr>
        <w:jc w:val="both"/>
        <w:rPr>
          <w:sz w:val="22"/>
          <w:szCs w:val="22"/>
        </w:rPr>
      </w:pPr>
      <w:r w:rsidRPr="00AC6BAD">
        <w:rPr>
          <w:sz w:val="22"/>
          <w:szCs w:val="22"/>
        </w:rPr>
        <w:lastRenderedPageBreak/>
        <w:t xml:space="preserve">Une attention particulière sera également accordée à </w:t>
      </w:r>
      <w:r>
        <w:rPr>
          <w:sz w:val="22"/>
          <w:szCs w:val="22"/>
        </w:rPr>
        <w:t>l’</w:t>
      </w:r>
      <w:r w:rsidRPr="00AC6BAD">
        <w:rPr>
          <w:sz w:val="22"/>
          <w:szCs w:val="22"/>
        </w:rPr>
        <w:t xml:space="preserve">utilisation des ressources et publications pertinentes de l'UNESCO, telles que les </w:t>
      </w:r>
      <w:hyperlink r:id="rId25" w:history="1">
        <w:r w:rsidRPr="00811784">
          <w:rPr>
            <w:rStyle w:val="Hyperlink"/>
            <w:sz w:val="22"/>
            <w:szCs w:val="22"/>
          </w:rPr>
          <w:t>résultats</w:t>
        </w:r>
      </w:hyperlink>
      <w:r w:rsidRPr="00AC6BAD">
        <w:rPr>
          <w:sz w:val="22"/>
          <w:szCs w:val="22"/>
        </w:rPr>
        <w:t xml:space="preserve"> des consultations régionales et thématiques marquant le 10e anniversaire du </w:t>
      </w:r>
      <w:r w:rsidR="00811784">
        <w:rPr>
          <w:sz w:val="22"/>
          <w:szCs w:val="22"/>
        </w:rPr>
        <w:t>P</w:t>
      </w:r>
      <w:r w:rsidRPr="00AC6BAD">
        <w:rPr>
          <w:sz w:val="22"/>
          <w:szCs w:val="22"/>
        </w:rPr>
        <w:t xml:space="preserve">lan d'action des Nations unies </w:t>
      </w:r>
      <w:r w:rsidR="00811784">
        <w:rPr>
          <w:sz w:val="22"/>
          <w:szCs w:val="22"/>
        </w:rPr>
        <w:t>sur</w:t>
      </w:r>
      <w:r w:rsidRPr="00AC6BAD">
        <w:rPr>
          <w:sz w:val="22"/>
          <w:szCs w:val="22"/>
        </w:rPr>
        <w:t xml:space="preserve"> la </w:t>
      </w:r>
      <w:r w:rsidR="00811784">
        <w:rPr>
          <w:sz w:val="22"/>
          <w:szCs w:val="22"/>
        </w:rPr>
        <w:t>S</w:t>
      </w:r>
      <w:r w:rsidRPr="00AC6BAD">
        <w:rPr>
          <w:sz w:val="22"/>
          <w:szCs w:val="22"/>
        </w:rPr>
        <w:t xml:space="preserve">écurité des </w:t>
      </w:r>
      <w:r w:rsidR="00811784">
        <w:rPr>
          <w:sz w:val="22"/>
          <w:szCs w:val="22"/>
        </w:rPr>
        <w:t>J</w:t>
      </w:r>
      <w:r w:rsidRPr="00AC6BAD">
        <w:rPr>
          <w:sz w:val="22"/>
          <w:szCs w:val="22"/>
        </w:rPr>
        <w:t xml:space="preserve">ournalistes et </w:t>
      </w:r>
      <w:r w:rsidR="00811784">
        <w:rPr>
          <w:sz w:val="22"/>
          <w:szCs w:val="22"/>
        </w:rPr>
        <w:t>la Question de</w:t>
      </w:r>
      <w:r w:rsidRPr="00AC6BAD">
        <w:rPr>
          <w:sz w:val="22"/>
          <w:szCs w:val="22"/>
        </w:rPr>
        <w:t xml:space="preserve"> l'</w:t>
      </w:r>
      <w:r w:rsidR="00811784">
        <w:rPr>
          <w:sz w:val="22"/>
          <w:szCs w:val="22"/>
        </w:rPr>
        <w:t>I</w:t>
      </w:r>
      <w:r w:rsidRPr="00AC6BAD">
        <w:rPr>
          <w:sz w:val="22"/>
          <w:szCs w:val="22"/>
        </w:rPr>
        <w:t>mpunité</w:t>
      </w:r>
      <w:r w:rsidR="00890C40">
        <w:rPr>
          <w:sz w:val="22"/>
          <w:szCs w:val="22"/>
        </w:rPr>
        <w:t> ;</w:t>
      </w:r>
      <w:r w:rsidRPr="00AC6BAD">
        <w:rPr>
          <w:sz w:val="22"/>
          <w:szCs w:val="22"/>
        </w:rPr>
        <w:t xml:space="preserve"> les </w:t>
      </w:r>
      <w:hyperlink r:id="rId26" w:history="1">
        <w:r w:rsidRPr="00890C40">
          <w:rPr>
            <w:rStyle w:val="Hyperlink"/>
            <w:sz w:val="22"/>
            <w:szCs w:val="22"/>
          </w:rPr>
          <w:t>notes</w:t>
        </w:r>
        <w:r w:rsidR="00890C40" w:rsidRPr="00890C40">
          <w:rPr>
            <w:rStyle w:val="Hyperlink"/>
            <w:sz w:val="22"/>
            <w:szCs w:val="22"/>
          </w:rPr>
          <w:t xml:space="preserve"> thématiques</w:t>
        </w:r>
      </w:hyperlink>
      <w:r w:rsidR="00890C40">
        <w:rPr>
          <w:sz w:val="22"/>
          <w:szCs w:val="22"/>
        </w:rPr>
        <w:t xml:space="preserve"> </w:t>
      </w:r>
      <w:r w:rsidRPr="00AC6BAD">
        <w:rPr>
          <w:sz w:val="22"/>
          <w:szCs w:val="22"/>
        </w:rPr>
        <w:t xml:space="preserve">de la série des </w:t>
      </w:r>
      <w:r w:rsidR="003B3F58">
        <w:rPr>
          <w:sz w:val="22"/>
          <w:szCs w:val="22"/>
        </w:rPr>
        <w:t>R</w:t>
      </w:r>
      <w:r w:rsidRPr="00AC6BAD">
        <w:rPr>
          <w:sz w:val="22"/>
          <w:szCs w:val="22"/>
        </w:rPr>
        <w:t xml:space="preserve">apports sur les </w:t>
      </w:r>
      <w:r w:rsidR="003B3F58">
        <w:rPr>
          <w:sz w:val="22"/>
          <w:szCs w:val="22"/>
        </w:rPr>
        <w:t>T</w:t>
      </w:r>
      <w:r w:rsidRPr="00AC6BAD">
        <w:rPr>
          <w:sz w:val="22"/>
          <w:szCs w:val="22"/>
        </w:rPr>
        <w:t>endances mondiales de l'UNESCO</w:t>
      </w:r>
      <w:r w:rsidR="003B3F58">
        <w:rPr>
          <w:sz w:val="22"/>
          <w:szCs w:val="22"/>
        </w:rPr>
        <w:t> ;</w:t>
      </w:r>
      <w:r w:rsidRPr="00AC6BAD">
        <w:rPr>
          <w:sz w:val="22"/>
          <w:szCs w:val="22"/>
        </w:rPr>
        <w:t xml:space="preserve"> les </w:t>
      </w:r>
      <w:hyperlink r:id="rId27" w:history="1">
        <w:r w:rsidRPr="00D4784B">
          <w:rPr>
            <w:rStyle w:val="Hyperlink"/>
            <w:sz w:val="22"/>
            <w:szCs w:val="22"/>
          </w:rPr>
          <w:t>résultats</w:t>
        </w:r>
      </w:hyperlink>
      <w:r w:rsidRPr="00AC6BAD">
        <w:rPr>
          <w:sz w:val="22"/>
          <w:szCs w:val="22"/>
        </w:rPr>
        <w:t xml:space="preserve"> de la consultation sur la sécurité des femmes journalistes : </w:t>
      </w:r>
      <w:r w:rsidR="00D4784B" w:rsidRPr="00AC6BAD">
        <w:rPr>
          <w:sz w:val="22"/>
          <w:szCs w:val="22"/>
        </w:rPr>
        <w:t xml:space="preserve">10e anniversaire du </w:t>
      </w:r>
      <w:r w:rsidR="00D4784B">
        <w:rPr>
          <w:sz w:val="22"/>
          <w:szCs w:val="22"/>
        </w:rPr>
        <w:t>P</w:t>
      </w:r>
      <w:r w:rsidR="00D4784B" w:rsidRPr="00AC6BAD">
        <w:rPr>
          <w:sz w:val="22"/>
          <w:szCs w:val="22"/>
        </w:rPr>
        <w:t xml:space="preserve">lan d'action des Nations unies </w:t>
      </w:r>
      <w:r w:rsidR="00D4784B">
        <w:rPr>
          <w:sz w:val="22"/>
          <w:szCs w:val="22"/>
        </w:rPr>
        <w:t>sur</w:t>
      </w:r>
      <w:r w:rsidR="00D4784B" w:rsidRPr="00AC6BAD">
        <w:rPr>
          <w:sz w:val="22"/>
          <w:szCs w:val="22"/>
        </w:rPr>
        <w:t xml:space="preserve"> la </w:t>
      </w:r>
      <w:r w:rsidR="00D4784B">
        <w:rPr>
          <w:sz w:val="22"/>
          <w:szCs w:val="22"/>
        </w:rPr>
        <w:t>S</w:t>
      </w:r>
      <w:r w:rsidR="00D4784B" w:rsidRPr="00AC6BAD">
        <w:rPr>
          <w:sz w:val="22"/>
          <w:szCs w:val="22"/>
        </w:rPr>
        <w:t xml:space="preserve">écurité des </w:t>
      </w:r>
      <w:r w:rsidR="00D4784B">
        <w:rPr>
          <w:sz w:val="22"/>
          <w:szCs w:val="22"/>
        </w:rPr>
        <w:t>J</w:t>
      </w:r>
      <w:r w:rsidR="00D4784B" w:rsidRPr="00AC6BAD">
        <w:rPr>
          <w:sz w:val="22"/>
          <w:szCs w:val="22"/>
        </w:rPr>
        <w:t xml:space="preserve">ournalistes et </w:t>
      </w:r>
      <w:r w:rsidR="00D4784B">
        <w:rPr>
          <w:sz w:val="22"/>
          <w:szCs w:val="22"/>
        </w:rPr>
        <w:t>la Question de</w:t>
      </w:r>
      <w:r w:rsidR="00D4784B" w:rsidRPr="00AC6BAD">
        <w:rPr>
          <w:sz w:val="22"/>
          <w:szCs w:val="22"/>
        </w:rPr>
        <w:t xml:space="preserve"> l'</w:t>
      </w:r>
      <w:r w:rsidR="00D4784B">
        <w:rPr>
          <w:sz w:val="22"/>
          <w:szCs w:val="22"/>
        </w:rPr>
        <w:t>I</w:t>
      </w:r>
      <w:r w:rsidR="00D4784B" w:rsidRPr="00AC6BAD">
        <w:rPr>
          <w:sz w:val="22"/>
          <w:szCs w:val="22"/>
        </w:rPr>
        <w:t>mpunité</w:t>
      </w:r>
      <w:r w:rsidR="00D4784B">
        <w:rPr>
          <w:sz w:val="22"/>
          <w:szCs w:val="22"/>
        </w:rPr>
        <w:t> </w:t>
      </w:r>
      <w:r w:rsidRPr="00AC6BAD">
        <w:rPr>
          <w:sz w:val="22"/>
          <w:szCs w:val="22"/>
        </w:rPr>
        <w:t xml:space="preserve">; le </w:t>
      </w:r>
      <w:hyperlink r:id="rId28" w:history="1">
        <w:r w:rsidRPr="0096539E">
          <w:rPr>
            <w:rStyle w:val="Hyperlink"/>
            <w:sz w:val="22"/>
            <w:szCs w:val="22"/>
          </w:rPr>
          <w:t>rapport</w:t>
        </w:r>
      </w:hyperlink>
      <w:r w:rsidRPr="00AC6BAD">
        <w:rPr>
          <w:sz w:val="22"/>
          <w:szCs w:val="22"/>
        </w:rPr>
        <w:t xml:space="preserve"> "The </w:t>
      </w:r>
      <w:proofErr w:type="spellStart"/>
      <w:r w:rsidRPr="00AC6BAD">
        <w:rPr>
          <w:sz w:val="22"/>
          <w:szCs w:val="22"/>
        </w:rPr>
        <w:t>Chilling</w:t>
      </w:r>
      <w:proofErr w:type="spellEnd"/>
      <w:r w:rsidRPr="00AC6BAD">
        <w:rPr>
          <w:sz w:val="22"/>
          <w:szCs w:val="22"/>
        </w:rPr>
        <w:t xml:space="preserve"> : global trends in online violence </w:t>
      </w:r>
      <w:proofErr w:type="spellStart"/>
      <w:r w:rsidRPr="00AC6BAD">
        <w:rPr>
          <w:sz w:val="22"/>
          <w:szCs w:val="22"/>
        </w:rPr>
        <w:t>against</w:t>
      </w:r>
      <w:proofErr w:type="spellEnd"/>
      <w:r w:rsidRPr="00AC6BAD">
        <w:rPr>
          <w:sz w:val="22"/>
          <w:szCs w:val="22"/>
        </w:rPr>
        <w:t xml:space="preserve"> </w:t>
      </w:r>
      <w:proofErr w:type="spellStart"/>
      <w:r w:rsidRPr="00AC6BAD">
        <w:rPr>
          <w:sz w:val="22"/>
          <w:szCs w:val="22"/>
        </w:rPr>
        <w:t>women</w:t>
      </w:r>
      <w:proofErr w:type="spellEnd"/>
      <w:r w:rsidRPr="00AC6BAD">
        <w:rPr>
          <w:sz w:val="22"/>
          <w:szCs w:val="22"/>
        </w:rPr>
        <w:t xml:space="preserve"> </w:t>
      </w:r>
      <w:proofErr w:type="spellStart"/>
      <w:r w:rsidRPr="00AC6BAD">
        <w:rPr>
          <w:sz w:val="22"/>
          <w:szCs w:val="22"/>
        </w:rPr>
        <w:t>journalists</w:t>
      </w:r>
      <w:proofErr w:type="spellEnd"/>
      <w:r w:rsidRPr="00AC6BAD">
        <w:rPr>
          <w:sz w:val="22"/>
          <w:szCs w:val="22"/>
        </w:rPr>
        <w:t xml:space="preserve">", et les </w:t>
      </w:r>
      <w:hyperlink r:id="rId29" w:history="1">
        <w:r w:rsidR="0096539E" w:rsidRPr="00C35360">
          <w:rPr>
            <w:rStyle w:val="Hyperlink"/>
            <w:sz w:val="22"/>
            <w:szCs w:val="22"/>
          </w:rPr>
          <w:t>L</w:t>
        </w:r>
        <w:r w:rsidRPr="00C35360">
          <w:rPr>
            <w:rStyle w:val="Hyperlink"/>
            <w:sz w:val="22"/>
            <w:szCs w:val="22"/>
          </w:rPr>
          <w:t>ignes directrices</w:t>
        </w:r>
      </w:hyperlink>
      <w:r w:rsidRPr="00AC6BAD">
        <w:rPr>
          <w:sz w:val="22"/>
          <w:szCs w:val="22"/>
        </w:rPr>
        <w:t xml:space="preserve"> de l'UNESCO sur l'examen périodique universel pour les organisations de la société civile, parmi beaucoup d'autres.</w:t>
      </w:r>
    </w:p>
    <w:p w14:paraId="777B1906" w14:textId="1BAF1CEA" w:rsidR="00261143" w:rsidRPr="00C35360" w:rsidRDefault="00C35360" w:rsidP="00261143">
      <w:pPr>
        <w:jc w:val="both"/>
        <w:rPr>
          <w:i/>
          <w:iCs/>
          <w:sz w:val="22"/>
          <w:szCs w:val="22"/>
        </w:rPr>
      </w:pPr>
      <w:r w:rsidRPr="00C35360">
        <w:rPr>
          <w:i/>
          <w:iCs/>
          <w:sz w:val="22"/>
          <w:szCs w:val="20"/>
        </w:rPr>
        <w:t>Feuille de route mondiale de l'UNESCO pour l'information en tant que bien public face à la crise environnementale</w:t>
      </w:r>
      <w:r w:rsidRPr="00C35360">
        <w:rPr>
          <w:i/>
          <w:iCs/>
          <w:sz w:val="22"/>
          <w:szCs w:val="22"/>
        </w:rPr>
        <w:t xml:space="preserve"> </w:t>
      </w:r>
    </w:p>
    <w:p w14:paraId="676365A1" w14:textId="240BB01A" w:rsidR="00251B1A" w:rsidRPr="00251B1A" w:rsidRDefault="00251B1A" w:rsidP="00261143">
      <w:pPr>
        <w:jc w:val="both"/>
        <w:rPr>
          <w:sz w:val="22"/>
          <w:szCs w:val="22"/>
        </w:rPr>
      </w:pPr>
      <w:r>
        <w:rPr>
          <w:sz w:val="22"/>
          <w:szCs w:val="22"/>
        </w:rPr>
        <w:t>Une</w:t>
      </w:r>
      <w:r w:rsidRPr="00251B1A">
        <w:rPr>
          <w:sz w:val="22"/>
          <w:szCs w:val="22"/>
        </w:rPr>
        <w:t xml:space="preserve"> note supplémentaire sera attribuée aux propositions de partenariat susceptibles de présenter des résultats préliminaires avant la COP30 (novembre 2025).</w:t>
      </w:r>
    </w:p>
    <w:p w14:paraId="324B3B32" w14:textId="0340BA5E" w:rsidR="00745883" w:rsidRPr="00745883" w:rsidRDefault="00B30063" w:rsidP="007F3384">
      <w:pPr>
        <w:jc w:val="both"/>
        <w:rPr>
          <w:sz w:val="22"/>
          <w:szCs w:val="22"/>
        </w:rPr>
      </w:pPr>
      <w:r w:rsidRPr="00745883">
        <w:rPr>
          <w:b/>
          <w:bCs/>
          <w:sz w:val="22"/>
          <w:szCs w:val="22"/>
        </w:rPr>
        <w:t xml:space="preserve">2. </w:t>
      </w:r>
      <w:r w:rsidR="0084149C" w:rsidRPr="00745883">
        <w:rPr>
          <w:b/>
          <w:bCs/>
          <w:sz w:val="22"/>
          <w:szCs w:val="22"/>
          <w:u w:val="single"/>
        </w:rPr>
        <w:t>Proposition financière</w:t>
      </w:r>
      <w:r w:rsidR="003B550D" w:rsidRPr="00745883">
        <w:rPr>
          <w:b/>
          <w:bCs/>
          <w:sz w:val="22"/>
          <w:szCs w:val="22"/>
          <w:u w:val="single"/>
        </w:rPr>
        <w:t xml:space="preserve"> (</w:t>
      </w:r>
      <w:r w:rsidR="0084149C" w:rsidRPr="00745883">
        <w:rPr>
          <w:b/>
          <w:bCs/>
          <w:sz w:val="22"/>
          <w:szCs w:val="22"/>
          <w:u w:val="single"/>
        </w:rPr>
        <w:t>Budget du projet)</w:t>
      </w:r>
      <w:r w:rsidR="0084149C" w:rsidRPr="00745883">
        <w:rPr>
          <w:b/>
          <w:bCs/>
          <w:sz w:val="22"/>
          <w:szCs w:val="22"/>
        </w:rPr>
        <w:t xml:space="preserve"> </w:t>
      </w:r>
      <w:r w:rsidR="003B550D" w:rsidRPr="00745883">
        <w:rPr>
          <w:b/>
          <w:bCs/>
          <w:sz w:val="22"/>
          <w:szCs w:val="22"/>
        </w:rPr>
        <w:t>:</w:t>
      </w:r>
      <w:r w:rsidR="004B15C9" w:rsidRPr="00745883">
        <w:rPr>
          <w:sz w:val="22"/>
          <w:szCs w:val="22"/>
        </w:rPr>
        <w:t xml:space="preserve"> </w:t>
      </w:r>
      <w:r w:rsidR="00745883" w:rsidRPr="00745883">
        <w:rPr>
          <w:sz w:val="22"/>
          <w:szCs w:val="22"/>
        </w:rPr>
        <w:t xml:space="preserve">Les </w:t>
      </w:r>
      <w:r w:rsidR="00745883">
        <w:rPr>
          <w:sz w:val="22"/>
          <w:szCs w:val="22"/>
        </w:rPr>
        <w:t xml:space="preserve">organisations candidates </w:t>
      </w:r>
      <w:r w:rsidR="00745883" w:rsidRPr="00745883">
        <w:rPr>
          <w:sz w:val="22"/>
          <w:szCs w:val="22"/>
        </w:rPr>
        <w:t xml:space="preserve">doivent remplir le Modèle de Budget du Projet (Annexe 4), en exprimant le coût du projet proposé en dollars </w:t>
      </w:r>
      <w:r w:rsidR="00E662CA">
        <w:rPr>
          <w:sz w:val="22"/>
          <w:szCs w:val="22"/>
        </w:rPr>
        <w:t>des Etats Unis</w:t>
      </w:r>
      <w:r w:rsidR="00745883" w:rsidRPr="00745883">
        <w:rPr>
          <w:sz w:val="22"/>
          <w:szCs w:val="22"/>
        </w:rPr>
        <w:t xml:space="preserve">, avec une exception : si le candidate dispose d'un compte bancaire en Euros, le budget doit être présenté dans cette devise (en utilisant le </w:t>
      </w:r>
      <w:hyperlink r:id="rId30" w:history="1">
        <w:r w:rsidR="00B2510B" w:rsidRPr="00B2510B">
          <w:rPr>
            <w:rStyle w:val="Hyperlink"/>
            <w:sz w:val="22"/>
            <w:szCs w:val="22"/>
          </w:rPr>
          <w:t>taux d’échange de l’ONU</w:t>
        </w:r>
      </w:hyperlink>
      <w:r w:rsidR="00745883" w:rsidRPr="00745883">
        <w:rPr>
          <w:sz w:val="22"/>
          <w:szCs w:val="22"/>
        </w:rPr>
        <w:t xml:space="preserve"> pour la conversion).</w:t>
      </w:r>
      <w:r w:rsidR="001E5BCC">
        <w:rPr>
          <w:sz w:val="22"/>
          <w:szCs w:val="22"/>
        </w:rPr>
        <w:t xml:space="preserve"> </w:t>
      </w:r>
      <w:r w:rsidR="001E5BCC" w:rsidRPr="001E5BCC">
        <w:rPr>
          <w:sz w:val="22"/>
          <w:szCs w:val="22"/>
        </w:rPr>
        <w:t>Les budgets écrits à la main et/ou dans un format différent ne seront pas acceptés.</w:t>
      </w:r>
    </w:p>
    <w:p w14:paraId="02832A27" w14:textId="0C08F3D4" w:rsidR="00745883" w:rsidRDefault="00B5315B" w:rsidP="007F3384">
      <w:pPr>
        <w:jc w:val="both"/>
        <w:rPr>
          <w:sz w:val="22"/>
          <w:szCs w:val="22"/>
        </w:rPr>
      </w:pPr>
      <w:r w:rsidRPr="00B5315B">
        <w:rPr>
          <w:sz w:val="22"/>
          <w:szCs w:val="22"/>
        </w:rPr>
        <w:t>Les budgets doivent être suffisamment détail</w:t>
      </w:r>
      <w:r>
        <w:rPr>
          <w:sz w:val="22"/>
          <w:szCs w:val="22"/>
        </w:rPr>
        <w:t xml:space="preserve">lées pour justifier les ressources </w:t>
      </w:r>
      <w:r w:rsidR="00FF6AA4">
        <w:rPr>
          <w:sz w:val="22"/>
          <w:szCs w:val="22"/>
        </w:rPr>
        <w:t>demandées</w:t>
      </w:r>
      <w:r>
        <w:rPr>
          <w:sz w:val="22"/>
          <w:szCs w:val="22"/>
        </w:rPr>
        <w:t>, faire la preuve d’un bon rapport coût-efficacité et, dans toute la mesure du possible, présenter un tableau détaillé des ressources nécessaires pour chaque période pour laquelle des fonds seront versés au partenaire d’exécution</w:t>
      </w:r>
      <w:r w:rsidR="005E1413">
        <w:rPr>
          <w:sz w:val="22"/>
          <w:szCs w:val="22"/>
        </w:rPr>
        <w:t xml:space="preserve"> (voir « </w:t>
      </w:r>
      <w:r w:rsidR="005E1413" w:rsidRPr="005E1413">
        <w:rPr>
          <w:sz w:val="22"/>
          <w:szCs w:val="22"/>
        </w:rPr>
        <w:t>Processus de formalisation du contrat et mise en œuvre du projet</w:t>
      </w:r>
      <w:r w:rsidR="005E1413">
        <w:rPr>
          <w:sz w:val="22"/>
          <w:szCs w:val="22"/>
        </w:rPr>
        <w:t> » ci-dessous).</w:t>
      </w:r>
      <w:r w:rsidR="00CD3FE1">
        <w:rPr>
          <w:sz w:val="22"/>
          <w:szCs w:val="22"/>
        </w:rPr>
        <w:t xml:space="preserve"> La ventilation des coûts doit être jugée raisonnable et juste par rapport aux tendances prévalant sur le marché, et représenter un bon rapport qualité-prix</w:t>
      </w:r>
      <w:r w:rsidR="002F131A">
        <w:rPr>
          <w:rStyle w:val="FootnoteReference"/>
          <w:sz w:val="22"/>
          <w:szCs w:val="22"/>
        </w:rPr>
        <w:footnoteReference w:id="3"/>
      </w:r>
      <w:r w:rsidR="00CD3FE1">
        <w:rPr>
          <w:sz w:val="22"/>
          <w:szCs w:val="22"/>
        </w:rPr>
        <w:t>.</w:t>
      </w:r>
      <w:r w:rsidR="00CC1671">
        <w:rPr>
          <w:sz w:val="22"/>
          <w:szCs w:val="22"/>
        </w:rPr>
        <w:t xml:space="preserve"> </w:t>
      </w:r>
      <w:r w:rsidR="00CC1671" w:rsidRPr="00CC1671">
        <w:rPr>
          <w:sz w:val="22"/>
          <w:szCs w:val="22"/>
        </w:rPr>
        <w:t xml:space="preserve">Les partenaires d’exécution doivent faire prévue de </w:t>
      </w:r>
      <w:r w:rsidR="00CC1671">
        <w:rPr>
          <w:sz w:val="22"/>
          <w:szCs w:val="22"/>
        </w:rPr>
        <w:t>la</w:t>
      </w:r>
      <w:r w:rsidR="00CC1671" w:rsidRPr="00CC1671">
        <w:rPr>
          <w:sz w:val="22"/>
          <w:szCs w:val="22"/>
        </w:rPr>
        <w:t xml:space="preserve"> manière dont ils s'assureront que les coûts du projet représentent un bon rapport qualité-prix.</w:t>
      </w:r>
    </w:p>
    <w:p w14:paraId="28D86D62" w14:textId="3D889533" w:rsidR="0024438E" w:rsidRPr="0088760E" w:rsidRDefault="0024438E" w:rsidP="007F3384">
      <w:pPr>
        <w:jc w:val="both"/>
        <w:rPr>
          <w:sz w:val="22"/>
          <w:szCs w:val="22"/>
        </w:rPr>
      </w:pPr>
      <w:r w:rsidRPr="0024438E">
        <w:rPr>
          <w:sz w:val="22"/>
          <w:szCs w:val="22"/>
        </w:rPr>
        <w:t>Le budget du projet c</w:t>
      </w:r>
      <w:r>
        <w:rPr>
          <w:sz w:val="22"/>
          <w:szCs w:val="22"/>
        </w:rPr>
        <w:t xml:space="preserve">onstitue la base pour le contrôle financier et le suivi des ressources fournies aux </w:t>
      </w:r>
      <w:r w:rsidR="00D15F4D">
        <w:rPr>
          <w:sz w:val="22"/>
          <w:szCs w:val="22"/>
        </w:rPr>
        <w:t xml:space="preserve">partenaires </w:t>
      </w:r>
      <w:r w:rsidR="00D15F4D" w:rsidRPr="00D15F4D">
        <w:rPr>
          <w:sz w:val="22"/>
          <w:szCs w:val="22"/>
        </w:rPr>
        <w:t>(en plus du plan de travail et des objectifs définis dans l'</w:t>
      </w:r>
      <w:r w:rsidR="00D15F4D">
        <w:rPr>
          <w:sz w:val="22"/>
          <w:szCs w:val="22"/>
        </w:rPr>
        <w:t>A</w:t>
      </w:r>
      <w:r w:rsidR="00D15F4D" w:rsidRPr="00D15F4D">
        <w:rPr>
          <w:sz w:val="22"/>
          <w:szCs w:val="22"/>
        </w:rPr>
        <w:t>ccord</w:t>
      </w:r>
      <w:r w:rsidR="00D15F4D">
        <w:rPr>
          <w:sz w:val="22"/>
          <w:szCs w:val="22"/>
        </w:rPr>
        <w:t xml:space="preserve"> de partenariat d’exécution</w:t>
      </w:r>
      <w:r w:rsidR="00D15F4D" w:rsidRPr="00D15F4D">
        <w:rPr>
          <w:sz w:val="22"/>
          <w:szCs w:val="22"/>
        </w:rPr>
        <w:t xml:space="preserve"> correspondant).</w:t>
      </w:r>
      <w:r w:rsidR="003C0CFC">
        <w:rPr>
          <w:sz w:val="22"/>
          <w:szCs w:val="22"/>
        </w:rPr>
        <w:t xml:space="preserve"> </w:t>
      </w:r>
      <w:r w:rsidR="003C0CFC" w:rsidRPr="003C0CFC">
        <w:rPr>
          <w:sz w:val="22"/>
          <w:szCs w:val="22"/>
        </w:rPr>
        <w:t xml:space="preserve">Une variation de 10% dans les dépenses réelles correspondant aux </w:t>
      </w:r>
      <w:r w:rsidR="003C0CFC">
        <w:rPr>
          <w:sz w:val="22"/>
          <w:szCs w:val="22"/>
        </w:rPr>
        <w:t>éléments du budget/lignes budgétaires peut être</w:t>
      </w:r>
      <w:r w:rsidR="00532DA5">
        <w:rPr>
          <w:sz w:val="22"/>
          <w:szCs w:val="22"/>
        </w:rPr>
        <w:t xml:space="preserve"> jugée acceptable, à la condition que l’allocation globale prévue par l’Accord de partenariat d’exécution ne soit pas dépassée.</w:t>
      </w:r>
      <w:r w:rsidR="0088760E">
        <w:rPr>
          <w:sz w:val="22"/>
          <w:szCs w:val="22"/>
        </w:rPr>
        <w:t xml:space="preserve"> </w:t>
      </w:r>
      <w:r w:rsidR="0088760E" w:rsidRPr="0088760E">
        <w:rPr>
          <w:sz w:val="22"/>
          <w:szCs w:val="22"/>
        </w:rPr>
        <w:t>Les variations supérieures à 10% d’un élément ou ligne budgétaire d</w:t>
      </w:r>
      <w:r w:rsidR="0088760E">
        <w:rPr>
          <w:sz w:val="22"/>
          <w:szCs w:val="22"/>
        </w:rPr>
        <w:t>oivent être soumises à l’examen et l’approbation de l’UNESCO</w:t>
      </w:r>
      <w:r w:rsidR="00617BDA">
        <w:rPr>
          <w:sz w:val="22"/>
          <w:szCs w:val="22"/>
        </w:rPr>
        <w:t xml:space="preserve">, et devront </w:t>
      </w:r>
      <w:r w:rsidR="00CA7E01">
        <w:rPr>
          <w:sz w:val="22"/>
          <w:szCs w:val="22"/>
        </w:rPr>
        <w:t xml:space="preserve">faire l’objet </w:t>
      </w:r>
      <w:r w:rsidR="002378E0">
        <w:rPr>
          <w:sz w:val="22"/>
          <w:szCs w:val="22"/>
        </w:rPr>
        <w:t xml:space="preserve">d’une annexe </w:t>
      </w:r>
      <w:r w:rsidR="003E197C">
        <w:rPr>
          <w:sz w:val="22"/>
          <w:szCs w:val="22"/>
        </w:rPr>
        <w:t>à l’Accord</w:t>
      </w:r>
      <w:r w:rsidR="0088760E">
        <w:rPr>
          <w:sz w:val="22"/>
          <w:szCs w:val="22"/>
        </w:rPr>
        <w:t>.</w:t>
      </w:r>
    </w:p>
    <w:p w14:paraId="7B19FCCA" w14:textId="04B7104D" w:rsidR="00554029" w:rsidRPr="00217005" w:rsidRDefault="00175830" w:rsidP="000C2288">
      <w:pPr>
        <w:jc w:val="both"/>
        <w:rPr>
          <w:b/>
          <w:bCs/>
          <w:sz w:val="22"/>
          <w:szCs w:val="20"/>
        </w:rPr>
      </w:pPr>
      <w:r w:rsidRPr="00217005">
        <w:rPr>
          <w:b/>
          <w:bCs/>
          <w:sz w:val="22"/>
          <w:szCs w:val="20"/>
        </w:rPr>
        <w:t>Contribution du partenaire</w:t>
      </w:r>
    </w:p>
    <w:p w14:paraId="3468843B" w14:textId="11E25B2D" w:rsidR="00DA0CC2" w:rsidRPr="00217005" w:rsidRDefault="00DA0CC2" w:rsidP="00E0211D">
      <w:pPr>
        <w:jc w:val="both"/>
        <w:rPr>
          <w:sz w:val="22"/>
          <w:szCs w:val="20"/>
        </w:rPr>
      </w:pPr>
      <w:r w:rsidRPr="00217005">
        <w:rPr>
          <w:sz w:val="22"/>
          <w:szCs w:val="20"/>
        </w:rPr>
        <w:lastRenderedPageBreak/>
        <w:t>Tous les partenaires sont censés apporter une contribution financière (</w:t>
      </w:r>
      <w:r w:rsidR="00217005">
        <w:rPr>
          <w:sz w:val="22"/>
          <w:szCs w:val="20"/>
        </w:rPr>
        <w:t>monétaire</w:t>
      </w:r>
      <w:r w:rsidRPr="00217005">
        <w:rPr>
          <w:sz w:val="22"/>
          <w:szCs w:val="20"/>
        </w:rPr>
        <w:t xml:space="preserve"> ou en nature</w:t>
      </w:r>
      <w:r w:rsidR="00411AB5">
        <w:rPr>
          <w:rStyle w:val="FootnoteReference"/>
          <w:sz w:val="22"/>
          <w:szCs w:val="20"/>
        </w:rPr>
        <w:footnoteReference w:id="4"/>
      </w:r>
      <w:r w:rsidRPr="00217005">
        <w:rPr>
          <w:sz w:val="22"/>
          <w:szCs w:val="20"/>
        </w:rPr>
        <w:t xml:space="preserve">) équivalant à au moins cinq pour cent du budget total du projet, qui doit inclure </w:t>
      </w:r>
      <w:r w:rsidR="00C96C95">
        <w:rPr>
          <w:sz w:val="22"/>
          <w:szCs w:val="20"/>
        </w:rPr>
        <w:t>d</w:t>
      </w:r>
      <w:r w:rsidRPr="00217005">
        <w:rPr>
          <w:sz w:val="22"/>
          <w:szCs w:val="20"/>
        </w:rPr>
        <w:t xml:space="preserve">es coûts directs liés à la réalisation des objectifs de l'action (et pas seulement les coûts liés au fonctionnement général de leur organisation). Les salaires peuvent être acceptés comme faisant partie de la contribution du partenaire, à condition que l'organisation puisse expliquer le rôle des membres du personnel dans le projet et </w:t>
      </w:r>
      <w:r w:rsidR="000877A5">
        <w:rPr>
          <w:sz w:val="22"/>
          <w:szCs w:val="20"/>
        </w:rPr>
        <w:t xml:space="preserve">préciser </w:t>
      </w:r>
      <w:r w:rsidRPr="00217005">
        <w:rPr>
          <w:sz w:val="22"/>
          <w:szCs w:val="20"/>
        </w:rPr>
        <w:t xml:space="preserve">le temps </w:t>
      </w:r>
      <w:r w:rsidR="00E514E3">
        <w:rPr>
          <w:sz w:val="22"/>
          <w:szCs w:val="20"/>
        </w:rPr>
        <w:t xml:space="preserve">qu’ils/elles </w:t>
      </w:r>
      <w:r w:rsidRPr="00217005">
        <w:rPr>
          <w:sz w:val="22"/>
          <w:szCs w:val="20"/>
        </w:rPr>
        <w:t>consacr</w:t>
      </w:r>
      <w:r w:rsidR="00E514E3">
        <w:rPr>
          <w:sz w:val="22"/>
          <w:szCs w:val="20"/>
        </w:rPr>
        <w:t>eront</w:t>
      </w:r>
      <w:r w:rsidRPr="00217005">
        <w:rPr>
          <w:sz w:val="22"/>
          <w:szCs w:val="20"/>
        </w:rPr>
        <w:t xml:space="preserve"> au projet.</w:t>
      </w:r>
    </w:p>
    <w:p w14:paraId="39015E45" w14:textId="2B547B1C" w:rsidR="00BF7EDD" w:rsidRPr="0062320F" w:rsidRDefault="00C96C95" w:rsidP="000C2288">
      <w:pPr>
        <w:jc w:val="both"/>
        <w:rPr>
          <w:sz w:val="22"/>
          <w:szCs w:val="20"/>
        </w:rPr>
      </w:pPr>
      <w:r w:rsidRPr="0062320F">
        <w:rPr>
          <w:b/>
          <w:bCs/>
          <w:sz w:val="22"/>
          <w:szCs w:val="20"/>
        </w:rPr>
        <w:t>Coûts éligibles</w:t>
      </w:r>
    </w:p>
    <w:p w14:paraId="5BDCD3EB" w14:textId="32BC4E37" w:rsidR="00367905" w:rsidRPr="0062320F" w:rsidRDefault="0062320F" w:rsidP="000C2288">
      <w:pPr>
        <w:jc w:val="both"/>
        <w:rPr>
          <w:sz w:val="22"/>
          <w:szCs w:val="20"/>
        </w:rPr>
      </w:pPr>
      <w:r w:rsidRPr="0062320F">
        <w:rPr>
          <w:sz w:val="22"/>
          <w:szCs w:val="20"/>
        </w:rPr>
        <w:t>Les candidats doivent inclure chaque activité et chaque élément de coût dans le budget, y compris les coûts qui feront partie de leur contribution au projet (voir « Contribution du Partenaire » ci-dessus). Les éléments de coût n’ayant pas été inclus dans le budget approuvé par l’UNESCO ne seront pas financés.</w:t>
      </w:r>
    </w:p>
    <w:p w14:paraId="6D4D95CF" w14:textId="77777777" w:rsidR="00903211" w:rsidRDefault="00411AB5" w:rsidP="0071338D">
      <w:pPr>
        <w:jc w:val="both"/>
        <w:rPr>
          <w:sz w:val="22"/>
          <w:szCs w:val="20"/>
        </w:rPr>
      </w:pPr>
      <w:r w:rsidRPr="00411AB5">
        <w:rPr>
          <w:sz w:val="22"/>
          <w:szCs w:val="20"/>
        </w:rPr>
        <w:t>Les budgets doivent être préparés pour chaque activité et ventilés par ligne budgétaire. Tout coût ne présentant pas la ventilation nécessaire ne sera pas accepté</w:t>
      </w:r>
      <w:r w:rsidR="00687CCE">
        <w:rPr>
          <w:sz w:val="22"/>
          <w:szCs w:val="20"/>
        </w:rPr>
        <w:t>.</w:t>
      </w:r>
      <w:r w:rsidR="002B0A77" w:rsidRPr="002B0A77">
        <w:rPr>
          <w:sz w:val="22"/>
          <w:szCs w:val="20"/>
        </w:rPr>
        <w:t xml:space="preserve"> </w:t>
      </w:r>
      <w:r w:rsidR="00687CCE">
        <w:rPr>
          <w:sz w:val="22"/>
          <w:szCs w:val="20"/>
        </w:rPr>
        <w:t>L</w:t>
      </w:r>
      <w:r w:rsidR="002B0A77" w:rsidRPr="002B0A77">
        <w:rPr>
          <w:sz w:val="22"/>
          <w:szCs w:val="20"/>
        </w:rPr>
        <w:t xml:space="preserve">es </w:t>
      </w:r>
      <w:r w:rsidR="00687CCE">
        <w:rPr>
          <w:sz w:val="22"/>
          <w:szCs w:val="20"/>
        </w:rPr>
        <w:t>éléments du budget/lignes budgétaires</w:t>
      </w:r>
      <w:r w:rsidR="002B0A77" w:rsidRPr="002B0A77">
        <w:rPr>
          <w:sz w:val="22"/>
          <w:szCs w:val="20"/>
        </w:rPr>
        <w:t xml:space="preserve"> qui ne présentent pas la ventilation nécessaire (c'est-à-dire qui n'expliquent pas comment les fonds seront dépensés, comme les « </w:t>
      </w:r>
      <w:r w:rsidR="00687CCE">
        <w:rPr>
          <w:sz w:val="22"/>
          <w:szCs w:val="20"/>
        </w:rPr>
        <w:t>D</w:t>
      </w:r>
      <w:r w:rsidR="002B0A77" w:rsidRPr="002B0A77">
        <w:rPr>
          <w:sz w:val="22"/>
          <w:szCs w:val="20"/>
        </w:rPr>
        <w:t>épenses diverses</w:t>
      </w:r>
      <w:r w:rsidR="0071338D">
        <w:rPr>
          <w:rStyle w:val="FootnoteReference"/>
          <w:sz w:val="22"/>
          <w:szCs w:val="20"/>
          <w:lang w:val="en-US"/>
        </w:rPr>
        <w:footnoteReference w:id="5"/>
      </w:r>
      <w:r w:rsidR="00687CCE">
        <w:rPr>
          <w:sz w:val="22"/>
          <w:szCs w:val="20"/>
        </w:rPr>
        <w:t> ») ne seront pas acceptés non plus</w:t>
      </w:r>
      <w:r w:rsidR="00346572" w:rsidRPr="00687CCE">
        <w:rPr>
          <w:sz w:val="22"/>
          <w:szCs w:val="20"/>
        </w:rPr>
        <w:t>.</w:t>
      </w:r>
      <w:r w:rsidR="00EB3E1E" w:rsidRPr="00687CCE">
        <w:rPr>
          <w:sz w:val="22"/>
          <w:szCs w:val="20"/>
        </w:rPr>
        <w:t xml:space="preserve"> </w:t>
      </w:r>
    </w:p>
    <w:p w14:paraId="557A6A67" w14:textId="058D80F5" w:rsidR="001C61F1" w:rsidRDefault="00903211" w:rsidP="0071338D">
      <w:pPr>
        <w:jc w:val="both"/>
        <w:rPr>
          <w:sz w:val="22"/>
          <w:szCs w:val="20"/>
        </w:rPr>
      </w:pPr>
      <w:r w:rsidRPr="00903211">
        <w:rPr>
          <w:sz w:val="22"/>
          <w:szCs w:val="20"/>
        </w:rPr>
        <w:t>Le budget financé par l'UNESCO/GMDF ne doit inclure que les coûts directs</w:t>
      </w:r>
      <w:r w:rsidR="00D84344">
        <w:rPr>
          <w:sz w:val="22"/>
          <w:szCs w:val="20"/>
        </w:rPr>
        <w:t xml:space="preserve"> liés à la réalisation des objectifs</w:t>
      </w:r>
      <w:r w:rsidRPr="00903211">
        <w:rPr>
          <w:sz w:val="22"/>
          <w:szCs w:val="20"/>
        </w:rPr>
        <w:t xml:space="preserve"> du projet. Les coûts directs sont </w:t>
      </w:r>
      <w:r w:rsidR="00E851D6">
        <w:rPr>
          <w:sz w:val="22"/>
          <w:szCs w:val="20"/>
        </w:rPr>
        <w:t>d</w:t>
      </w:r>
      <w:r w:rsidRPr="00903211">
        <w:rPr>
          <w:sz w:val="22"/>
          <w:szCs w:val="20"/>
        </w:rPr>
        <w:t xml:space="preserve">es dépenses nécessaires à la mise en œuvre de l'action proposée, directement </w:t>
      </w:r>
      <w:r w:rsidR="00E851D6">
        <w:rPr>
          <w:sz w:val="22"/>
          <w:szCs w:val="20"/>
        </w:rPr>
        <w:t>attribuables</w:t>
      </w:r>
      <w:r w:rsidRPr="00903211">
        <w:rPr>
          <w:sz w:val="22"/>
          <w:szCs w:val="20"/>
        </w:rPr>
        <w:t xml:space="preserve"> à celle-ci, découlant directement de sa mise en œuvre et imputées proportionnellement à l'utilisation réelle dans le cadre du projet (budgétisation directe basée sur les activités).</w:t>
      </w:r>
      <w:r w:rsidR="00E16A12">
        <w:rPr>
          <w:sz w:val="22"/>
          <w:szCs w:val="20"/>
        </w:rPr>
        <w:t xml:space="preserve"> </w:t>
      </w:r>
    </w:p>
    <w:p w14:paraId="15EDCD28" w14:textId="66544E43" w:rsidR="003902FA" w:rsidRPr="00903211" w:rsidRDefault="003902FA" w:rsidP="0071338D">
      <w:pPr>
        <w:jc w:val="both"/>
        <w:rPr>
          <w:sz w:val="22"/>
          <w:szCs w:val="20"/>
        </w:rPr>
      </w:pPr>
      <w:r w:rsidRPr="003902FA">
        <w:rPr>
          <w:sz w:val="22"/>
          <w:szCs w:val="20"/>
        </w:rPr>
        <w:t>Le budget financé par l’UNESCO/GMDF ne peut pas couvrir</w:t>
      </w:r>
      <w:r w:rsidR="00AE5A37">
        <w:rPr>
          <w:sz w:val="22"/>
          <w:szCs w:val="20"/>
        </w:rPr>
        <w:t xml:space="preserve"> de</w:t>
      </w:r>
      <w:r w:rsidR="00E059F3">
        <w:rPr>
          <w:sz w:val="22"/>
          <w:szCs w:val="20"/>
        </w:rPr>
        <w:t>s</w:t>
      </w:r>
      <w:r w:rsidR="00AE5A37">
        <w:rPr>
          <w:sz w:val="22"/>
          <w:szCs w:val="20"/>
        </w:rPr>
        <w:t xml:space="preserve"> coûts associés au</w:t>
      </w:r>
      <w:r w:rsidRPr="003902FA">
        <w:rPr>
          <w:sz w:val="22"/>
          <w:szCs w:val="20"/>
        </w:rPr>
        <w:t xml:space="preserve"> financement de base</w:t>
      </w:r>
      <w:r w:rsidR="00AE5A37">
        <w:rPr>
          <w:sz w:val="22"/>
          <w:szCs w:val="20"/>
        </w:rPr>
        <w:t xml:space="preserve"> de l’organisation</w:t>
      </w:r>
      <w:r w:rsidRPr="003902FA">
        <w:rPr>
          <w:sz w:val="22"/>
          <w:szCs w:val="20"/>
        </w:rPr>
        <w:t xml:space="preserve"> ou les </w:t>
      </w:r>
      <w:r w:rsidR="006C61DE">
        <w:rPr>
          <w:sz w:val="22"/>
          <w:szCs w:val="20"/>
        </w:rPr>
        <w:t>frais</w:t>
      </w:r>
      <w:r w:rsidRPr="003902FA">
        <w:rPr>
          <w:sz w:val="22"/>
          <w:szCs w:val="20"/>
        </w:rPr>
        <w:t xml:space="preserve"> récurrents. Des coûts limités de coordination de l</w:t>
      </w:r>
      <w:r w:rsidR="006C61DE">
        <w:rPr>
          <w:sz w:val="22"/>
          <w:szCs w:val="20"/>
        </w:rPr>
        <w:t>a mise en œuvre de l’</w:t>
      </w:r>
      <w:r w:rsidRPr="003902FA">
        <w:rPr>
          <w:sz w:val="22"/>
          <w:szCs w:val="20"/>
        </w:rPr>
        <w:t>action peuvent être couverts, mais ils devraient idéalement faire partie de la contribution du partenaire.</w:t>
      </w:r>
    </w:p>
    <w:p w14:paraId="67C63BFA" w14:textId="77777777" w:rsidR="00E16C89" w:rsidRDefault="00E16C89" w:rsidP="000C2288">
      <w:pPr>
        <w:jc w:val="both"/>
        <w:rPr>
          <w:sz w:val="22"/>
          <w:szCs w:val="20"/>
        </w:rPr>
      </w:pPr>
      <w:r w:rsidRPr="00E16C89">
        <w:rPr>
          <w:sz w:val="22"/>
          <w:szCs w:val="20"/>
        </w:rPr>
        <w:t>Le pourcentage de l’achat de biens, de travaux ou de services (c'est-à-dire la sous-traitance) effectués par le partenaire ne peut pas dépasser 33 % du budget financé par l'UNESCO/GMDF.</w:t>
      </w:r>
    </w:p>
    <w:p w14:paraId="05EFD508" w14:textId="40115380" w:rsidR="003E5817" w:rsidRPr="00DE70AE" w:rsidRDefault="006E542C" w:rsidP="006E542C">
      <w:pPr>
        <w:jc w:val="both"/>
        <w:rPr>
          <w:sz w:val="22"/>
          <w:szCs w:val="20"/>
        </w:rPr>
      </w:pPr>
      <w:r w:rsidRPr="006E542C">
        <w:rPr>
          <w:sz w:val="22"/>
          <w:szCs w:val="20"/>
        </w:rPr>
        <w:t xml:space="preserve">Les candidats sont encouragés à allouer des fonds à </w:t>
      </w:r>
      <w:r w:rsidR="00D81FD9">
        <w:rPr>
          <w:sz w:val="22"/>
          <w:szCs w:val="20"/>
        </w:rPr>
        <w:t>des actions de</w:t>
      </w:r>
      <w:r w:rsidRPr="006E542C">
        <w:rPr>
          <w:sz w:val="22"/>
          <w:szCs w:val="20"/>
        </w:rPr>
        <w:t xml:space="preserve"> communication afin de générer et d’assurer la visibilité du projet auprès des bénéficiaires potentiels et des parties prenantes concernées. Un montant équivalent à au moins 5 % du budget du projet est recommandé.</w:t>
      </w:r>
    </w:p>
    <w:p w14:paraId="61D1BC68" w14:textId="79E381F6" w:rsidR="00EA44F6" w:rsidRPr="00722E16" w:rsidRDefault="00C26665" w:rsidP="000C2288">
      <w:pPr>
        <w:jc w:val="both"/>
        <w:rPr>
          <w:b/>
          <w:bCs/>
          <w:sz w:val="22"/>
          <w:szCs w:val="20"/>
        </w:rPr>
      </w:pPr>
      <w:r w:rsidRPr="00722E16">
        <w:rPr>
          <w:b/>
          <w:bCs/>
          <w:sz w:val="22"/>
          <w:szCs w:val="20"/>
        </w:rPr>
        <w:t xml:space="preserve">Coûts inéligibles </w:t>
      </w:r>
    </w:p>
    <w:p w14:paraId="47D542D0" w14:textId="2403B750" w:rsidR="004D1CD1" w:rsidRPr="004D1CD1" w:rsidRDefault="004D1CD1" w:rsidP="000C2288">
      <w:pPr>
        <w:jc w:val="both"/>
        <w:rPr>
          <w:sz w:val="22"/>
          <w:szCs w:val="20"/>
        </w:rPr>
      </w:pPr>
      <w:r w:rsidRPr="004D1CD1">
        <w:rPr>
          <w:sz w:val="22"/>
          <w:szCs w:val="20"/>
        </w:rPr>
        <w:lastRenderedPageBreak/>
        <w:t xml:space="preserve">Les coûts considérés comme inéligibles dans le cadre de cet </w:t>
      </w:r>
      <w:r>
        <w:rPr>
          <w:sz w:val="22"/>
          <w:szCs w:val="20"/>
        </w:rPr>
        <w:t>A</w:t>
      </w:r>
      <w:r w:rsidRPr="004D1CD1">
        <w:rPr>
          <w:sz w:val="22"/>
          <w:szCs w:val="20"/>
        </w:rPr>
        <w:t>ppel comprennent, sans toutefois s’y limiter, les suivants :</w:t>
      </w:r>
    </w:p>
    <w:p w14:paraId="204EB014" w14:textId="7ED165B9" w:rsidR="005A5E75" w:rsidRPr="00F64101" w:rsidRDefault="00F64101" w:rsidP="005A5E75">
      <w:pPr>
        <w:pStyle w:val="ListParagraph"/>
        <w:numPr>
          <w:ilvl w:val="0"/>
          <w:numId w:val="20"/>
        </w:numPr>
        <w:jc w:val="both"/>
        <w:rPr>
          <w:sz w:val="22"/>
          <w:szCs w:val="20"/>
        </w:rPr>
      </w:pPr>
      <w:r w:rsidRPr="00F64101">
        <w:rPr>
          <w:sz w:val="22"/>
          <w:szCs w:val="20"/>
        </w:rPr>
        <w:t>Le financement de base ou les coûts récurrents d’une organisation</w:t>
      </w:r>
      <w:r w:rsidR="004634E0" w:rsidRPr="00F64101">
        <w:rPr>
          <w:sz w:val="22"/>
          <w:szCs w:val="20"/>
        </w:rPr>
        <w:t xml:space="preserve"> </w:t>
      </w:r>
      <w:r w:rsidR="00241C32" w:rsidRPr="00241C32">
        <w:rPr>
          <w:sz w:val="22"/>
          <w:szCs w:val="20"/>
        </w:rPr>
        <w:t>(salaires fixes du personnel, loyer, charges, etc.)</w:t>
      </w:r>
      <w:r w:rsidR="00241C32">
        <w:rPr>
          <w:sz w:val="22"/>
          <w:szCs w:val="20"/>
        </w:rPr>
        <w:t xml:space="preserve"> </w:t>
      </w:r>
      <w:r w:rsidR="004634E0" w:rsidRPr="00F64101">
        <w:rPr>
          <w:sz w:val="22"/>
          <w:szCs w:val="20"/>
        </w:rPr>
        <w:t>;</w:t>
      </w:r>
      <w:r w:rsidR="008800C2" w:rsidRPr="00F64101">
        <w:rPr>
          <w:sz w:val="22"/>
          <w:szCs w:val="20"/>
        </w:rPr>
        <w:t xml:space="preserve"> </w:t>
      </w:r>
    </w:p>
    <w:p w14:paraId="56DF170B" w14:textId="70B908A4" w:rsidR="00CE57C5" w:rsidRPr="00241C32" w:rsidRDefault="00241C32" w:rsidP="005A5E75">
      <w:pPr>
        <w:pStyle w:val="ListParagraph"/>
        <w:numPr>
          <w:ilvl w:val="0"/>
          <w:numId w:val="20"/>
        </w:numPr>
        <w:jc w:val="both"/>
        <w:rPr>
          <w:sz w:val="22"/>
          <w:szCs w:val="20"/>
        </w:rPr>
      </w:pPr>
      <w:r w:rsidRPr="00241C32">
        <w:rPr>
          <w:sz w:val="22"/>
          <w:szCs w:val="20"/>
        </w:rPr>
        <w:t>Coûts indirects, généraux ou administratifs ;</w:t>
      </w:r>
    </w:p>
    <w:p w14:paraId="773D1882" w14:textId="77777777" w:rsidR="0093160F" w:rsidRDefault="0093160F" w:rsidP="005A5E75">
      <w:pPr>
        <w:pStyle w:val="ListParagraph"/>
        <w:numPr>
          <w:ilvl w:val="0"/>
          <w:numId w:val="20"/>
        </w:numPr>
        <w:jc w:val="both"/>
        <w:rPr>
          <w:sz w:val="22"/>
          <w:szCs w:val="20"/>
          <w:lang w:val="en-US"/>
        </w:rPr>
      </w:pPr>
      <w:r w:rsidRPr="0093160F">
        <w:rPr>
          <w:sz w:val="22"/>
          <w:szCs w:val="20"/>
          <w:lang w:val="en-US"/>
        </w:rPr>
        <w:t xml:space="preserve">Frais </w:t>
      </w:r>
      <w:proofErr w:type="spellStart"/>
      <w:proofErr w:type="gramStart"/>
      <w:r w:rsidRPr="0093160F">
        <w:rPr>
          <w:sz w:val="22"/>
          <w:szCs w:val="20"/>
          <w:lang w:val="en-US"/>
        </w:rPr>
        <w:t>d’audit</w:t>
      </w:r>
      <w:proofErr w:type="spellEnd"/>
      <w:r w:rsidRPr="0093160F">
        <w:rPr>
          <w:sz w:val="22"/>
          <w:szCs w:val="20"/>
          <w:lang w:val="en-US"/>
        </w:rPr>
        <w:t> ;</w:t>
      </w:r>
      <w:proofErr w:type="gramEnd"/>
    </w:p>
    <w:p w14:paraId="6FC4A0E3" w14:textId="12F9BF3E" w:rsidR="00332046" w:rsidRDefault="006736AD" w:rsidP="005A5E75">
      <w:pPr>
        <w:pStyle w:val="ListParagraph"/>
        <w:numPr>
          <w:ilvl w:val="0"/>
          <w:numId w:val="20"/>
        </w:numPr>
        <w:jc w:val="both"/>
        <w:rPr>
          <w:sz w:val="22"/>
          <w:szCs w:val="20"/>
          <w:lang w:val="en-US"/>
        </w:rPr>
      </w:pPr>
      <w:r>
        <w:rPr>
          <w:sz w:val="22"/>
          <w:szCs w:val="20"/>
          <w:lang w:val="en-US"/>
        </w:rPr>
        <w:t xml:space="preserve">Frais </w:t>
      </w:r>
      <w:proofErr w:type="spellStart"/>
      <w:r>
        <w:rPr>
          <w:sz w:val="22"/>
          <w:szCs w:val="20"/>
          <w:lang w:val="en-US"/>
        </w:rPr>
        <w:t>bancaires</w:t>
      </w:r>
      <w:proofErr w:type="spellEnd"/>
      <w:r w:rsidR="00383708">
        <w:rPr>
          <w:rStyle w:val="FootnoteReference"/>
          <w:sz w:val="22"/>
          <w:szCs w:val="20"/>
          <w:lang w:val="en-US"/>
        </w:rPr>
        <w:footnoteReference w:id="6"/>
      </w:r>
      <w:r w:rsidR="00332046">
        <w:rPr>
          <w:sz w:val="22"/>
          <w:szCs w:val="20"/>
          <w:lang w:val="en-US"/>
        </w:rPr>
        <w:t>;</w:t>
      </w:r>
    </w:p>
    <w:p w14:paraId="72954CCB" w14:textId="6A57B95A" w:rsidR="007972D5" w:rsidRDefault="00E03BA8" w:rsidP="005A5E75">
      <w:pPr>
        <w:pStyle w:val="ListParagraph"/>
        <w:numPr>
          <w:ilvl w:val="0"/>
          <w:numId w:val="20"/>
        </w:numPr>
        <w:jc w:val="both"/>
        <w:rPr>
          <w:sz w:val="22"/>
          <w:szCs w:val="20"/>
          <w:lang w:val="en-US"/>
        </w:rPr>
      </w:pPr>
      <w:r w:rsidRPr="00E03BA8">
        <w:rPr>
          <w:sz w:val="22"/>
          <w:szCs w:val="20"/>
          <w:lang w:val="en-US"/>
        </w:rPr>
        <w:t xml:space="preserve">Frais </w:t>
      </w:r>
      <w:proofErr w:type="spellStart"/>
      <w:proofErr w:type="gramStart"/>
      <w:r w:rsidRPr="00E03BA8">
        <w:rPr>
          <w:sz w:val="22"/>
          <w:szCs w:val="20"/>
          <w:lang w:val="en-US"/>
        </w:rPr>
        <w:t>d’assurance</w:t>
      </w:r>
      <w:proofErr w:type="spellEnd"/>
      <w:r>
        <w:rPr>
          <w:sz w:val="22"/>
          <w:szCs w:val="20"/>
          <w:lang w:val="en-US"/>
        </w:rPr>
        <w:t xml:space="preserve"> </w:t>
      </w:r>
      <w:r w:rsidR="007972D5">
        <w:rPr>
          <w:sz w:val="22"/>
          <w:szCs w:val="20"/>
          <w:lang w:val="en-US"/>
        </w:rPr>
        <w:t>;</w:t>
      </w:r>
      <w:proofErr w:type="gramEnd"/>
    </w:p>
    <w:p w14:paraId="07F1A9BF" w14:textId="77777777" w:rsidR="00E03BA8" w:rsidRPr="00DE70AE" w:rsidRDefault="00E03BA8" w:rsidP="000C2288">
      <w:pPr>
        <w:pStyle w:val="ListParagraph"/>
        <w:numPr>
          <w:ilvl w:val="0"/>
          <w:numId w:val="20"/>
        </w:numPr>
        <w:jc w:val="both"/>
        <w:rPr>
          <w:sz w:val="22"/>
          <w:szCs w:val="20"/>
        </w:rPr>
      </w:pPr>
      <w:r w:rsidRPr="00DE70AE">
        <w:rPr>
          <w:sz w:val="22"/>
          <w:szCs w:val="20"/>
        </w:rPr>
        <w:t>Achat d’équipements, d’ordinateurs, d’imprimantes ou de tout autre appareil électrique ;</w:t>
      </w:r>
    </w:p>
    <w:p w14:paraId="7445AC81" w14:textId="7F337856" w:rsidR="00E03BA8" w:rsidRDefault="00E03BA8" w:rsidP="00B83F54">
      <w:pPr>
        <w:pStyle w:val="ListParagraph"/>
        <w:numPr>
          <w:ilvl w:val="0"/>
          <w:numId w:val="20"/>
        </w:numPr>
        <w:jc w:val="both"/>
        <w:rPr>
          <w:sz w:val="22"/>
          <w:szCs w:val="20"/>
        </w:rPr>
      </w:pPr>
      <w:r w:rsidRPr="00E03BA8">
        <w:rPr>
          <w:sz w:val="22"/>
          <w:szCs w:val="20"/>
        </w:rPr>
        <w:t>Frais engagés avant la date de l’</w:t>
      </w:r>
      <w:r>
        <w:rPr>
          <w:sz w:val="22"/>
          <w:szCs w:val="20"/>
        </w:rPr>
        <w:t>A</w:t>
      </w:r>
      <w:r w:rsidRPr="00E03BA8">
        <w:rPr>
          <w:sz w:val="22"/>
          <w:szCs w:val="20"/>
        </w:rPr>
        <w:t>ccord de</w:t>
      </w:r>
      <w:r>
        <w:rPr>
          <w:sz w:val="22"/>
          <w:szCs w:val="20"/>
        </w:rPr>
        <w:t xml:space="preserve"> partenariat d’exécution</w:t>
      </w:r>
      <w:r w:rsidRPr="00E03BA8">
        <w:rPr>
          <w:sz w:val="22"/>
          <w:szCs w:val="20"/>
        </w:rPr>
        <w:t xml:space="preserve"> correspondant ou après son expiration ;</w:t>
      </w:r>
      <w:r>
        <w:rPr>
          <w:sz w:val="22"/>
          <w:szCs w:val="20"/>
        </w:rPr>
        <w:t xml:space="preserve"> </w:t>
      </w:r>
    </w:p>
    <w:p w14:paraId="46E07535" w14:textId="63C6A076" w:rsidR="00B83F54" w:rsidRPr="00E03BA8" w:rsidRDefault="00D22389" w:rsidP="00B83F54">
      <w:pPr>
        <w:pStyle w:val="ListParagraph"/>
        <w:numPr>
          <w:ilvl w:val="0"/>
          <w:numId w:val="20"/>
        </w:numPr>
        <w:jc w:val="both"/>
        <w:rPr>
          <w:sz w:val="22"/>
          <w:szCs w:val="20"/>
        </w:rPr>
      </w:pPr>
      <w:r>
        <w:rPr>
          <w:sz w:val="22"/>
          <w:szCs w:val="20"/>
        </w:rPr>
        <w:t xml:space="preserve">Coûts </w:t>
      </w:r>
      <w:r w:rsidR="00E03BA8" w:rsidRPr="00E03BA8">
        <w:rPr>
          <w:sz w:val="22"/>
          <w:szCs w:val="20"/>
        </w:rPr>
        <w:t>jugés non essentiels pour obtenir les résultats escomptés.</w:t>
      </w:r>
    </w:p>
    <w:tbl>
      <w:tblPr>
        <w:tblStyle w:val="TableGrid"/>
        <w:tblW w:w="0" w:type="auto"/>
        <w:tblLook w:val="04A0" w:firstRow="1" w:lastRow="0" w:firstColumn="1" w:lastColumn="0" w:noHBand="0" w:noVBand="1"/>
      </w:tblPr>
      <w:tblGrid>
        <w:gridCol w:w="9062"/>
      </w:tblGrid>
      <w:tr w:rsidR="00F55599" w:rsidRPr="00B3206D" w14:paraId="173F5D4F" w14:textId="77777777" w:rsidTr="00F55599">
        <w:tc>
          <w:tcPr>
            <w:tcW w:w="9062" w:type="dxa"/>
          </w:tcPr>
          <w:p w14:paraId="28631CEF" w14:textId="77777777" w:rsidR="00F55599" w:rsidRPr="00E03BA8" w:rsidRDefault="00F55599" w:rsidP="00F55599">
            <w:pPr>
              <w:spacing w:line="278" w:lineRule="auto"/>
              <w:jc w:val="both"/>
              <w:rPr>
                <w:rFonts w:eastAsiaTheme="minorEastAsia"/>
                <w:kern w:val="2"/>
                <w:sz w:val="12"/>
                <w:szCs w:val="12"/>
                <w:lang w:val="fr-FR" w:eastAsia="zh-CN"/>
                <w14:ligatures w14:val="standardContextual"/>
              </w:rPr>
            </w:pPr>
          </w:p>
          <w:p w14:paraId="40EB2035" w14:textId="77612D48" w:rsidR="00B3206D" w:rsidRPr="00B3206D" w:rsidRDefault="00B3206D" w:rsidP="00F55599">
            <w:pPr>
              <w:spacing w:after="160" w:line="278" w:lineRule="auto"/>
              <w:jc w:val="both"/>
              <w:rPr>
                <w:szCs w:val="20"/>
                <w:lang w:val="fr-FR"/>
              </w:rPr>
            </w:pPr>
            <w:r w:rsidRPr="00B3206D">
              <w:rPr>
                <w:lang w:val="fr-FR"/>
              </w:rPr>
              <w:t xml:space="preserve">La proposition de budget servira de base à l’accord de financement si une subvention est accordée. Néanmoins, le budget proposé par </w:t>
            </w:r>
            <w:r w:rsidR="00FD1A67">
              <w:rPr>
                <w:lang w:val="fr-FR"/>
              </w:rPr>
              <w:t>l’organisation candidate</w:t>
            </w:r>
            <w:r w:rsidRPr="00B3206D">
              <w:rPr>
                <w:lang w:val="fr-FR"/>
              </w:rPr>
              <w:t xml:space="preserve"> peut être rationalisé </w:t>
            </w:r>
            <w:proofErr w:type="gramStart"/>
            <w:r w:rsidRPr="00B3206D">
              <w:rPr>
                <w:lang w:val="fr-FR"/>
              </w:rPr>
              <w:t>ou</w:t>
            </w:r>
            <w:proofErr w:type="gramEnd"/>
            <w:r w:rsidRPr="00B3206D">
              <w:rPr>
                <w:lang w:val="fr-FR"/>
              </w:rPr>
              <w:t xml:space="preserve"> faire l’objet d’autres ajustements demandés par l’UNESCO suite à la présélection d’une proposition de partenariat. </w:t>
            </w:r>
            <w:r w:rsidR="00FD1A67">
              <w:rPr>
                <w:lang w:val="fr-FR"/>
              </w:rPr>
              <w:t>La</w:t>
            </w:r>
            <w:r w:rsidRPr="00B3206D">
              <w:rPr>
                <w:lang w:val="fr-FR"/>
              </w:rPr>
              <w:t xml:space="preserve"> présélection d’une proposition de partenariat n’entraîne pas nécessairement l’approbation de l’ensemble du budget proposé. L’UNESCO se réserve le droit de négocier le budget avec les partenaires présélectionnés avant la signature de </w:t>
            </w:r>
            <w:r w:rsidR="00FD1A67">
              <w:rPr>
                <w:lang w:val="fr-FR"/>
              </w:rPr>
              <w:t>l’Accord de partenariat d’exécution</w:t>
            </w:r>
            <w:r w:rsidRPr="00B3206D">
              <w:rPr>
                <w:lang w:val="fr-FR"/>
              </w:rPr>
              <w:t>, afin de garantir un bon rapport qualité-prix.</w:t>
            </w:r>
          </w:p>
        </w:tc>
      </w:tr>
    </w:tbl>
    <w:p w14:paraId="480C1464" w14:textId="77777777" w:rsidR="00F55599" w:rsidRPr="00B3206D" w:rsidRDefault="00F55599" w:rsidP="003434C1">
      <w:pPr>
        <w:spacing w:after="0"/>
        <w:jc w:val="both"/>
        <w:rPr>
          <w:sz w:val="22"/>
          <w:szCs w:val="20"/>
        </w:rPr>
      </w:pPr>
    </w:p>
    <w:p w14:paraId="64425482" w14:textId="77777777" w:rsidR="00814A94" w:rsidRPr="00814A94" w:rsidRDefault="00814A94" w:rsidP="000C2288">
      <w:pPr>
        <w:jc w:val="both"/>
        <w:rPr>
          <w:b/>
          <w:bCs/>
          <w:sz w:val="22"/>
          <w:szCs w:val="20"/>
        </w:rPr>
      </w:pPr>
      <w:r w:rsidRPr="00814A94">
        <w:rPr>
          <w:b/>
          <w:bCs/>
          <w:sz w:val="22"/>
          <w:szCs w:val="20"/>
        </w:rPr>
        <w:t>Cofinancement par d’autres Sources de Financement Externe</w:t>
      </w:r>
    </w:p>
    <w:p w14:paraId="53B11655" w14:textId="36261D16" w:rsidR="003434C1" w:rsidRPr="00814A94" w:rsidRDefault="00814A94" w:rsidP="00814A94">
      <w:pPr>
        <w:jc w:val="both"/>
        <w:rPr>
          <w:sz w:val="22"/>
          <w:szCs w:val="20"/>
        </w:rPr>
      </w:pPr>
      <w:r w:rsidRPr="00814A94">
        <w:rPr>
          <w:sz w:val="22"/>
          <w:szCs w:val="20"/>
        </w:rPr>
        <w:t xml:space="preserve">En plus de la subvention demandée </w:t>
      </w:r>
      <w:r>
        <w:rPr>
          <w:sz w:val="22"/>
          <w:szCs w:val="20"/>
        </w:rPr>
        <w:t>dans le cadre de cet Appel</w:t>
      </w:r>
      <w:r w:rsidRPr="00814A94">
        <w:rPr>
          <w:sz w:val="22"/>
          <w:szCs w:val="20"/>
        </w:rPr>
        <w:t>, l’action proposée dans la proposition de partenariat peut être partiellement soutenue par des contributions financières de tiers.</w:t>
      </w:r>
    </w:p>
    <w:p w14:paraId="14A79AFE" w14:textId="6990F791" w:rsidR="00915EFE" w:rsidRPr="00A51B54" w:rsidRDefault="00915EFE" w:rsidP="00915EFE">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51B54">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008C7800" w:rsidRPr="00A51B54">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w:t>
      </w:r>
      <w:r w:rsidRPr="00A51B54">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9C19CC" w:rsidRPr="00A51B54">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BUDGET INDICATIF DISPONIBLE POUR CET APPEL</w:t>
      </w:r>
    </w:p>
    <w:p w14:paraId="291FA823" w14:textId="62D2B520" w:rsidR="00C17EFC" w:rsidRDefault="00C17EFC" w:rsidP="00915EFE">
      <w:pPr>
        <w:jc w:val="both"/>
        <w:rPr>
          <w:sz w:val="22"/>
          <w:szCs w:val="20"/>
        </w:rPr>
      </w:pPr>
      <w:r w:rsidRPr="00C17EFC">
        <w:rPr>
          <w:sz w:val="22"/>
          <w:szCs w:val="20"/>
        </w:rPr>
        <w:t xml:space="preserve">Le montant total alloué au co-financement de projets dans le cadre de cet Appel est estimé à </w:t>
      </w:r>
      <w:r>
        <w:rPr>
          <w:b/>
          <w:bCs/>
          <w:sz w:val="22"/>
          <w:szCs w:val="20"/>
        </w:rPr>
        <w:t>350 000</w:t>
      </w:r>
      <w:r w:rsidRPr="00C17EFC">
        <w:rPr>
          <w:sz w:val="22"/>
          <w:szCs w:val="20"/>
        </w:rPr>
        <w:t xml:space="preserve"> USD</w:t>
      </w:r>
      <w:r>
        <w:rPr>
          <w:sz w:val="22"/>
          <w:szCs w:val="20"/>
        </w:rPr>
        <w:t xml:space="preserve"> au moment de la publication de cet Appel</w:t>
      </w:r>
      <w:r w:rsidRPr="00C17EFC">
        <w:rPr>
          <w:sz w:val="22"/>
          <w:szCs w:val="20"/>
        </w:rPr>
        <w:t xml:space="preserve">. Ce montant sera distribué parmi les propositions ayant obtenu le score d'évaluation le plus élevé (nombre estimé de subventions : </w:t>
      </w:r>
      <w:r w:rsidR="00DE70AE">
        <w:rPr>
          <w:sz w:val="22"/>
          <w:szCs w:val="20"/>
        </w:rPr>
        <w:t>7</w:t>
      </w:r>
      <w:r>
        <w:rPr>
          <w:sz w:val="22"/>
          <w:szCs w:val="20"/>
        </w:rPr>
        <w:t>-10</w:t>
      </w:r>
      <w:r w:rsidRPr="00C17EFC">
        <w:rPr>
          <w:sz w:val="22"/>
          <w:szCs w:val="20"/>
        </w:rPr>
        <w:t>).</w:t>
      </w:r>
    </w:p>
    <w:p w14:paraId="1C65F701" w14:textId="0C5A378A" w:rsidR="00A81733" w:rsidRPr="00F82811" w:rsidRDefault="005F55C1" w:rsidP="00E826EB">
      <w:pPr>
        <w:jc w:val="both"/>
        <w:rPr>
          <w:sz w:val="22"/>
          <w:szCs w:val="20"/>
        </w:rPr>
      </w:pPr>
      <w:r>
        <w:rPr>
          <w:sz w:val="22"/>
          <w:szCs w:val="20"/>
        </w:rPr>
        <w:t xml:space="preserve">Toute </w:t>
      </w:r>
      <w:r w:rsidR="007825B7">
        <w:rPr>
          <w:sz w:val="22"/>
          <w:szCs w:val="20"/>
        </w:rPr>
        <w:t xml:space="preserve">subvention </w:t>
      </w:r>
      <w:r w:rsidR="002070D9">
        <w:rPr>
          <w:sz w:val="22"/>
          <w:szCs w:val="20"/>
        </w:rPr>
        <w:t xml:space="preserve">demandée </w:t>
      </w:r>
      <w:r w:rsidR="00C82B7A">
        <w:rPr>
          <w:sz w:val="22"/>
          <w:szCs w:val="20"/>
        </w:rPr>
        <w:t xml:space="preserve">dans le cadre de cet Appel </w:t>
      </w:r>
      <w:r w:rsidR="007D45E5">
        <w:rPr>
          <w:sz w:val="22"/>
          <w:szCs w:val="20"/>
        </w:rPr>
        <w:t xml:space="preserve">doit se situer </w:t>
      </w:r>
      <w:r w:rsidR="00CB1C45">
        <w:rPr>
          <w:sz w:val="22"/>
          <w:szCs w:val="20"/>
        </w:rPr>
        <w:t xml:space="preserve">entre un </w:t>
      </w:r>
      <w:r w:rsidR="007F08D1">
        <w:rPr>
          <w:sz w:val="22"/>
          <w:szCs w:val="20"/>
        </w:rPr>
        <w:t xml:space="preserve">montant </w:t>
      </w:r>
      <w:r w:rsidR="002C1BBD">
        <w:rPr>
          <w:sz w:val="22"/>
          <w:szCs w:val="20"/>
        </w:rPr>
        <w:t xml:space="preserve">minimum </w:t>
      </w:r>
      <w:r w:rsidR="00616DFE">
        <w:rPr>
          <w:sz w:val="22"/>
          <w:szCs w:val="20"/>
        </w:rPr>
        <w:t xml:space="preserve">de </w:t>
      </w:r>
      <w:r w:rsidR="00616DFE">
        <w:rPr>
          <w:b/>
          <w:bCs/>
          <w:sz w:val="22"/>
          <w:szCs w:val="20"/>
        </w:rPr>
        <w:t>1</w:t>
      </w:r>
      <w:r w:rsidR="00E826EB" w:rsidRPr="00E826EB">
        <w:rPr>
          <w:b/>
          <w:bCs/>
          <w:sz w:val="22"/>
          <w:szCs w:val="20"/>
        </w:rPr>
        <w:t xml:space="preserve">5 000 USD </w:t>
      </w:r>
      <w:r w:rsidR="00DB2D81">
        <w:rPr>
          <w:b/>
          <w:bCs/>
          <w:sz w:val="22"/>
          <w:szCs w:val="20"/>
        </w:rPr>
        <w:t xml:space="preserve">et un montant </w:t>
      </w:r>
      <w:r w:rsidR="00EE00F0">
        <w:rPr>
          <w:b/>
          <w:bCs/>
          <w:sz w:val="22"/>
          <w:szCs w:val="20"/>
        </w:rPr>
        <w:t>maxi</w:t>
      </w:r>
      <w:r w:rsidR="00741F16">
        <w:rPr>
          <w:b/>
          <w:bCs/>
          <w:sz w:val="22"/>
          <w:szCs w:val="20"/>
        </w:rPr>
        <w:t>mal</w:t>
      </w:r>
      <w:r w:rsidR="00EE00F0">
        <w:rPr>
          <w:b/>
          <w:bCs/>
          <w:sz w:val="22"/>
          <w:szCs w:val="20"/>
        </w:rPr>
        <w:t xml:space="preserve"> de</w:t>
      </w:r>
      <w:r w:rsidR="00E826EB">
        <w:rPr>
          <w:sz w:val="22"/>
          <w:szCs w:val="20"/>
        </w:rPr>
        <w:t xml:space="preserve"> </w:t>
      </w:r>
      <w:r w:rsidR="00E826EB" w:rsidRPr="00E826EB">
        <w:rPr>
          <w:b/>
          <w:bCs/>
          <w:sz w:val="22"/>
          <w:szCs w:val="20"/>
        </w:rPr>
        <w:t>50 000 USD</w:t>
      </w:r>
      <w:r w:rsidR="00E826EB" w:rsidRPr="00E826EB">
        <w:rPr>
          <w:sz w:val="22"/>
          <w:szCs w:val="20"/>
        </w:rPr>
        <w:t>.</w:t>
      </w:r>
    </w:p>
    <w:p w14:paraId="3B625ABA" w14:textId="77777777" w:rsidR="00431EF7" w:rsidRPr="00431EF7" w:rsidRDefault="00431EF7" w:rsidP="00A560FA">
      <w:pPr>
        <w:jc w:val="both"/>
        <w:rPr>
          <w:sz w:val="22"/>
          <w:szCs w:val="20"/>
        </w:rPr>
      </w:pPr>
      <w:r w:rsidRPr="00431EF7">
        <w:rPr>
          <w:sz w:val="22"/>
          <w:szCs w:val="20"/>
        </w:rPr>
        <w:t>Le montant demandé par les candidats doit être proportionnel à leurs capacités de gestion administrative et financière.</w:t>
      </w:r>
    </w:p>
    <w:p w14:paraId="34A2AADB" w14:textId="77777777" w:rsidR="000375E7" w:rsidRDefault="000375E7" w:rsidP="00A560FA">
      <w:pPr>
        <w:jc w:val="both"/>
        <w:rPr>
          <w:sz w:val="22"/>
          <w:szCs w:val="20"/>
        </w:rPr>
      </w:pPr>
      <w:r w:rsidRPr="000375E7">
        <w:rPr>
          <w:sz w:val="22"/>
          <w:szCs w:val="20"/>
        </w:rPr>
        <w:lastRenderedPageBreak/>
        <w:t>L'UNESCO se réserve le droit de ne pas distribuer tous les fonds disponibles, ainsi que le droit d'accorder la totalité ou seulement une partie du financement demandé par les candidats.</w:t>
      </w:r>
    </w:p>
    <w:p w14:paraId="26E616B9" w14:textId="77777777" w:rsidR="005A6DB4" w:rsidRDefault="005A6DB4" w:rsidP="00A560FA">
      <w:pPr>
        <w:jc w:val="both"/>
        <w:rPr>
          <w:sz w:val="22"/>
          <w:szCs w:val="20"/>
        </w:rPr>
      </w:pPr>
      <w:r w:rsidRPr="005A6DB4">
        <w:rPr>
          <w:sz w:val="22"/>
          <w:szCs w:val="20"/>
        </w:rPr>
        <w:t xml:space="preserve">Veuillez noter que l'octroi d'une subvention ne donne pas droit à une subvention pour les années suivantes. </w:t>
      </w:r>
    </w:p>
    <w:p w14:paraId="37C35980" w14:textId="77777777" w:rsidR="005A6DB4" w:rsidRDefault="005A6DB4" w:rsidP="00A560FA">
      <w:pPr>
        <w:jc w:val="both"/>
        <w:rPr>
          <w:sz w:val="22"/>
          <w:szCs w:val="20"/>
        </w:rPr>
      </w:pPr>
      <w:r w:rsidRPr="005A6DB4">
        <w:rPr>
          <w:sz w:val="22"/>
          <w:szCs w:val="20"/>
        </w:rPr>
        <w:t xml:space="preserve">Aucune subvention ne peut être accordée rétroactivement pour des actions déjà réalisées. </w:t>
      </w:r>
    </w:p>
    <w:p w14:paraId="471019C7" w14:textId="7892E655" w:rsidR="005A6DB4" w:rsidRDefault="005A6DB4" w:rsidP="00A560FA">
      <w:pPr>
        <w:jc w:val="both"/>
        <w:rPr>
          <w:sz w:val="22"/>
          <w:szCs w:val="20"/>
        </w:rPr>
      </w:pPr>
      <w:r w:rsidRPr="005A6DB4">
        <w:rPr>
          <w:sz w:val="22"/>
          <w:szCs w:val="20"/>
        </w:rPr>
        <w:t xml:space="preserve">Les fonds de la subvention ne peuvent être dépensés que pour les activités définies dans l'Accord de Partenariat d’exécution correspondant (voir « </w:t>
      </w:r>
      <w:r w:rsidR="00912F3A" w:rsidRPr="00912F3A">
        <w:rPr>
          <w:sz w:val="22"/>
          <w:szCs w:val="20"/>
        </w:rPr>
        <w:t>Processus de formalisation du contrat et mise en œuvre du projet</w:t>
      </w:r>
      <w:r w:rsidRPr="005A6DB4">
        <w:rPr>
          <w:sz w:val="22"/>
          <w:szCs w:val="20"/>
        </w:rPr>
        <w:t xml:space="preserve"> » ci-dessous).</w:t>
      </w:r>
    </w:p>
    <w:p w14:paraId="21A93322" w14:textId="3969985A" w:rsidR="006F7F7C" w:rsidRPr="000375E7" w:rsidRDefault="006F7F7C" w:rsidP="00A560FA">
      <w:pPr>
        <w:jc w:val="both"/>
        <w:rPr>
          <w:sz w:val="22"/>
          <w:szCs w:val="20"/>
        </w:rPr>
      </w:pPr>
      <w:r w:rsidRPr="006F7F7C">
        <w:rPr>
          <w:sz w:val="22"/>
          <w:szCs w:val="20"/>
        </w:rPr>
        <w:t>Le GMDF ne financera pas des activités qui ne contribuent pas directement au Résultat 2, Résultat 3, et/ou Résultat 4 du Fonds</w:t>
      </w:r>
      <w:r>
        <w:rPr>
          <w:sz w:val="22"/>
          <w:szCs w:val="20"/>
        </w:rPr>
        <w:t xml:space="preserve">, </w:t>
      </w:r>
      <w:r w:rsidRPr="006F7F7C">
        <w:rPr>
          <w:sz w:val="22"/>
          <w:szCs w:val="20"/>
        </w:rPr>
        <w:t xml:space="preserve">ou qui ne </w:t>
      </w:r>
      <w:r>
        <w:rPr>
          <w:sz w:val="22"/>
          <w:szCs w:val="20"/>
        </w:rPr>
        <w:t>se conforment pas à l’axe</w:t>
      </w:r>
      <w:r w:rsidRPr="006F7F7C">
        <w:rPr>
          <w:sz w:val="22"/>
          <w:szCs w:val="20"/>
        </w:rPr>
        <w:t xml:space="preserve"> thématique de cet </w:t>
      </w:r>
      <w:r w:rsidR="0069725D">
        <w:rPr>
          <w:sz w:val="22"/>
          <w:szCs w:val="20"/>
        </w:rPr>
        <w:t>A</w:t>
      </w:r>
      <w:r w:rsidRPr="006F7F7C">
        <w:rPr>
          <w:sz w:val="22"/>
          <w:szCs w:val="20"/>
        </w:rPr>
        <w:t>ppel à partenariats (renforcer la protection juridique des journalistes environnementaux et/ou réduire l’impunité liée aux cas de violence, de menaces et d’attaques à leur encontre).</w:t>
      </w:r>
    </w:p>
    <w:p w14:paraId="29F6F805" w14:textId="632D1F85" w:rsidR="00E206EF" w:rsidRPr="00A638A2" w:rsidRDefault="00E206EF" w:rsidP="00E206EF">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638A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V. </w:t>
      </w:r>
      <w:r w:rsidR="00A638A2" w:rsidRPr="00A638A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PROCESSUS D’ÉVALUATION ET </w:t>
      </w:r>
      <w:r w:rsidR="00A638A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r w:rsidR="00A638A2" w:rsidRPr="009E1F4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A638A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LECTION</w:t>
      </w:r>
    </w:p>
    <w:p w14:paraId="78B55C47" w14:textId="7C115B8E" w:rsidR="005C76E1" w:rsidRDefault="005C76E1" w:rsidP="00572EB2">
      <w:pPr>
        <w:jc w:val="both"/>
        <w:rPr>
          <w:sz w:val="22"/>
          <w:szCs w:val="22"/>
        </w:rPr>
      </w:pPr>
      <w:r w:rsidRPr="005C76E1">
        <w:rPr>
          <w:sz w:val="22"/>
          <w:szCs w:val="22"/>
        </w:rPr>
        <w:t xml:space="preserve">La date butoir pour la soumission de propositions dans le cadre de cet appel à partenariats est </w:t>
      </w:r>
      <w:r>
        <w:rPr>
          <w:b/>
          <w:bCs/>
          <w:sz w:val="22"/>
          <w:szCs w:val="22"/>
        </w:rPr>
        <w:t xml:space="preserve">le vendredi </w:t>
      </w:r>
      <w:r w:rsidR="006F191A">
        <w:rPr>
          <w:b/>
          <w:bCs/>
          <w:sz w:val="22"/>
          <w:szCs w:val="22"/>
        </w:rPr>
        <w:t xml:space="preserve">18 </w:t>
      </w:r>
      <w:r>
        <w:rPr>
          <w:b/>
          <w:bCs/>
          <w:sz w:val="22"/>
          <w:szCs w:val="22"/>
        </w:rPr>
        <w:t>octobre à 23h59</w:t>
      </w:r>
      <w:r w:rsidRPr="005C76E1">
        <w:rPr>
          <w:b/>
          <w:bCs/>
          <w:sz w:val="22"/>
          <w:szCs w:val="22"/>
        </w:rPr>
        <w:t xml:space="preserve"> GMT+2</w:t>
      </w:r>
      <w:r w:rsidRPr="005C76E1">
        <w:rPr>
          <w:sz w:val="22"/>
          <w:szCs w:val="22"/>
        </w:rPr>
        <w:t>.</w:t>
      </w:r>
    </w:p>
    <w:p w14:paraId="64B265BC" w14:textId="4DF9CF15" w:rsidR="00162CDF" w:rsidRPr="005C76E1" w:rsidRDefault="003B514B" w:rsidP="00572EB2">
      <w:pPr>
        <w:jc w:val="both"/>
        <w:rPr>
          <w:sz w:val="22"/>
          <w:szCs w:val="22"/>
        </w:rPr>
      </w:pPr>
      <w:r w:rsidRPr="003B514B">
        <w:rPr>
          <w:sz w:val="22"/>
          <w:szCs w:val="22"/>
        </w:rPr>
        <w:t>Afin d'évaluer les propositions de partenariat soumises dans le cadre de cet appel, l'UNESCO appliquera la procédure suivante :</w:t>
      </w:r>
    </w:p>
    <w:p w14:paraId="47FF3F16" w14:textId="49CB847D" w:rsidR="00572EB2" w:rsidRPr="00572EB2" w:rsidRDefault="00862988" w:rsidP="00572EB2">
      <w:pPr>
        <w:jc w:val="both"/>
        <w:rPr>
          <w:b/>
          <w:bCs/>
          <w:i/>
          <w:iCs/>
          <w:sz w:val="22"/>
          <w:szCs w:val="22"/>
        </w:rPr>
      </w:pPr>
      <w:r w:rsidRPr="00862988">
        <w:rPr>
          <w:b/>
          <w:bCs/>
          <w:i/>
          <w:iCs/>
          <w:sz w:val="22"/>
          <w:szCs w:val="22"/>
        </w:rPr>
        <w:t>Évaluation Préliminaire</w:t>
      </w:r>
    </w:p>
    <w:p w14:paraId="22A2F260" w14:textId="77777777" w:rsidR="006640B4" w:rsidRDefault="006640B4" w:rsidP="000E3AF7">
      <w:pPr>
        <w:pStyle w:val="ListParagraph"/>
        <w:numPr>
          <w:ilvl w:val="0"/>
          <w:numId w:val="21"/>
        </w:numPr>
        <w:spacing w:line="259" w:lineRule="auto"/>
        <w:jc w:val="both"/>
        <w:rPr>
          <w:sz w:val="22"/>
          <w:szCs w:val="22"/>
        </w:rPr>
      </w:pPr>
      <w:r w:rsidRPr="006640B4">
        <w:rPr>
          <w:sz w:val="22"/>
          <w:szCs w:val="22"/>
          <w:u w:val="single"/>
        </w:rPr>
        <w:t>Contrôle d’Admissibilité</w:t>
      </w:r>
      <w:r w:rsidRPr="006640B4">
        <w:rPr>
          <w:sz w:val="22"/>
          <w:szCs w:val="22"/>
        </w:rPr>
        <w:t xml:space="preserve"> (voir « Conditions d’Admissibilité » sous la section III ci-dessus).</w:t>
      </w:r>
    </w:p>
    <w:p w14:paraId="69F8BEC9" w14:textId="7BB9D164" w:rsidR="006640B4" w:rsidRPr="006640B4" w:rsidRDefault="006640B4" w:rsidP="000E3AF7">
      <w:pPr>
        <w:pStyle w:val="ListParagraph"/>
        <w:numPr>
          <w:ilvl w:val="0"/>
          <w:numId w:val="21"/>
        </w:numPr>
        <w:spacing w:line="259" w:lineRule="auto"/>
        <w:jc w:val="both"/>
        <w:rPr>
          <w:sz w:val="22"/>
          <w:szCs w:val="22"/>
        </w:rPr>
      </w:pPr>
      <w:r w:rsidRPr="006640B4">
        <w:rPr>
          <w:sz w:val="22"/>
          <w:szCs w:val="22"/>
          <w:u w:val="single"/>
        </w:rPr>
        <w:t>Contrôle d’Éligibilité</w:t>
      </w:r>
      <w:r w:rsidRPr="006640B4">
        <w:rPr>
          <w:sz w:val="22"/>
          <w:szCs w:val="22"/>
        </w:rPr>
        <w:t xml:space="preserve"> (voir « Conditions d’Éligibilité » sous la section III ci-dessus).</w:t>
      </w:r>
    </w:p>
    <w:p w14:paraId="00973F95" w14:textId="7D95E46B" w:rsidR="00572EB2" w:rsidRPr="00652377" w:rsidRDefault="004A278C" w:rsidP="00572EB2">
      <w:pPr>
        <w:jc w:val="both"/>
        <w:rPr>
          <w:b/>
          <w:bCs/>
          <w:i/>
          <w:iCs/>
          <w:sz w:val="22"/>
          <w:szCs w:val="22"/>
        </w:rPr>
      </w:pPr>
      <w:r w:rsidRPr="00652377">
        <w:rPr>
          <w:b/>
          <w:bCs/>
          <w:i/>
          <w:iCs/>
          <w:sz w:val="22"/>
          <w:szCs w:val="22"/>
        </w:rPr>
        <w:t>Évaluation des Propositions</w:t>
      </w:r>
    </w:p>
    <w:p w14:paraId="22463C3E" w14:textId="77777777" w:rsidR="00652377" w:rsidRDefault="00652377" w:rsidP="00572EB2">
      <w:pPr>
        <w:jc w:val="both"/>
        <w:rPr>
          <w:sz w:val="22"/>
          <w:szCs w:val="20"/>
        </w:rPr>
      </w:pPr>
      <w:r w:rsidRPr="00652377">
        <w:rPr>
          <w:sz w:val="22"/>
          <w:szCs w:val="20"/>
        </w:rPr>
        <w:t xml:space="preserve">La sélection des propositions sera effectuée : </w:t>
      </w:r>
    </w:p>
    <w:p w14:paraId="581479DB" w14:textId="77777777" w:rsidR="00652377" w:rsidRDefault="00652377" w:rsidP="00652377">
      <w:pPr>
        <w:pStyle w:val="ListParagraph"/>
        <w:numPr>
          <w:ilvl w:val="0"/>
          <w:numId w:val="42"/>
        </w:numPr>
        <w:jc w:val="both"/>
        <w:rPr>
          <w:sz w:val="22"/>
          <w:szCs w:val="20"/>
        </w:rPr>
      </w:pPr>
      <w:r w:rsidRPr="00652377">
        <w:rPr>
          <w:sz w:val="22"/>
          <w:szCs w:val="20"/>
        </w:rPr>
        <w:t xml:space="preserve">Dans le respect des règles, règlements et procédures applicables de l'UNESCO ; </w:t>
      </w:r>
    </w:p>
    <w:p w14:paraId="7BC5B78B" w14:textId="2B629334" w:rsidR="00572EB2" w:rsidRPr="00652377" w:rsidRDefault="00652377" w:rsidP="00652377">
      <w:pPr>
        <w:pStyle w:val="ListParagraph"/>
        <w:numPr>
          <w:ilvl w:val="0"/>
          <w:numId w:val="42"/>
        </w:numPr>
        <w:jc w:val="both"/>
      </w:pPr>
      <w:r w:rsidRPr="00652377">
        <w:rPr>
          <w:sz w:val="22"/>
          <w:szCs w:val="20"/>
        </w:rPr>
        <w:t>Sur la base de trois principes : Meilleur rapport qualité-prix ; Equité, Intégrité et Transparence ; et Economie et Efficacité</w:t>
      </w:r>
      <w:r w:rsidR="00094A2B">
        <w:rPr>
          <w:rStyle w:val="FootnoteReference"/>
          <w:i/>
          <w:iCs/>
          <w:sz w:val="22"/>
          <w:szCs w:val="22"/>
          <w:lang w:val="en-US"/>
        </w:rPr>
        <w:footnoteReference w:id="7"/>
      </w:r>
      <w:r w:rsidR="00572EB2" w:rsidRPr="00C5708A">
        <w:rPr>
          <w:i/>
          <w:iCs/>
          <w:sz w:val="22"/>
          <w:szCs w:val="22"/>
        </w:rPr>
        <w:t>.</w:t>
      </w:r>
    </w:p>
    <w:p w14:paraId="09FA0D49" w14:textId="77777777" w:rsidR="006224DB" w:rsidRPr="00AF7EFA" w:rsidRDefault="006224DB" w:rsidP="006224DB">
      <w:pPr>
        <w:jc w:val="both"/>
        <w:rPr>
          <w:sz w:val="22"/>
          <w:szCs w:val="22"/>
        </w:rPr>
      </w:pPr>
      <w:r w:rsidRPr="006224DB">
        <w:rPr>
          <w:sz w:val="22"/>
          <w:szCs w:val="22"/>
        </w:rPr>
        <w:lastRenderedPageBreak/>
        <w:t xml:space="preserve">Les propositions sont évaluées et notées en fonction d’une grille d'évaluation sur une échelle de 0 à 5 </w:t>
      </w:r>
      <w:r w:rsidRPr="00AF7EFA">
        <w:rPr>
          <w:sz w:val="22"/>
          <w:szCs w:val="22"/>
        </w:rPr>
        <w:t>points (des demi-points peuvent être attribués) :</w:t>
      </w:r>
    </w:p>
    <w:p w14:paraId="58DC556D" w14:textId="77777777" w:rsidR="006224DB" w:rsidRPr="00AF7EFA" w:rsidRDefault="006224DB" w:rsidP="006224DB">
      <w:pPr>
        <w:pStyle w:val="ListParagraph"/>
        <w:numPr>
          <w:ilvl w:val="0"/>
          <w:numId w:val="23"/>
        </w:numPr>
        <w:spacing w:line="259" w:lineRule="auto"/>
        <w:jc w:val="both"/>
        <w:rPr>
          <w:sz w:val="22"/>
          <w:szCs w:val="22"/>
        </w:rPr>
      </w:pPr>
      <w:r w:rsidRPr="00AF7EFA">
        <w:rPr>
          <w:sz w:val="22"/>
          <w:szCs w:val="22"/>
        </w:rPr>
        <w:t>0 – La proposition ne répond pas aux critères ou ne peut être évaluée en raison d'informations manquantes ou incomplètes.</w:t>
      </w:r>
    </w:p>
    <w:p w14:paraId="17C62160" w14:textId="77777777" w:rsidR="006224DB" w:rsidRPr="00AF7EFA" w:rsidRDefault="006224DB" w:rsidP="006224DB">
      <w:pPr>
        <w:pStyle w:val="ListParagraph"/>
        <w:numPr>
          <w:ilvl w:val="0"/>
          <w:numId w:val="23"/>
        </w:numPr>
        <w:spacing w:line="259" w:lineRule="auto"/>
        <w:jc w:val="both"/>
        <w:rPr>
          <w:sz w:val="22"/>
          <w:szCs w:val="22"/>
        </w:rPr>
      </w:pPr>
      <w:r w:rsidRPr="00AF7EFA">
        <w:rPr>
          <w:sz w:val="22"/>
          <w:szCs w:val="22"/>
        </w:rPr>
        <w:t>1 – Médiocre. La proposition n'aborde pas les critères de manière adéquate ou contient de graves lacunes qui ne peuvent être corrigées sans modifier une partie importante de la proposition.</w:t>
      </w:r>
    </w:p>
    <w:p w14:paraId="26FB0D22" w14:textId="25401533" w:rsidR="006224DB" w:rsidRPr="00AF7EFA" w:rsidRDefault="006224DB" w:rsidP="006224DB">
      <w:pPr>
        <w:pStyle w:val="ListParagraph"/>
        <w:numPr>
          <w:ilvl w:val="0"/>
          <w:numId w:val="23"/>
        </w:numPr>
        <w:spacing w:line="259" w:lineRule="auto"/>
        <w:jc w:val="both"/>
        <w:rPr>
          <w:sz w:val="22"/>
          <w:szCs w:val="22"/>
        </w:rPr>
      </w:pPr>
      <w:r w:rsidRPr="00AF7EFA">
        <w:rPr>
          <w:sz w:val="22"/>
          <w:szCs w:val="22"/>
        </w:rPr>
        <w:t xml:space="preserve">2 – </w:t>
      </w:r>
      <w:r w:rsidR="004808BA">
        <w:rPr>
          <w:sz w:val="22"/>
          <w:szCs w:val="22"/>
        </w:rPr>
        <w:t>Moyen</w:t>
      </w:r>
      <w:r w:rsidRPr="00AF7EFA">
        <w:rPr>
          <w:sz w:val="22"/>
          <w:szCs w:val="22"/>
        </w:rPr>
        <w:t xml:space="preserve">. La proposition répond largement aux critères généraux, mais elle présente des faiblesses ou des lacunes importantes </w:t>
      </w:r>
      <w:r w:rsidR="004808BA" w:rsidRPr="004808BA">
        <w:rPr>
          <w:sz w:val="22"/>
          <w:szCs w:val="22"/>
        </w:rPr>
        <w:t>qui ne peuvent être corrigées sans modifier une partie importante de la proposition.</w:t>
      </w:r>
    </w:p>
    <w:p w14:paraId="0833A01B" w14:textId="5AAF35E6" w:rsidR="006224DB" w:rsidRPr="00AF7EFA" w:rsidRDefault="006224DB" w:rsidP="006224DB">
      <w:pPr>
        <w:pStyle w:val="ListParagraph"/>
        <w:numPr>
          <w:ilvl w:val="0"/>
          <w:numId w:val="23"/>
        </w:numPr>
        <w:spacing w:line="259" w:lineRule="auto"/>
        <w:jc w:val="both"/>
        <w:rPr>
          <w:sz w:val="22"/>
          <w:szCs w:val="22"/>
        </w:rPr>
      </w:pPr>
      <w:r w:rsidRPr="00AF7EFA">
        <w:rPr>
          <w:sz w:val="22"/>
          <w:szCs w:val="22"/>
        </w:rPr>
        <w:t>3 – Bien. La proposition aborde bien la plupart des critères</w:t>
      </w:r>
      <w:r w:rsidR="005923AE">
        <w:rPr>
          <w:sz w:val="22"/>
          <w:szCs w:val="22"/>
        </w:rPr>
        <w:t xml:space="preserve">, </w:t>
      </w:r>
      <w:r w:rsidRPr="00AF7EFA">
        <w:rPr>
          <w:sz w:val="22"/>
          <w:szCs w:val="22"/>
        </w:rPr>
        <w:t>mais elle présente des lacunes importantes qu'il sera ou non possible de corriger de manière satisfaisante au cours de la phase de rationalisation.</w:t>
      </w:r>
    </w:p>
    <w:p w14:paraId="3F91DB9D" w14:textId="6FA31653" w:rsidR="006224DB" w:rsidRPr="00AF7EFA" w:rsidRDefault="006224DB" w:rsidP="006224DB">
      <w:pPr>
        <w:pStyle w:val="ListParagraph"/>
        <w:numPr>
          <w:ilvl w:val="0"/>
          <w:numId w:val="23"/>
        </w:numPr>
        <w:spacing w:line="259" w:lineRule="auto"/>
        <w:jc w:val="both"/>
        <w:rPr>
          <w:sz w:val="22"/>
          <w:szCs w:val="22"/>
        </w:rPr>
      </w:pPr>
      <w:r w:rsidRPr="00AF7EFA">
        <w:rPr>
          <w:sz w:val="22"/>
          <w:szCs w:val="22"/>
        </w:rPr>
        <w:t xml:space="preserve">4 – Très Bien. La proposition aborde de manière satisfaisante tous les critères, bien qu'un petit nombre de lacunes nécessiteront une rationalisation pour garantir sa conformité avec les objectifs </w:t>
      </w:r>
      <w:r w:rsidR="008E31CF">
        <w:rPr>
          <w:sz w:val="22"/>
          <w:szCs w:val="22"/>
        </w:rPr>
        <w:t>de cet Appel.</w:t>
      </w:r>
    </w:p>
    <w:p w14:paraId="59A2EB87" w14:textId="78FEA7A8" w:rsidR="006224DB" w:rsidRPr="00AF7EFA" w:rsidRDefault="006224DB" w:rsidP="006224DB">
      <w:pPr>
        <w:pStyle w:val="ListParagraph"/>
        <w:numPr>
          <w:ilvl w:val="0"/>
          <w:numId w:val="23"/>
        </w:numPr>
        <w:spacing w:line="259" w:lineRule="auto"/>
        <w:jc w:val="both"/>
        <w:rPr>
          <w:sz w:val="22"/>
          <w:szCs w:val="22"/>
        </w:rPr>
      </w:pPr>
      <w:r w:rsidRPr="00AF7EFA">
        <w:rPr>
          <w:sz w:val="22"/>
          <w:szCs w:val="22"/>
        </w:rPr>
        <w:t xml:space="preserve">5 – Excellent. La proposition aborde de manière satisfaisante tous les critères et se conforme pleinement aux les objectifs </w:t>
      </w:r>
      <w:r w:rsidR="00773994">
        <w:rPr>
          <w:sz w:val="22"/>
          <w:szCs w:val="22"/>
        </w:rPr>
        <w:t>de cet Appel</w:t>
      </w:r>
      <w:r w:rsidRPr="00AF7EFA">
        <w:rPr>
          <w:sz w:val="22"/>
          <w:szCs w:val="22"/>
        </w:rPr>
        <w:t>. Les lacunes existantes sont très mineures et peuvent être facilement corrigées ou ajustées pendant la phase de rationalisation.</w:t>
      </w:r>
    </w:p>
    <w:p w14:paraId="3CFE3CDB" w14:textId="64152BBD" w:rsidR="003B1DE7" w:rsidRPr="00773994" w:rsidRDefault="003B1DE7" w:rsidP="00AF7EFA">
      <w:pPr>
        <w:pStyle w:val="ListParagraph"/>
        <w:spacing w:line="259" w:lineRule="auto"/>
        <w:jc w:val="both"/>
        <w:rPr>
          <w:sz w:val="22"/>
          <w:szCs w:val="22"/>
        </w:rPr>
      </w:pPr>
    </w:p>
    <w:tbl>
      <w:tblPr>
        <w:tblStyle w:val="TableGridLight"/>
        <w:tblW w:w="0" w:type="auto"/>
        <w:tblLook w:val="04A0" w:firstRow="1" w:lastRow="0" w:firstColumn="1" w:lastColumn="0" w:noHBand="0" w:noVBand="1"/>
      </w:tblPr>
      <w:tblGrid>
        <w:gridCol w:w="2405"/>
        <w:gridCol w:w="3969"/>
        <w:gridCol w:w="2642"/>
      </w:tblGrid>
      <w:tr w:rsidR="005D6FFD" w:rsidRPr="007958F6" w14:paraId="4A477FFE" w14:textId="77777777" w:rsidTr="007958F6">
        <w:tc>
          <w:tcPr>
            <w:tcW w:w="9016" w:type="dxa"/>
            <w:gridSpan w:val="3"/>
            <w:shd w:val="clear" w:color="auto" w:fill="153D63" w:themeFill="text2" w:themeFillTint="E6"/>
          </w:tcPr>
          <w:p w14:paraId="4F214456" w14:textId="01FCB73F" w:rsidR="005D6FFD" w:rsidRPr="007958F6" w:rsidRDefault="004861C1" w:rsidP="005D6FFD">
            <w:pPr>
              <w:jc w:val="center"/>
              <w:rPr>
                <w:rFonts w:cs="Calibri"/>
                <w:sz w:val="22"/>
                <w:szCs w:val="22"/>
              </w:rPr>
            </w:pPr>
            <w:r w:rsidRPr="004861C1">
              <w:rPr>
                <w:rFonts w:cs="Calibr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GRILLE D'ÉVALUATION</w:t>
            </w:r>
          </w:p>
        </w:tc>
      </w:tr>
      <w:tr w:rsidR="005D6FFD" w:rsidRPr="007958F6" w14:paraId="4F4E7E46" w14:textId="77777777" w:rsidTr="007958F6">
        <w:tc>
          <w:tcPr>
            <w:tcW w:w="2405" w:type="dxa"/>
            <w:shd w:val="clear" w:color="auto" w:fill="808080" w:themeFill="background1" w:themeFillShade="80"/>
          </w:tcPr>
          <w:p w14:paraId="34060A91" w14:textId="284EE770" w:rsidR="005D6FFD" w:rsidRPr="007958F6" w:rsidRDefault="00113CC6" w:rsidP="005D6FFD">
            <w:pPr>
              <w:jc w:val="center"/>
              <w:rPr>
                <w:rFonts w:cs="Calibri"/>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3CC6">
              <w:rPr>
                <w:rFonts w:cs="Calibri"/>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CATÉGORIE</w:t>
            </w:r>
          </w:p>
        </w:tc>
        <w:tc>
          <w:tcPr>
            <w:tcW w:w="3969" w:type="dxa"/>
            <w:shd w:val="clear" w:color="auto" w:fill="808080" w:themeFill="background1" w:themeFillShade="80"/>
          </w:tcPr>
          <w:p w14:paraId="66D0279A" w14:textId="7B11F0AC" w:rsidR="005D6FFD" w:rsidRPr="007958F6" w:rsidRDefault="006D7F68" w:rsidP="005D6FFD">
            <w:pPr>
              <w:jc w:val="center"/>
              <w:rPr>
                <w:rFonts w:cs="Calibri"/>
                <w:b/>
                <w:bCs/>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cs="Calibri"/>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CRITERES</w:t>
            </w:r>
          </w:p>
        </w:tc>
        <w:tc>
          <w:tcPr>
            <w:tcW w:w="2642" w:type="dxa"/>
            <w:shd w:val="clear" w:color="auto" w:fill="808080" w:themeFill="background1" w:themeFillShade="80"/>
          </w:tcPr>
          <w:p w14:paraId="5A8C315C" w14:textId="6783D4FF" w:rsidR="005D6FFD" w:rsidRPr="007958F6" w:rsidRDefault="006D7F68" w:rsidP="005D6FFD">
            <w:pPr>
              <w:jc w:val="center"/>
              <w:rPr>
                <w:rFonts w:cs="Calibri"/>
                <w:b/>
                <w:bCs/>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roofErr w:type="gramStart"/>
            <w:r>
              <w:rPr>
                <w:rFonts w:cs="Calibri"/>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score</w:t>
            </w:r>
            <w:proofErr w:type="gramEnd"/>
          </w:p>
        </w:tc>
      </w:tr>
      <w:tr w:rsidR="00C610D9" w14:paraId="6F64A90E" w14:textId="77777777" w:rsidTr="00C610D9">
        <w:tc>
          <w:tcPr>
            <w:tcW w:w="2405" w:type="dxa"/>
          </w:tcPr>
          <w:p w14:paraId="114F13D5" w14:textId="75B892EA" w:rsidR="00C610D9" w:rsidRPr="003F77CF" w:rsidRDefault="006D7F68" w:rsidP="006339B9">
            <w:pPr>
              <w:jc w:val="center"/>
              <w:rPr>
                <w:sz w:val="20"/>
                <w:szCs w:val="20"/>
              </w:rPr>
            </w:pPr>
            <w:r>
              <w:rPr>
                <w:sz w:val="20"/>
                <w:szCs w:val="20"/>
              </w:rPr>
              <w:lastRenderedPageBreak/>
              <w:t xml:space="preserve">Proposition </w:t>
            </w:r>
            <w:r w:rsidR="007601A7">
              <w:rPr>
                <w:sz w:val="20"/>
                <w:szCs w:val="20"/>
              </w:rPr>
              <w:t>technique</w:t>
            </w:r>
          </w:p>
        </w:tc>
        <w:tc>
          <w:tcPr>
            <w:tcW w:w="3969" w:type="dxa"/>
          </w:tcPr>
          <w:p w14:paraId="21B88209" w14:textId="21DE40C1" w:rsidR="00C610D9" w:rsidRDefault="004A2060" w:rsidP="00C610D9">
            <w:pPr>
              <w:pStyle w:val="ListParagraph"/>
              <w:numPr>
                <w:ilvl w:val="0"/>
                <w:numId w:val="34"/>
              </w:numPr>
              <w:jc w:val="both"/>
              <w:rPr>
                <w:sz w:val="20"/>
                <w:szCs w:val="20"/>
              </w:rPr>
            </w:pPr>
            <w:r>
              <w:rPr>
                <w:sz w:val="20"/>
                <w:szCs w:val="20"/>
              </w:rPr>
              <w:t>Contribution aux Résultats du GMDF</w:t>
            </w:r>
          </w:p>
          <w:p w14:paraId="5BAB6DCF" w14:textId="2DC6D2DD" w:rsidR="003C1006" w:rsidRPr="004A2060" w:rsidRDefault="00640766" w:rsidP="00C610D9">
            <w:pPr>
              <w:pStyle w:val="ListParagraph"/>
              <w:numPr>
                <w:ilvl w:val="0"/>
                <w:numId w:val="34"/>
              </w:numPr>
              <w:jc w:val="both"/>
              <w:rPr>
                <w:sz w:val="20"/>
                <w:szCs w:val="20"/>
              </w:rPr>
            </w:pPr>
            <w:r>
              <w:rPr>
                <w:sz w:val="20"/>
                <w:szCs w:val="20"/>
              </w:rPr>
              <w:t xml:space="preserve">Alignement </w:t>
            </w:r>
            <w:r w:rsidR="004A2060" w:rsidRPr="004A2060">
              <w:rPr>
                <w:sz w:val="20"/>
                <w:szCs w:val="20"/>
              </w:rPr>
              <w:t>avec l’axe thématique de ce</w:t>
            </w:r>
            <w:r w:rsidR="004A2060">
              <w:rPr>
                <w:sz w:val="20"/>
                <w:szCs w:val="20"/>
              </w:rPr>
              <w:t>t Appel</w:t>
            </w:r>
          </w:p>
          <w:p w14:paraId="01DB8302" w14:textId="77777777" w:rsidR="00DB6985" w:rsidRDefault="00DB6985" w:rsidP="00C610D9">
            <w:pPr>
              <w:pStyle w:val="ListParagraph"/>
              <w:numPr>
                <w:ilvl w:val="0"/>
                <w:numId w:val="34"/>
              </w:numPr>
              <w:rPr>
                <w:sz w:val="20"/>
                <w:szCs w:val="20"/>
                <w:lang w:val="en-US"/>
              </w:rPr>
            </w:pPr>
            <w:r w:rsidRPr="00DB6985">
              <w:rPr>
                <w:sz w:val="20"/>
                <w:szCs w:val="20"/>
                <w:lang w:val="en-US"/>
              </w:rPr>
              <w:t xml:space="preserve">Objectif(s) </w:t>
            </w:r>
            <w:proofErr w:type="spellStart"/>
            <w:r w:rsidRPr="00DB6985">
              <w:rPr>
                <w:sz w:val="20"/>
                <w:szCs w:val="20"/>
                <w:lang w:val="en-US"/>
              </w:rPr>
              <w:t>spécifique</w:t>
            </w:r>
            <w:proofErr w:type="spellEnd"/>
            <w:r w:rsidRPr="00DB6985">
              <w:rPr>
                <w:sz w:val="20"/>
                <w:szCs w:val="20"/>
                <w:lang w:val="en-US"/>
              </w:rPr>
              <w:t xml:space="preserve">(s), </w:t>
            </w:r>
            <w:proofErr w:type="spellStart"/>
            <w:r w:rsidRPr="00DB6985">
              <w:rPr>
                <w:sz w:val="20"/>
                <w:szCs w:val="20"/>
                <w:lang w:val="en-US"/>
              </w:rPr>
              <w:t>mesurable</w:t>
            </w:r>
            <w:proofErr w:type="spellEnd"/>
            <w:r w:rsidRPr="00DB6985">
              <w:rPr>
                <w:sz w:val="20"/>
                <w:szCs w:val="20"/>
                <w:lang w:val="en-US"/>
              </w:rPr>
              <w:t xml:space="preserve">(s), </w:t>
            </w:r>
            <w:proofErr w:type="spellStart"/>
            <w:r w:rsidRPr="00DB6985">
              <w:rPr>
                <w:sz w:val="20"/>
                <w:szCs w:val="20"/>
                <w:lang w:val="en-US"/>
              </w:rPr>
              <w:t>atteignable</w:t>
            </w:r>
            <w:proofErr w:type="spellEnd"/>
            <w:r w:rsidRPr="00DB6985">
              <w:rPr>
                <w:sz w:val="20"/>
                <w:szCs w:val="20"/>
                <w:lang w:val="en-US"/>
              </w:rPr>
              <w:t xml:space="preserve">(s), et </w:t>
            </w:r>
            <w:proofErr w:type="spellStart"/>
            <w:r w:rsidRPr="00DB6985">
              <w:rPr>
                <w:sz w:val="20"/>
                <w:szCs w:val="20"/>
                <w:lang w:val="en-US"/>
              </w:rPr>
              <w:t>pertinents</w:t>
            </w:r>
            <w:proofErr w:type="spellEnd"/>
            <w:r w:rsidRPr="00DB6985">
              <w:rPr>
                <w:sz w:val="20"/>
                <w:szCs w:val="20"/>
                <w:lang w:val="en-US"/>
              </w:rPr>
              <w:t>(s)</w:t>
            </w:r>
          </w:p>
          <w:p w14:paraId="05CC0601" w14:textId="77777777" w:rsidR="00624DF6" w:rsidRPr="00624DF6" w:rsidRDefault="00624DF6" w:rsidP="00C610D9">
            <w:pPr>
              <w:pStyle w:val="ListParagraph"/>
              <w:numPr>
                <w:ilvl w:val="0"/>
                <w:numId w:val="34"/>
              </w:numPr>
              <w:rPr>
                <w:sz w:val="20"/>
                <w:szCs w:val="20"/>
              </w:rPr>
            </w:pPr>
            <w:r w:rsidRPr="00624DF6">
              <w:rPr>
                <w:sz w:val="20"/>
                <w:szCs w:val="20"/>
              </w:rPr>
              <w:t>Mise en œuvre limitée dans le temps (18 mois maximum)</w:t>
            </w:r>
          </w:p>
          <w:p w14:paraId="4C822CA6" w14:textId="77777777" w:rsidR="005858A7" w:rsidRPr="005858A7" w:rsidRDefault="005858A7" w:rsidP="00C610D9">
            <w:pPr>
              <w:pStyle w:val="ListParagraph"/>
              <w:numPr>
                <w:ilvl w:val="0"/>
                <w:numId w:val="34"/>
              </w:numPr>
              <w:rPr>
                <w:sz w:val="20"/>
                <w:szCs w:val="20"/>
                <w:lang w:val="en-US"/>
              </w:rPr>
            </w:pPr>
            <w:r w:rsidRPr="005858A7">
              <w:rPr>
                <w:sz w:val="20"/>
                <w:szCs w:val="20"/>
              </w:rPr>
              <w:t>Faisabilité opérationnelle et technique</w:t>
            </w:r>
          </w:p>
          <w:p w14:paraId="5EB4D499" w14:textId="51FBFF30" w:rsidR="008916A7" w:rsidRPr="008916A7" w:rsidRDefault="008916A7" w:rsidP="00C610D9">
            <w:pPr>
              <w:pStyle w:val="ListParagraph"/>
              <w:numPr>
                <w:ilvl w:val="0"/>
                <w:numId w:val="34"/>
              </w:numPr>
              <w:rPr>
                <w:sz w:val="20"/>
                <w:szCs w:val="20"/>
              </w:rPr>
            </w:pPr>
            <w:r w:rsidRPr="008916A7">
              <w:rPr>
                <w:sz w:val="20"/>
                <w:szCs w:val="20"/>
              </w:rPr>
              <w:t>Approche fondée sur les droits de l'homme tout au long du développement et de la mise en œuvre</w:t>
            </w:r>
          </w:p>
          <w:p w14:paraId="48A347E1" w14:textId="3B095DC7" w:rsidR="00321FB7" w:rsidRDefault="00321FB7" w:rsidP="00C610D9">
            <w:pPr>
              <w:pStyle w:val="ListParagraph"/>
              <w:numPr>
                <w:ilvl w:val="0"/>
                <w:numId w:val="34"/>
              </w:numPr>
              <w:rPr>
                <w:sz w:val="20"/>
                <w:szCs w:val="20"/>
              </w:rPr>
            </w:pPr>
            <w:r w:rsidRPr="00321FB7">
              <w:rPr>
                <w:sz w:val="20"/>
                <w:szCs w:val="20"/>
              </w:rPr>
              <w:t>Respect des normes internationales sur la liberté d’expression et la sécurité des journalistes</w:t>
            </w:r>
          </w:p>
          <w:p w14:paraId="4372EDC7" w14:textId="77777777" w:rsidR="00AB637C" w:rsidRDefault="00AB637C" w:rsidP="00C610D9">
            <w:pPr>
              <w:pStyle w:val="ListParagraph"/>
              <w:numPr>
                <w:ilvl w:val="0"/>
                <w:numId w:val="34"/>
              </w:numPr>
              <w:rPr>
                <w:sz w:val="20"/>
                <w:szCs w:val="20"/>
              </w:rPr>
            </w:pPr>
            <w:r w:rsidRPr="00AB637C">
              <w:rPr>
                <w:sz w:val="20"/>
                <w:szCs w:val="20"/>
              </w:rPr>
              <w:t>Conformité avec le Plan d’Action de l’ONU sur la Sécurité des Journalistes et la Question de l’Impunité</w:t>
            </w:r>
          </w:p>
          <w:p w14:paraId="569FB7F5" w14:textId="77777777" w:rsidR="00AB637C" w:rsidRPr="00AB637C" w:rsidRDefault="00AB637C" w:rsidP="00C610D9">
            <w:pPr>
              <w:pStyle w:val="ListParagraph"/>
              <w:numPr>
                <w:ilvl w:val="0"/>
                <w:numId w:val="34"/>
              </w:numPr>
              <w:rPr>
                <w:sz w:val="20"/>
                <w:szCs w:val="20"/>
              </w:rPr>
            </w:pPr>
            <w:r w:rsidRPr="00AB637C">
              <w:rPr>
                <w:sz w:val="20"/>
                <w:szCs w:val="20"/>
              </w:rPr>
              <w:t>Intégration de la dimension de genre</w:t>
            </w:r>
          </w:p>
          <w:p w14:paraId="615015C2" w14:textId="1FEA3286" w:rsidR="009F4BAE" w:rsidRDefault="00AB637C" w:rsidP="00C610D9">
            <w:pPr>
              <w:pStyle w:val="ListParagraph"/>
              <w:numPr>
                <w:ilvl w:val="0"/>
                <w:numId w:val="34"/>
              </w:numPr>
              <w:rPr>
                <w:sz w:val="20"/>
                <w:szCs w:val="20"/>
                <w:lang w:val="en-US"/>
              </w:rPr>
            </w:pPr>
            <w:proofErr w:type="spellStart"/>
            <w:r>
              <w:rPr>
                <w:sz w:val="20"/>
                <w:szCs w:val="20"/>
                <w:lang w:val="en-US"/>
              </w:rPr>
              <w:t>Durabilité</w:t>
            </w:r>
            <w:proofErr w:type="spellEnd"/>
            <w:r>
              <w:rPr>
                <w:sz w:val="20"/>
                <w:szCs w:val="20"/>
                <w:lang w:val="en-US"/>
              </w:rPr>
              <w:t xml:space="preserve"> de </w:t>
            </w:r>
            <w:proofErr w:type="spellStart"/>
            <w:r>
              <w:rPr>
                <w:sz w:val="20"/>
                <w:szCs w:val="20"/>
                <w:lang w:val="en-US"/>
              </w:rPr>
              <w:t>l’action</w:t>
            </w:r>
            <w:proofErr w:type="spellEnd"/>
          </w:p>
          <w:p w14:paraId="686833CC" w14:textId="77777777" w:rsidR="00437A20" w:rsidRPr="00437A20" w:rsidRDefault="00437A20" w:rsidP="00C610D9">
            <w:pPr>
              <w:pStyle w:val="ListParagraph"/>
              <w:numPr>
                <w:ilvl w:val="0"/>
                <w:numId w:val="34"/>
              </w:numPr>
              <w:rPr>
                <w:sz w:val="20"/>
                <w:szCs w:val="20"/>
              </w:rPr>
            </w:pPr>
            <w:r w:rsidRPr="00437A20">
              <w:rPr>
                <w:sz w:val="20"/>
                <w:szCs w:val="20"/>
              </w:rPr>
              <w:t>Considérations relatives à la durabilité environnementale</w:t>
            </w:r>
          </w:p>
          <w:p w14:paraId="71D53026" w14:textId="77777777" w:rsidR="005B22F4" w:rsidRPr="005B22F4" w:rsidRDefault="005B22F4" w:rsidP="00C610D9">
            <w:pPr>
              <w:pStyle w:val="ListParagraph"/>
              <w:numPr>
                <w:ilvl w:val="0"/>
                <w:numId w:val="34"/>
              </w:numPr>
              <w:rPr>
                <w:sz w:val="20"/>
                <w:szCs w:val="20"/>
              </w:rPr>
            </w:pPr>
            <w:r w:rsidRPr="005B22F4">
              <w:rPr>
                <w:sz w:val="20"/>
                <w:szCs w:val="20"/>
              </w:rPr>
              <w:t>Contribution aux priorités mondiales de l’UNESCO</w:t>
            </w:r>
          </w:p>
          <w:p w14:paraId="5E1C0A11" w14:textId="77777777" w:rsidR="005B22F4" w:rsidRPr="005B22F4" w:rsidRDefault="005B22F4" w:rsidP="00C610D9">
            <w:pPr>
              <w:pStyle w:val="ListParagraph"/>
              <w:numPr>
                <w:ilvl w:val="0"/>
                <w:numId w:val="34"/>
              </w:numPr>
              <w:rPr>
                <w:sz w:val="20"/>
                <w:szCs w:val="20"/>
              </w:rPr>
            </w:pPr>
            <w:r w:rsidRPr="005B22F4">
              <w:rPr>
                <w:sz w:val="20"/>
                <w:szCs w:val="20"/>
              </w:rPr>
              <w:t>Considérations relatives à l’attention particulière : PMA, PEID, peuples autochtones</w:t>
            </w:r>
          </w:p>
          <w:p w14:paraId="52648357" w14:textId="77777777" w:rsidR="000B4C49" w:rsidRPr="000B4C49" w:rsidRDefault="000B4C49" w:rsidP="00C610D9">
            <w:pPr>
              <w:pStyle w:val="ListParagraph"/>
              <w:numPr>
                <w:ilvl w:val="0"/>
                <w:numId w:val="34"/>
              </w:numPr>
              <w:rPr>
                <w:sz w:val="20"/>
                <w:szCs w:val="20"/>
              </w:rPr>
            </w:pPr>
            <w:r w:rsidRPr="000B4C49">
              <w:rPr>
                <w:sz w:val="20"/>
                <w:szCs w:val="20"/>
              </w:rPr>
              <w:t>Utilisation des ressources et publications de l’UNESCO</w:t>
            </w:r>
          </w:p>
          <w:p w14:paraId="53CF5B72" w14:textId="77777777" w:rsidR="00EA61A8" w:rsidRPr="00EA61A8" w:rsidRDefault="00EA61A8" w:rsidP="00C610D9">
            <w:pPr>
              <w:pStyle w:val="ListParagraph"/>
              <w:numPr>
                <w:ilvl w:val="0"/>
                <w:numId w:val="34"/>
              </w:numPr>
              <w:rPr>
                <w:sz w:val="20"/>
                <w:szCs w:val="20"/>
              </w:rPr>
            </w:pPr>
            <w:r w:rsidRPr="00EA61A8">
              <w:rPr>
                <w:sz w:val="20"/>
                <w:szCs w:val="20"/>
              </w:rPr>
              <w:t>Potentiel de résultats avant la COP30</w:t>
            </w:r>
          </w:p>
          <w:p w14:paraId="60261A19" w14:textId="1C132077" w:rsidR="00C610D9" w:rsidRPr="00EA61A8" w:rsidRDefault="00FC3A48" w:rsidP="00C610D9">
            <w:pPr>
              <w:pStyle w:val="ListParagraph"/>
              <w:numPr>
                <w:ilvl w:val="0"/>
                <w:numId w:val="34"/>
              </w:numPr>
              <w:rPr>
                <w:sz w:val="20"/>
                <w:szCs w:val="20"/>
              </w:rPr>
            </w:pPr>
            <w:r>
              <w:rPr>
                <w:sz w:val="20"/>
                <w:szCs w:val="20"/>
              </w:rPr>
              <w:t>L’avis</w:t>
            </w:r>
            <w:r w:rsidR="00EA61A8" w:rsidRPr="00EA61A8">
              <w:rPr>
                <w:sz w:val="20"/>
                <w:szCs w:val="20"/>
              </w:rPr>
              <w:t xml:space="preserve"> des bureaux hors Siège de l’UNESCO</w:t>
            </w:r>
          </w:p>
        </w:tc>
        <w:tc>
          <w:tcPr>
            <w:tcW w:w="2642" w:type="dxa"/>
          </w:tcPr>
          <w:p w14:paraId="30C4224D" w14:textId="77777777" w:rsidR="00C610D9" w:rsidRPr="003F77CF" w:rsidRDefault="00C610D9" w:rsidP="006339B9">
            <w:pPr>
              <w:jc w:val="center"/>
              <w:rPr>
                <w:sz w:val="20"/>
                <w:szCs w:val="20"/>
              </w:rPr>
            </w:pPr>
            <w:r w:rsidRPr="003F77CF">
              <w:rPr>
                <w:sz w:val="20"/>
                <w:szCs w:val="20"/>
              </w:rPr>
              <w:t>5 points</w:t>
            </w:r>
          </w:p>
        </w:tc>
      </w:tr>
      <w:tr w:rsidR="00C610D9" w14:paraId="5C3CD67D" w14:textId="77777777" w:rsidTr="00C610D9">
        <w:tc>
          <w:tcPr>
            <w:tcW w:w="2405" w:type="dxa"/>
          </w:tcPr>
          <w:p w14:paraId="03B66A10" w14:textId="75927D10" w:rsidR="00C610D9" w:rsidRPr="003F77CF" w:rsidRDefault="00F238F6" w:rsidP="006339B9">
            <w:pPr>
              <w:jc w:val="center"/>
              <w:rPr>
                <w:sz w:val="20"/>
                <w:szCs w:val="20"/>
              </w:rPr>
            </w:pPr>
            <w:r>
              <w:rPr>
                <w:sz w:val="20"/>
                <w:szCs w:val="20"/>
              </w:rPr>
              <w:t>Proposition financière</w:t>
            </w:r>
          </w:p>
        </w:tc>
        <w:tc>
          <w:tcPr>
            <w:tcW w:w="3969" w:type="dxa"/>
          </w:tcPr>
          <w:p w14:paraId="50D086F5" w14:textId="77777777" w:rsidR="003A6B29" w:rsidRDefault="003A6B29" w:rsidP="00CF7D62">
            <w:pPr>
              <w:pStyle w:val="ListParagraph"/>
              <w:numPr>
                <w:ilvl w:val="0"/>
                <w:numId w:val="35"/>
              </w:numPr>
              <w:jc w:val="both"/>
              <w:rPr>
                <w:sz w:val="20"/>
                <w:szCs w:val="20"/>
              </w:rPr>
            </w:pPr>
            <w:r w:rsidRPr="003A6B29">
              <w:rPr>
                <w:sz w:val="20"/>
                <w:szCs w:val="20"/>
              </w:rPr>
              <w:t>Ventilation détaillée des coûts</w:t>
            </w:r>
          </w:p>
          <w:p w14:paraId="4DBD2C01" w14:textId="77777777" w:rsidR="003A6B29" w:rsidRPr="003A6B29" w:rsidRDefault="003A6B29" w:rsidP="00CF7D62">
            <w:pPr>
              <w:pStyle w:val="ListParagraph"/>
              <w:numPr>
                <w:ilvl w:val="0"/>
                <w:numId w:val="35"/>
              </w:numPr>
              <w:rPr>
                <w:sz w:val="20"/>
                <w:szCs w:val="20"/>
                <w:lang w:val="en-US"/>
              </w:rPr>
            </w:pPr>
            <w:r w:rsidRPr="003A6B29">
              <w:rPr>
                <w:sz w:val="20"/>
                <w:szCs w:val="20"/>
              </w:rPr>
              <w:t>Coûts éligibles uniquement</w:t>
            </w:r>
          </w:p>
          <w:p w14:paraId="737E66DB" w14:textId="77777777" w:rsidR="00D21798" w:rsidRDefault="00D21798" w:rsidP="00CF7D62">
            <w:pPr>
              <w:pStyle w:val="ListParagraph"/>
              <w:numPr>
                <w:ilvl w:val="0"/>
                <w:numId w:val="35"/>
              </w:numPr>
              <w:rPr>
                <w:sz w:val="20"/>
                <w:szCs w:val="20"/>
              </w:rPr>
            </w:pPr>
            <w:r w:rsidRPr="00D21798">
              <w:rPr>
                <w:sz w:val="20"/>
                <w:szCs w:val="20"/>
              </w:rPr>
              <w:t>Justification des besoins en ressources et du rapport qualité-prix</w:t>
            </w:r>
          </w:p>
          <w:p w14:paraId="05DB28EB" w14:textId="77777777" w:rsidR="00CF7D62" w:rsidRPr="00215196" w:rsidRDefault="00CF7D62" w:rsidP="00CF7D62">
            <w:pPr>
              <w:pStyle w:val="ListParagraph"/>
              <w:numPr>
                <w:ilvl w:val="0"/>
                <w:numId w:val="35"/>
              </w:numPr>
              <w:rPr>
                <w:sz w:val="20"/>
                <w:szCs w:val="20"/>
              </w:rPr>
            </w:pPr>
            <w:r w:rsidRPr="00215196">
              <w:rPr>
                <w:sz w:val="20"/>
                <w:szCs w:val="20"/>
              </w:rPr>
              <w:t>Raisonnabilité des coûts par rapport aux normes locales (faisabilité financière)</w:t>
            </w:r>
          </w:p>
          <w:p w14:paraId="790A59AF" w14:textId="379B933F" w:rsidR="00312F66" w:rsidRPr="00881F0B" w:rsidRDefault="00881F0B" w:rsidP="00CF7D62">
            <w:pPr>
              <w:pStyle w:val="ListParagraph"/>
              <w:numPr>
                <w:ilvl w:val="0"/>
                <w:numId w:val="35"/>
              </w:numPr>
              <w:rPr>
                <w:sz w:val="20"/>
                <w:szCs w:val="20"/>
              </w:rPr>
            </w:pPr>
            <w:r w:rsidRPr="00881F0B">
              <w:rPr>
                <w:sz w:val="20"/>
                <w:szCs w:val="20"/>
              </w:rPr>
              <w:t>‘</w:t>
            </w:r>
            <w:r w:rsidRPr="00215196">
              <w:rPr>
                <w:sz w:val="20"/>
                <w:szCs w:val="20"/>
              </w:rPr>
              <w:t>Valeur ajoutée’ du partenaire</w:t>
            </w:r>
            <w:r>
              <w:rPr>
                <w:sz w:val="20"/>
                <w:szCs w:val="20"/>
              </w:rPr>
              <w:t xml:space="preserve"> (contribution du partenaire)</w:t>
            </w:r>
          </w:p>
        </w:tc>
        <w:tc>
          <w:tcPr>
            <w:tcW w:w="2642" w:type="dxa"/>
          </w:tcPr>
          <w:p w14:paraId="1D1F7E4B" w14:textId="77777777" w:rsidR="00C610D9" w:rsidRPr="003F77CF" w:rsidRDefault="00C610D9" w:rsidP="006339B9">
            <w:pPr>
              <w:jc w:val="center"/>
              <w:rPr>
                <w:sz w:val="20"/>
                <w:szCs w:val="20"/>
              </w:rPr>
            </w:pPr>
            <w:r w:rsidRPr="003F77CF">
              <w:rPr>
                <w:sz w:val="20"/>
                <w:szCs w:val="20"/>
              </w:rPr>
              <w:t>5 points</w:t>
            </w:r>
          </w:p>
        </w:tc>
      </w:tr>
      <w:tr w:rsidR="00C610D9" w14:paraId="0EDD89BB" w14:textId="77777777" w:rsidTr="00C610D9">
        <w:tc>
          <w:tcPr>
            <w:tcW w:w="2405" w:type="dxa"/>
          </w:tcPr>
          <w:p w14:paraId="24FD720C" w14:textId="386ED71E" w:rsidR="00C610D9" w:rsidRPr="003F77CF" w:rsidRDefault="009917BC" w:rsidP="006339B9">
            <w:pPr>
              <w:jc w:val="center"/>
              <w:rPr>
                <w:sz w:val="20"/>
                <w:szCs w:val="20"/>
              </w:rPr>
            </w:pPr>
            <w:r>
              <w:rPr>
                <w:sz w:val="20"/>
                <w:szCs w:val="20"/>
              </w:rPr>
              <w:t>Capacité du partenaire</w:t>
            </w:r>
          </w:p>
        </w:tc>
        <w:tc>
          <w:tcPr>
            <w:tcW w:w="3969" w:type="dxa"/>
          </w:tcPr>
          <w:p w14:paraId="08CFBCCB" w14:textId="77777777" w:rsidR="008627AE" w:rsidRPr="008627AE" w:rsidRDefault="008627AE" w:rsidP="005A34B0">
            <w:pPr>
              <w:pStyle w:val="ListParagraph"/>
              <w:numPr>
                <w:ilvl w:val="0"/>
                <w:numId w:val="36"/>
              </w:numPr>
              <w:rPr>
                <w:sz w:val="20"/>
                <w:szCs w:val="20"/>
              </w:rPr>
            </w:pPr>
            <w:r w:rsidRPr="008627AE">
              <w:rPr>
                <w:sz w:val="20"/>
                <w:szCs w:val="20"/>
              </w:rPr>
              <w:t>Capacité à contribuer à la réalisation des objectifs de l’UNESCO</w:t>
            </w:r>
          </w:p>
          <w:p w14:paraId="62A3B0C4" w14:textId="77777777" w:rsidR="008627AE" w:rsidRDefault="008627AE" w:rsidP="00C610D9">
            <w:pPr>
              <w:pStyle w:val="ListParagraph"/>
              <w:numPr>
                <w:ilvl w:val="0"/>
                <w:numId w:val="36"/>
              </w:numPr>
              <w:jc w:val="both"/>
              <w:rPr>
                <w:sz w:val="20"/>
                <w:szCs w:val="20"/>
              </w:rPr>
            </w:pPr>
            <w:r w:rsidRPr="008627AE">
              <w:rPr>
                <w:sz w:val="20"/>
                <w:szCs w:val="20"/>
              </w:rPr>
              <w:lastRenderedPageBreak/>
              <w:t>Engagement en faveur des droits de l’homme, de la liberté d’expression et de l’égalité des genres</w:t>
            </w:r>
          </w:p>
          <w:p w14:paraId="7B443ACE" w14:textId="77777777" w:rsidR="008627AE" w:rsidRDefault="008627AE" w:rsidP="005A34B0">
            <w:pPr>
              <w:pStyle w:val="ListParagraph"/>
              <w:numPr>
                <w:ilvl w:val="0"/>
                <w:numId w:val="36"/>
              </w:numPr>
              <w:rPr>
                <w:sz w:val="20"/>
                <w:szCs w:val="20"/>
              </w:rPr>
            </w:pPr>
            <w:r w:rsidRPr="008627AE">
              <w:rPr>
                <w:sz w:val="20"/>
                <w:szCs w:val="20"/>
              </w:rPr>
              <w:t>Situation financière saine</w:t>
            </w:r>
          </w:p>
          <w:p w14:paraId="7E03E348" w14:textId="77777777" w:rsidR="008627AE" w:rsidRPr="008627AE" w:rsidRDefault="008627AE" w:rsidP="00012069">
            <w:pPr>
              <w:pStyle w:val="ListParagraph"/>
              <w:numPr>
                <w:ilvl w:val="0"/>
                <w:numId w:val="36"/>
              </w:numPr>
              <w:rPr>
                <w:sz w:val="20"/>
                <w:szCs w:val="20"/>
                <w:lang w:val="en-US"/>
              </w:rPr>
            </w:pPr>
            <w:r w:rsidRPr="008627AE">
              <w:rPr>
                <w:sz w:val="20"/>
                <w:szCs w:val="20"/>
              </w:rPr>
              <w:t>Procédures de contrôle interne appropriées</w:t>
            </w:r>
          </w:p>
          <w:p w14:paraId="4C1B65B2" w14:textId="77777777" w:rsidR="00B4794E" w:rsidRDefault="00B4794E" w:rsidP="00012069">
            <w:pPr>
              <w:pStyle w:val="ListParagraph"/>
              <w:numPr>
                <w:ilvl w:val="0"/>
                <w:numId w:val="36"/>
              </w:numPr>
              <w:rPr>
                <w:sz w:val="20"/>
                <w:szCs w:val="20"/>
              </w:rPr>
            </w:pPr>
            <w:r w:rsidRPr="00B4794E">
              <w:rPr>
                <w:sz w:val="20"/>
                <w:szCs w:val="20"/>
              </w:rPr>
              <w:t>Capacité à gérer le volume des fonds et à mettre en œuvre les activités de manière efficace et efficiente</w:t>
            </w:r>
          </w:p>
          <w:p w14:paraId="5C063725" w14:textId="4A2DCD5B" w:rsidR="00B4794E" w:rsidRDefault="00F7557A" w:rsidP="00012069">
            <w:pPr>
              <w:pStyle w:val="ListParagraph"/>
              <w:numPr>
                <w:ilvl w:val="0"/>
                <w:numId w:val="36"/>
              </w:numPr>
              <w:rPr>
                <w:sz w:val="20"/>
                <w:szCs w:val="20"/>
              </w:rPr>
            </w:pPr>
            <w:r w:rsidRPr="00F7557A">
              <w:rPr>
                <w:sz w:val="20"/>
                <w:szCs w:val="20"/>
              </w:rPr>
              <w:t>Capacité à participer aux activités de planification, de suivi et d'assurance</w:t>
            </w:r>
          </w:p>
          <w:p w14:paraId="0EB62402" w14:textId="39F8DBCB" w:rsidR="00F7557A" w:rsidRDefault="00F7557A" w:rsidP="00012069">
            <w:pPr>
              <w:pStyle w:val="ListParagraph"/>
              <w:numPr>
                <w:ilvl w:val="0"/>
                <w:numId w:val="36"/>
              </w:numPr>
              <w:rPr>
                <w:sz w:val="20"/>
                <w:szCs w:val="20"/>
              </w:rPr>
            </w:pPr>
            <w:r w:rsidRPr="00F7557A">
              <w:rPr>
                <w:sz w:val="20"/>
                <w:szCs w:val="20"/>
              </w:rPr>
              <w:t>Capacité à opérer dans les pays/zones cibles</w:t>
            </w:r>
          </w:p>
          <w:p w14:paraId="567DD648" w14:textId="6299B76E" w:rsidR="004C0F79" w:rsidRPr="004C0F79" w:rsidRDefault="004C0F79" w:rsidP="004C0F79">
            <w:pPr>
              <w:pStyle w:val="ListParagraph"/>
              <w:numPr>
                <w:ilvl w:val="0"/>
                <w:numId w:val="36"/>
              </w:numPr>
              <w:rPr>
                <w:sz w:val="20"/>
                <w:szCs w:val="20"/>
              </w:rPr>
            </w:pPr>
            <w:r w:rsidRPr="00215196">
              <w:rPr>
                <w:sz w:val="20"/>
                <w:szCs w:val="20"/>
              </w:rPr>
              <w:t>Compétences managériale</w:t>
            </w:r>
            <w:r>
              <w:rPr>
                <w:sz w:val="20"/>
                <w:szCs w:val="20"/>
              </w:rPr>
              <w:t xml:space="preserve">s et </w:t>
            </w:r>
            <w:r w:rsidRPr="004C0F79">
              <w:rPr>
                <w:sz w:val="20"/>
                <w:szCs w:val="20"/>
              </w:rPr>
              <w:t>en matière de tenue de dossiers</w:t>
            </w:r>
          </w:p>
          <w:p w14:paraId="22A3CCDA" w14:textId="4647A0CD" w:rsidR="00C610D9" w:rsidRPr="003F77CF" w:rsidRDefault="00964C51" w:rsidP="00C610D9">
            <w:pPr>
              <w:pStyle w:val="ListParagraph"/>
              <w:numPr>
                <w:ilvl w:val="0"/>
                <w:numId w:val="36"/>
              </w:numPr>
              <w:rPr>
                <w:sz w:val="20"/>
                <w:szCs w:val="20"/>
              </w:rPr>
            </w:pPr>
            <w:r>
              <w:rPr>
                <w:sz w:val="20"/>
                <w:szCs w:val="20"/>
              </w:rPr>
              <w:t>Personnel</w:t>
            </w:r>
          </w:p>
        </w:tc>
        <w:tc>
          <w:tcPr>
            <w:tcW w:w="2642" w:type="dxa"/>
          </w:tcPr>
          <w:p w14:paraId="00F695CD" w14:textId="77777777" w:rsidR="00C610D9" w:rsidRPr="003F77CF" w:rsidRDefault="00C610D9" w:rsidP="006339B9">
            <w:pPr>
              <w:spacing w:line="480" w:lineRule="auto"/>
              <w:jc w:val="center"/>
              <w:rPr>
                <w:sz w:val="20"/>
                <w:szCs w:val="20"/>
              </w:rPr>
            </w:pPr>
            <w:r w:rsidRPr="003F77CF">
              <w:rPr>
                <w:sz w:val="20"/>
                <w:szCs w:val="20"/>
              </w:rPr>
              <w:lastRenderedPageBreak/>
              <w:t>5 points</w:t>
            </w:r>
          </w:p>
        </w:tc>
      </w:tr>
      <w:tr w:rsidR="00C610D9" w14:paraId="3ACF97BD" w14:textId="77777777" w:rsidTr="00C610D9">
        <w:tc>
          <w:tcPr>
            <w:tcW w:w="6374" w:type="dxa"/>
            <w:gridSpan w:val="2"/>
          </w:tcPr>
          <w:p w14:paraId="63F97D82" w14:textId="137CA701" w:rsidR="00C610D9" w:rsidRPr="003F77CF" w:rsidRDefault="00C610D9" w:rsidP="006339B9">
            <w:pPr>
              <w:jc w:val="right"/>
              <w:rPr>
                <w:sz w:val="20"/>
                <w:szCs w:val="20"/>
              </w:rPr>
            </w:pPr>
            <w:r w:rsidRPr="003F77CF">
              <w:rPr>
                <w:sz w:val="20"/>
                <w:szCs w:val="20"/>
              </w:rPr>
              <w:t>Score</w:t>
            </w:r>
            <w:r w:rsidR="00FD33E6">
              <w:rPr>
                <w:sz w:val="20"/>
                <w:szCs w:val="20"/>
              </w:rPr>
              <w:t xml:space="preserve"> Total (Maximum)</w:t>
            </w:r>
          </w:p>
        </w:tc>
        <w:tc>
          <w:tcPr>
            <w:tcW w:w="2642" w:type="dxa"/>
          </w:tcPr>
          <w:p w14:paraId="7550E0DE" w14:textId="77777777" w:rsidR="00C610D9" w:rsidRPr="003F77CF" w:rsidRDefault="00C610D9" w:rsidP="006339B9">
            <w:pPr>
              <w:jc w:val="center"/>
              <w:rPr>
                <w:b/>
                <w:bCs/>
                <w:sz w:val="20"/>
                <w:szCs w:val="20"/>
              </w:rPr>
            </w:pPr>
            <w:r w:rsidRPr="003F77CF">
              <w:rPr>
                <w:b/>
                <w:bCs/>
                <w:sz w:val="20"/>
                <w:szCs w:val="20"/>
              </w:rPr>
              <w:t>15 points</w:t>
            </w:r>
          </w:p>
        </w:tc>
      </w:tr>
    </w:tbl>
    <w:p w14:paraId="01D743FE" w14:textId="77777777" w:rsidR="00F61A3B" w:rsidRPr="00C610D9" w:rsidRDefault="00F61A3B" w:rsidP="00C610D9">
      <w:pPr>
        <w:spacing w:after="0" w:line="259" w:lineRule="auto"/>
        <w:jc w:val="both"/>
        <w:rPr>
          <w:sz w:val="22"/>
          <w:szCs w:val="22"/>
          <w:lang w:val="en-US"/>
        </w:rPr>
      </w:pPr>
    </w:p>
    <w:p w14:paraId="78CEBD6B" w14:textId="3CFEF6DD" w:rsidR="00F61A3B" w:rsidRPr="00F61A3B" w:rsidRDefault="005B6E18" w:rsidP="00F61A3B">
      <w:pPr>
        <w:jc w:val="both"/>
        <w:rPr>
          <w:b/>
          <w:bCs/>
          <w:i/>
          <w:iCs/>
          <w:sz w:val="22"/>
          <w:szCs w:val="22"/>
          <w:lang w:val="en-US"/>
        </w:rPr>
      </w:pPr>
      <w:proofErr w:type="spellStart"/>
      <w:r w:rsidRPr="005B6E18">
        <w:rPr>
          <w:b/>
          <w:bCs/>
          <w:i/>
          <w:iCs/>
          <w:sz w:val="22"/>
          <w:szCs w:val="22"/>
          <w:lang w:val="en-US"/>
        </w:rPr>
        <w:t>Présélection</w:t>
      </w:r>
      <w:proofErr w:type="spellEnd"/>
      <w:r w:rsidRPr="005B6E18">
        <w:rPr>
          <w:b/>
          <w:bCs/>
          <w:i/>
          <w:iCs/>
          <w:sz w:val="22"/>
          <w:szCs w:val="22"/>
          <w:lang w:val="en-US"/>
        </w:rPr>
        <w:t xml:space="preserve"> des Propositions</w:t>
      </w:r>
    </w:p>
    <w:p w14:paraId="2E45ADE1" w14:textId="346B7DEE" w:rsidR="00F61A3B" w:rsidRPr="00DE70AE" w:rsidRDefault="00F61835" w:rsidP="00F61835">
      <w:pPr>
        <w:jc w:val="both"/>
        <w:rPr>
          <w:sz w:val="22"/>
          <w:szCs w:val="22"/>
        </w:rPr>
      </w:pPr>
      <w:r w:rsidRPr="00F61835">
        <w:rPr>
          <w:sz w:val="22"/>
          <w:szCs w:val="22"/>
        </w:rPr>
        <w:t>Le comité de sélection établira une liste classée des propositions de partenariat et présélectionnera pour un financement celles ayant obtenu la note totale la plus élevée. L'UNESCO pourra placer les propositions de partenariat non sélectionnées les mieux classées sur une liste d'attente de propositions susceptibles de se voir offrir un financement si un projet mieux classé ne se réalise pas ou si des fonds supplémentaires sont disponibles. L'UNESCO informera les candidats dont la proposition sera placée sur la liste d'attente et précisera une date pour la confirmation de la subvention.</w:t>
      </w:r>
    </w:p>
    <w:p w14:paraId="42519802" w14:textId="4F41605D" w:rsidR="00CB6032" w:rsidRPr="00CB6032" w:rsidRDefault="00CB6032" w:rsidP="00A560FA">
      <w:pPr>
        <w:jc w:val="both"/>
        <w:rPr>
          <w:sz w:val="22"/>
          <w:szCs w:val="22"/>
        </w:rPr>
      </w:pPr>
      <w:r w:rsidRPr="00CB6032">
        <w:rPr>
          <w:sz w:val="22"/>
          <w:szCs w:val="22"/>
        </w:rPr>
        <w:t>L'UNESCO informera également les candidats du rejet de leur proposition, bien qu'il ne soit pas possible de fournir un retour d'information individuel à chacun des candidats partenaires dont la proposition ne sera pas sélectionnée pour un financement.</w:t>
      </w:r>
    </w:p>
    <w:p w14:paraId="644BCF70" w14:textId="77777777" w:rsidR="00FE010E" w:rsidRDefault="00FE010E" w:rsidP="00A560FA">
      <w:pPr>
        <w:jc w:val="both"/>
        <w:rPr>
          <w:b/>
          <w:bCs/>
          <w:sz w:val="22"/>
          <w:szCs w:val="22"/>
        </w:rPr>
      </w:pPr>
      <w:r w:rsidRPr="00FE010E">
        <w:rPr>
          <w:b/>
          <w:bCs/>
          <w:sz w:val="22"/>
          <w:szCs w:val="22"/>
        </w:rPr>
        <w:t>Les résultats du processus de sélection seront communiqués à tous les candidats par courrier électronique.</w:t>
      </w:r>
    </w:p>
    <w:p w14:paraId="03F4ADB9" w14:textId="78BF772C" w:rsidR="009D6333" w:rsidRPr="00077845" w:rsidRDefault="00484F28" w:rsidP="00A560FA">
      <w:pPr>
        <w:jc w:val="both"/>
        <w:rPr>
          <w:b/>
          <w:bCs/>
          <w:i/>
          <w:iCs/>
          <w:sz w:val="22"/>
          <w:szCs w:val="22"/>
        </w:rPr>
      </w:pPr>
      <w:r w:rsidRPr="00077845">
        <w:rPr>
          <w:b/>
          <w:bCs/>
          <w:i/>
          <w:iCs/>
          <w:sz w:val="22"/>
          <w:szCs w:val="22"/>
        </w:rPr>
        <w:t>Calendrier indicatif du présent Appel à partenariats :</w:t>
      </w:r>
    </w:p>
    <w:tbl>
      <w:tblPr>
        <w:tblStyle w:val="GridTable5Dark-Accent3"/>
        <w:tblW w:w="9067" w:type="dxa"/>
        <w:jc w:val="center"/>
        <w:tblLook w:val="04A0" w:firstRow="1" w:lastRow="0" w:firstColumn="1" w:lastColumn="0" w:noHBand="0" w:noVBand="1"/>
      </w:tblPr>
      <w:tblGrid>
        <w:gridCol w:w="421"/>
        <w:gridCol w:w="4677"/>
        <w:gridCol w:w="3969"/>
      </w:tblGrid>
      <w:tr w:rsidR="00EF4DBE" w14:paraId="199583AB" w14:textId="77777777" w:rsidTr="00EF4DB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4A8EB28A" w14:textId="77777777" w:rsidR="00EF4DBE" w:rsidRPr="00077845" w:rsidRDefault="00EF4DBE" w:rsidP="0070033C">
            <w:pPr>
              <w:jc w:val="both"/>
              <w:rPr>
                <w:lang w:val="fr-FR"/>
              </w:rPr>
            </w:pPr>
          </w:p>
        </w:tc>
        <w:tc>
          <w:tcPr>
            <w:tcW w:w="4677" w:type="dxa"/>
            <w:shd w:val="clear" w:color="auto" w:fill="A6A6A6" w:themeFill="background1" w:themeFillShade="A6"/>
          </w:tcPr>
          <w:p w14:paraId="5F642203" w14:textId="77C428E7" w:rsidR="00EF4DBE" w:rsidRDefault="00077845" w:rsidP="0070033C">
            <w:pPr>
              <w:jc w:val="center"/>
              <w:cnfStyle w:val="100000000000" w:firstRow="1" w:lastRow="0" w:firstColumn="0" w:lastColumn="0" w:oddVBand="0" w:evenVBand="0" w:oddHBand="0" w:evenHBand="0" w:firstRowFirstColumn="0" w:firstRowLastColumn="0" w:lastRowFirstColumn="0" w:lastRowLastColumn="0"/>
            </w:pPr>
            <w:r w:rsidRPr="00077845">
              <w:t>ÉTAPES</w:t>
            </w:r>
          </w:p>
        </w:tc>
        <w:tc>
          <w:tcPr>
            <w:tcW w:w="3969" w:type="dxa"/>
            <w:shd w:val="clear" w:color="auto" w:fill="A6A6A6" w:themeFill="background1" w:themeFillShade="A6"/>
          </w:tcPr>
          <w:p w14:paraId="1F79AAAD" w14:textId="5B53658E" w:rsidR="00EF4DBE" w:rsidRDefault="004B0FC1" w:rsidP="0070033C">
            <w:pPr>
              <w:jc w:val="center"/>
              <w:cnfStyle w:val="100000000000" w:firstRow="1" w:lastRow="0" w:firstColumn="0" w:lastColumn="0" w:oddVBand="0" w:evenVBand="0" w:oddHBand="0" w:evenHBand="0" w:firstRowFirstColumn="0" w:firstRowLastColumn="0" w:lastRowFirstColumn="0" w:lastRowLastColumn="0"/>
            </w:pPr>
            <w:r w:rsidRPr="004B0FC1">
              <w:t>DÉLAI INDICATIF</w:t>
            </w:r>
          </w:p>
        </w:tc>
      </w:tr>
      <w:tr w:rsidR="003D730B" w14:paraId="5F4F58A9" w14:textId="77777777" w:rsidTr="00EF4D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17E90247" w14:textId="77777777" w:rsidR="003D730B" w:rsidRDefault="003D730B" w:rsidP="003D730B">
            <w:pPr>
              <w:jc w:val="both"/>
            </w:pPr>
            <w:r>
              <w:t>1</w:t>
            </w:r>
          </w:p>
        </w:tc>
        <w:tc>
          <w:tcPr>
            <w:tcW w:w="4677" w:type="dxa"/>
            <w:shd w:val="clear" w:color="auto" w:fill="D1D1D1" w:themeFill="background2" w:themeFillShade="E6"/>
          </w:tcPr>
          <w:p w14:paraId="61091863" w14:textId="24137FED" w:rsidR="003D730B" w:rsidRPr="003D730B" w:rsidRDefault="003D730B" w:rsidP="003D730B">
            <w:pPr>
              <w:jc w:val="both"/>
              <w:cnfStyle w:val="000000100000" w:firstRow="0" w:lastRow="0" w:firstColumn="0" w:lastColumn="0" w:oddVBand="0" w:evenVBand="0" w:oddHBand="1" w:evenHBand="0" w:firstRowFirstColumn="0" w:firstRowLastColumn="0" w:lastRowFirstColumn="0" w:lastRowLastColumn="0"/>
              <w:rPr>
                <w:rFonts w:ascii="Aptos" w:hAnsi="Aptos"/>
                <w:lang w:val="fr-FR"/>
              </w:rPr>
            </w:pPr>
            <w:r w:rsidRPr="003D730B">
              <w:rPr>
                <w:rFonts w:ascii="Aptos" w:hAnsi="Aptos" w:cs="Arial"/>
                <w:lang w:val="fr-FR"/>
              </w:rPr>
              <w:t>Ouverture de l’Appel à partenariats</w:t>
            </w:r>
          </w:p>
        </w:tc>
        <w:tc>
          <w:tcPr>
            <w:tcW w:w="3969" w:type="dxa"/>
            <w:shd w:val="clear" w:color="auto" w:fill="D1D1D1" w:themeFill="background2" w:themeFillShade="E6"/>
          </w:tcPr>
          <w:p w14:paraId="34F96974" w14:textId="38CED9BB" w:rsidR="003D730B" w:rsidRPr="008C3012" w:rsidRDefault="003E7810" w:rsidP="003D730B">
            <w:pPr>
              <w:jc w:val="center"/>
              <w:cnfStyle w:val="000000100000" w:firstRow="0" w:lastRow="0" w:firstColumn="0" w:lastColumn="0" w:oddVBand="0" w:evenVBand="0" w:oddHBand="1" w:evenHBand="0" w:firstRowFirstColumn="0" w:firstRowLastColumn="0" w:lastRowFirstColumn="0" w:lastRowLastColumn="0"/>
            </w:pPr>
            <w:r>
              <w:t xml:space="preserve">2 </w:t>
            </w:r>
            <w:proofErr w:type="spellStart"/>
            <w:r>
              <w:t>Septembre</w:t>
            </w:r>
            <w:proofErr w:type="spellEnd"/>
            <w:r>
              <w:t xml:space="preserve"> 2024</w:t>
            </w:r>
          </w:p>
        </w:tc>
      </w:tr>
      <w:tr w:rsidR="003D730B" w14:paraId="254A2DAA" w14:textId="77777777" w:rsidTr="00EF4DBE">
        <w:trPr>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02093D37" w14:textId="77777777" w:rsidR="003D730B" w:rsidRDefault="003D730B" w:rsidP="003D730B">
            <w:pPr>
              <w:jc w:val="both"/>
            </w:pPr>
            <w:r>
              <w:t>2</w:t>
            </w:r>
          </w:p>
        </w:tc>
        <w:tc>
          <w:tcPr>
            <w:tcW w:w="4677" w:type="dxa"/>
            <w:shd w:val="clear" w:color="auto" w:fill="F2F2F2" w:themeFill="background1" w:themeFillShade="F2"/>
          </w:tcPr>
          <w:p w14:paraId="377E1716" w14:textId="1CC8AC3E" w:rsidR="003D730B" w:rsidRPr="003D730B" w:rsidRDefault="003D730B" w:rsidP="003D730B">
            <w:pPr>
              <w:jc w:val="both"/>
              <w:cnfStyle w:val="000000000000" w:firstRow="0" w:lastRow="0" w:firstColumn="0" w:lastColumn="0" w:oddVBand="0" w:evenVBand="0" w:oddHBand="0" w:evenHBand="0" w:firstRowFirstColumn="0" w:firstRowLastColumn="0" w:lastRowFirstColumn="0" w:lastRowLastColumn="0"/>
              <w:rPr>
                <w:rFonts w:ascii="Aptos" w:hAnsi="Aptos"/>
                <w:lang w:val="fr-FR"/>
              </w:rPr>
            </w:pPr>
            <w:r w:rsidRPr="003D730B">
              <w:rPr>
                <w:rFonts w:ascii="Aptos" w:eastAsia="SimSun" w:hAnsi="Aptos" w:cs="Arial"/>
                <w:color w:val="000000"/>
                <w:lang w:val="fr-FR" w:eastAsia="fr-FR"/>
              </w:rPr>
              <w:t>Délai de soumission des propositions</w:t>
            </w:r>
          </w:p>
        </w:tc>
        <w:tc>
          <w:tcPr>
            <w:tcW w:w="3969" w:type="dxa"/>
            <w:shd w:val="clear" w:color="auto" w:fill="F2F2F2" w:themeFill="background1" w:themeFillShade="F2"/>
          </w:tcPr>
          <w:p w14:paraId="7B4871FF" w14:textId="18B56A40" w:rsidR="003D730B" w:rsidRPr="008C3012" w:rsidRDefault="006F191A" w:rsidP="003D730B">
            <w:pPr>
              <w:jc w:val="center"/>
              <w:cnfStyle w:val="000000000000" w:firstRow="0" w:lastRow="0" w:firstColumn="0" w:lastColumn="0" w:oddVBand="0" w:evenVBand="0" w:oddHBand="0" w:evenHBand="0" w:firstRowFirstColumn="0" w:firstRowLastColumn="0" w:lastRowFirstColumn="0" w:lastRowLastColumn="0"/>
            </w:pPr>
            <w:r>
              <w:rPr>
                <w:rFonts w:cs="Arial"/>
              </w:rPr>
              <w:t>8</w:t>
            </w:r>
            <w:r w:rsidRPr="008C3012">
              <w:rPr>
                <w:rFonts w:cs="Arial"/>
              </w:rPr>
              <w:t xml:space="preserve"> </w:t>
            </w:r>
            <w:r w:rsidR="003E7810">
              <w:rPr>
                <w:rFonts w:cs="Arial"/>
              </w:rPr>
              <w:t>O</w:t>
            </w:r>
            <w:r w:rsidR="003D730B" w:rsidRPr="008C3012">
              <w:rPr>
                <w:rFonts w:cs="Arial"/>
              </w:rPr>
              <w:t>ctobre 2024</w:t>
            </w:r>
          </w:p>
        </w:tc>
      </w:tr>
      <w:tr w:rsidR="003D730B" w14:paraId="5AF47D34" w14:textId="77777777" w:rsidTr="00EF4D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29C68722" w14:textId="77777777" w:rsidR="003D730B" w:rsidRDefault="003D730B" w:rsidP="003D730B">
            <w:pPr>
              <w:jc w:val="both"/>
            </w:pPr>
            <w:r>
              <w:t>3</w:t>
            </w:r>
          </w:p>
        </w:tc>
        <w:tc>
          <w:tcPr>
            <w:tcW w:w="4677" w:type="dxa"/>
            <w:shd w:val="clear" w:color="auto" w:fill="D1D1D1" w:themeFill="background2" w:themeFillShade="E6"/>
          </w:tcPr>
          <w:p w14:paraId="403AFBEB" w14:textId="4A0706A5" w:rsidR="003D730B" w:rsidRPr="00E00368" w:rsidRDefault="003D730B" w:rsidP="003D730B">
            <w:pPr>
              <w:jc w:val="both"/>
              <w:cnfStyle w:val="000000100000" w:firstRow="0" w:lastRow="0" w:firstColumn="0" w:lastColumn="0" w:oddVBand="0" w:evenVBand="0" w:oddHBand="1" w:evenHBand="0" w:firstRowFirstColumn="0" w:firstRowLastColumn="0" w:lastRowFirstColumn="0" w:lastRowLastColumn="0"/>
              <w:rPr>
                <w:rFonts w:ascii="Aptos" w:hAnsi="Aptos"/>
                <w:lang w:val="fr-FR"/>
              </w:rPr>
            </w:pPr>
            <w:r w:rsidRPr="003D730B">
              <w:rPr>
                <w:rFonts w:ascii="Aptos" w:eastAsia="SimSun" w:hAnsi="Aptos" w:cs="Arial"/>
                <w:color w:val="000000"/>
                <w:lang w:val="fr-FR" w:eastAsia="fr-FR"/>
              </w:rPr>
              <w:t>Processus d’évaluation et de sélection</w:t>
            </w:r>
          </w:p>
        </w:tc>
        <w:tc>
          <w:tcPr>
            <w:tcW w:w="3969" w:type="dxa"/>
            <w:shd w:val="clear" w:color="auto" w:fill="D1D1D1" w:themeFill="background2" w:themeFillShade="E6"/>
          </w:tcPr>
          <w:p w14:paraId="31DF34AC" w14:textId="3CA65855" w:rsidR="003D730B" w:rsidRPr="008C3012" w:rsidRDefault="003D730B" w:rsidP="003D730B">
            <w:pPr>
              <w:jc w:val="center"/>
              <w:cnfStyle w:val="000000100000" w:firstRow="0" w:lastRow="0" w:firstColumn="0" w:lastColumn="0" w:oddVBand="0" w:evenVBand="0" w:oddHBand="1" w:evenHBand="0" w:firstRowFirstColumn="0" w:firstRowLastColumn="0" w:lastRowFirstColumn="0" w:lastRowLastColumn="0"/>
            </w:pPr>
            <w:r w:rsidRPr="008C3012">
              <w:rPr>
                <w:rFonts w:cs="Arial"/>
              </w:rPr>
              <w:t xml:space="preserve">Octobre – </w:t>
            </w:r>
            <w:proofErr w:type="spellStart"/>
            <w:r w:rsidRPr="008C3012">
              <w:rPr>
                <w:rFonts w:cs="Arial"/>
              </w:rPr>
              <w:t>Décembre</w:t>
            </w:r>
            <w:proofErr w:type="spellEnd"/>
            <w:r w:rsidRPr="008C3012">
              <w:rPr>
                <w:rFonts w:cs="Arial"/>
              </w:rPr>
              <w:t xml:space="preserve"> 2024</w:t>
            </w:r>
          </w:p>
        </w:tc>
      </w:tr>
      <w:tr w:rsidR="003D730B" w14:paraId="49678F25" w14:textId="77777777" w:rsidTr="00EF4DBE">
        <w:trPr>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7074221C" w14:textId="77777777" w:rsidR="003D730B" w:rsidRDefault="003D730B" w:rsidP="003D730B">
            <w:pPr>
              <w:jc w:val="both"/>
            </w:pPr>
            <w:r>
              <w:t>4</w:t>
            </w:r>
          </w:p>
        </w:tc>
        <w:tc>
          <w:tcPr>
            <w:tcW w:w="4677" w:type="dxa"/>
            <w:shd w:val="clear" w:color="auto" w:fill="F2F2F2" w:themeFill="background1" w:themeFillShade="F2"/>
          </w:tcPr>
          <w:p w14:paraId="324D6D6E" w14:textId="573868EF" w:rsidR="003D730B" w:rsidRPr="00E00368" w:rsidRDefault="003D730B" w:rsidP="003D730B">
            <w:pPr>
              <w:jc w:val="both"/>
              <w:cnfStyle w:val="000000000000" w:firstRow="0" w:lastRow="0" w:firstColumn="0" w:lastColumn="0" w:oddVBand="0" w:evenVBand="0" w:oddHBand="0" w:evenHBand="0" w:firstRowFirstColumn="0" w:firstRowLastColumn="0" w:lastRowFirstColumn="0" w:lastRowLastColumn="0"/>
              <w:rPr>
                <w:rFonts w:ascii="Aptos" w:hAnsi="Aptos"/>
                <w:lang w:val="fr-FR"/>
              </w:rPr>
            </w:pPr>
            <w:r w:rsidRPr="003D730B">
              <w:rPr>
                <w:rFonts w:ascii="Aptos" w:hAnsi="Aptos" w:cs="Arial"/>
                <w:lang w:val="fr-FR"/>
              </w:rPr>
              <w:t>Notification des résultats aux candidats</w:t>
            </w:r>
          </w:p>
        </w:tc>
        <w:tc>
          <w:tcPr>
            <w:tcW w:w="3969" w:type="dxa"/>
            <w:shd w:val="clear" w:color="auto" w:fill="F2F2F2" w:themeFill="background1" w:themeFillShade="F2"/>
          </w:tcPr>
          <w:p w14:paraId="5F6BE61B" w14:textId="53EC4A4B" w:rsidR="003D730B" w:rsidRPr="008C3012" w:rsidRDefault="003D730B" w:rsidP="003D730B">
            <w:pPr>
              <w:jc w:val="center"/>
              <w:cnfStyle w:val="000000000000" w:firstRow="0" w:lastRow="0" w:firstColumn="0" w:lastColumn="0" w:oddVBand="0" w:evenVBand="0" w:oddHBand="0" w:evenHBand="0" w:firstRowFirstColumn="0" w:firstRowLastColumn="0" w:lastRowFirstColumn="0" w:lastRowLastColumn="0"/>
            </w:pPr>
            <w:proofErr w:type="spellStart"/>
            <w:r w:rsidRPr="008C3012">
              <w:rPr>
                <w:rFonts w:cs="Arial"/>
              </w:rPr>
              <w:t>Décembre</w:t>
            </w:r>
            <w:proofErr w:type="spellEnd"/>
            <w:r w:rsidRPr="008C3012">
              <w:rPr>
                <w:rFonts w:cs="Arial"/>
              </w:rPr>
              <w:t xml:space="preserve"> 2024 – Janvier 2025</w:t>
            </w:r>
          </w:p>
        </w:tc>
      </w:tr>
      <w:tr w:rsidR="003D730B" w14:paraId="05A643B9" w14:textId="77777777" w:rsidTr="00EF4D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24EB6984" w14:textId="77777777" w:rsidR="003D730B" w:rsidRDefault="003D730B" w:rsidP="003D730B">
            <w:pPr>
              <w:jc w:val="both"/>
            </w:pPr>
            <w:r>
              <w:t>5</w:t>
            </w:r>
          </w:p>
        </w:tc>
        <w:tc>
          <w:tcPr>
            <w:tcW w:w="4677" w:type="dxa"/>
            <w:shd w:val="clear" w:color="auto" w:fill="D1D1D1" w:themeFill="background2" w:themeFillShade="E6"/>
          </w:tcPr>
          <w:p w14:paraId="763BB615" w14:textId="7168E427" w:rsidR="003D730B" w:rsidRPr="00E00368" w:rsidRDefault="003D730B" w:rsidP="003D730B">
            <w:pPr>
              <w:jc w:val="both"/>
              <w:cnfStyle w:val="000000100000" w:firstRow="0" w:lastRow="0" w:firstColumn="0" w:lastColumn="0" w:oddVBand="0" w:evenVBand="0" w:oddHBand="1" w:evenHBand="0" w:firstRowFirstColumn="0" w:firstRowLastColumn="0" w:lastRowFirstColumn="0" w:lastRowLastColumn="0"/>
              <w:rPr>
                <w:rFonts w:ascii="Aptos" w:hAnsi="Aptos"/>
                <w:lang w:val="fr-FR"/>
              </w:rPr>
            </w:pPr>
            <w:r w:rsidRPr="003D730B">
              <w:rPr>
                <w:rFonts w:ascii="Aptos" w:hAnsi="Aptos" w:cs="Arial"/>
                <w:lang w:val="fr-FR"/>
              </w:rPr>
              <w:t>Lancement du processus de formalisation du contrat</w:t>
            </w:r>
          </w:p>
        </w:tc>
        <w:tc>
          <w:tcPr>
            <w:tcW w:w="3969" w:type="dxa"/>
            <w:shd w:val="clear" w:color="auto" w:fill="D1D1D1" w:themeFill="background2" w:themeFillShade="E6"/>
          </w:tcPr>
          <w:p w14:paraId="6BC52841" w14:textId="13EC8C76" w:rsidR="003D730B" w:rsidRPr="008C3012" w:rsidRDefault="003D730B" w:rsidP="003D730B">
            <w:pPr>
              <w:jc w:val="center"/>
              <w:cnfStyle w:val="000000100000" w:firstRow="0" w:lastRow="0" w:firstColumn="0" w:lastColumn="0" w:oddVBand="0" w:evenVBand="0" w:oddHBand="1" w:evenHBand="0" w:firstRowFirstColumn="0" w:firstRowLastColumn="0" w:lastRowFirstColumn="0" w:lastRowLastColumn="0"/>
            </w:pPr>
            <w:r w:rsidRPr="008C3012">
              <w:rPr>
                <w:rFonts w:cs="Arial"/>
              </w:rPr>
              <w:t>Janvier – Février 2025</w:t>
            </w:r>
          </w:p>
        </w:tc>
      </w:tr>
    </w:tbl>
    <w:p w14:paraId="60EF55F0" w14:textId="77777777" w:rsidR="00C24C52" w:rsidRPr="00255B56" w:rsidRDefault="00C24C52" w:rsidP="00A560FA">
      <w:pPr>
        <w:jc w:val="both"/>
        <w:rPr>
          <w:b/>
          <w:bCs/>
          <w:i/>
          <w:iCs/>
          <w:sz w:val="22"/>
          <w:szCs w:val="22"/>
          <w:lang w:val="en-US"/>
        </w:rPr>
      </w:pPr>
    </w:p>
    <w:p w14:paraId="6ADB08BC" w14:textId="24B05695" w:rsidR="004047E5" w:rsidRPr="001503ED" w:rsidRDefault="004047E5" w:rsidP="004047E5">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503ED">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VI. </w:t>
      </w:r>
      <w:r w:rsidR="001503ED" w:rsidRPr="001503ED">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PROCESSUS DE FORMALISATION DU CONTRAT ET MISE EN ŒUVRE DU PROJET</w:t>
      </w:r>
    </w:p>
    <w:tbl>
      <w:tblPr>
        <w:tblStyle w:val="TableGrid"/>
        <w:tblW w:w="0" w:type="auto"/>
        <w:tblLook w:val="04A0" w:firstRow="1" w:lastRow="0" w:firstColumn="1" w:lastColumn="0" w:noHBand="0" w:noVBand="1"/>
      </w:tblPr>
      <w:tblGrid>
        <w:gridCol w:w="9016"/>
      </w:tblGrid>
      <w:tr w:rsidR="006C6670" w:rsidRPr="00870E95" w14:paraId="66138A9C" w14:textId="77777777" w:rsidTr="00F16F02">
        <w:tc>
          <w:tcPr>
            <w:tcW w:w="9016" w:type="dxa"/>
            <w:tcBorders>
              <w:top w:val="dashed" w:sz="4" w:space="0" w:color="auto"/>
              <w:left w:val="dashed" w:sz="4" w:space="0" w:color="auto"/>
              <w:bottom w:val="dashed" w:sz="4" w:space="0" w:color="auto"/>
              <w:right w:val="dashed" w:sz="4" w:space="0" w:color="auto"/>
            </w:tcBorders>
          </w:tcPr>
          <w:p w14:paraId="1D201B9E" w14:textId="77777777" w:rsidR="00EB4B28" w:rsidRPr="00AD7AEE" w:rsidRDefault="00BB1D6B" w:rsidP="00EB4B28">
            <w:pPr>
              <w:jc w:val="center"/>
              <w:rPr>
                <w:b/>
                <w:bCs/>
                <w:color w:val="0C3512" w:themeColor="accent3" w:themeShade="80"/>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B4B28">
              <w:rPr>
                <w:rFonts w:ascii="Calibri" w:hAnsi="Calibri" w:cs="Calibri"/>
                <w:b/>
                <w:bCs/>
                <w:color w:val="0C3512" w:themeColor="accent3" w:themeShade="80"/>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DE </w:t>
            </w:r>
            <w:r w:rsidR="00EB4B28" w:rsidRPr="00AD7AEE">
              <w:rPr>
                <w:b/>
                <w:bCs/>
                <w:color w:val="0C3512" w:themeColor="accent3" w:themeShade="80"/>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L'ÉVALUATION À LA SIGNATURE D'UN ACCORD </w:t>
            </w:r>
            <w:r w:rsidR="00EB4B28">
              <w:rPr>
                <w:b/>
                <w:bCs/>
                <w:color w:val="0C3512" w:themeColor="accent3" w:themeShade="80"/>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DE PARTENARIAT D’</w:t>
            </w:r>
            <w:r w:rsidR="00EB4B28" w:rsidRPr="006E055E">
              <w:rPr>
                <w:b/>
                <w:bCs/>
                <w:color w:val="0C3512" w:themeColor="accent3" w:themeShade="80"/>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EB4B28">
              <w:rPr>
                <w:b/>
                <w:bCs/>
                <w:color w:val="0C3512" w:themeColor="accent3" w:themeShade="80"/>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X</w:t>
            </w:r>
            <w:r w:rsidR="00EB4B28" w:rsidRPr="006E055E">
              <w:rPr>
                <w:b/>
                <w:bCs/>
                <w:color w:val="0C3512" w:themeColor="accent3" w:themeShade="80"/>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EB4B28">
              <w:rPr>
                <w:b/>
                <w:bCs/>
                <w:color w:val="0C3512" w:themeColor="accent3" w:themeShade="80"/>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CUTION</w:t>
            </w:r>
          </w:p>
          <w:p w14:paraId="1F7F0A5D" w14:textId="73D0418E" w:rsidR="006C6670" w:rsidRPr="00EB4B28" w:rsidRDefault="006C6670" w:rsidP="00F16F02">
            <w:pPr>
              <w:jc w:val="center"/>
              <w:rPr>
                <w:rFonts w:ascii="Calibri" w:hAnsi="Calibri" w:cs="Calibri"/>
                <w:b/>
                <w:bCs/>
                <w:color w:val="0C3512" w:themeColor="accent3" w:themeShade="80"/>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67BD5931" w14:textId="77777777" w:rsidR="006C6670" w:rsidRPr="00870E95" w:rsidRDefault="006C6670" w:rsidP="00F16F02">
            <w:pPr>
              <w:jc w:val="center"/>
              <w:rPr>
                <w:rFonts w:ascii="Calibri" w:hAnsi="Calibri" w:cs="Calibri"/>
                <w:b/>
                <w:bCs/>
              </w:rPr>
            </w:pPr>
            <w:r w:rsidRPr="00870E95">
              <w:rPr>
                <w:rFonts w:ascii="Calibri" w:hAnsi="Calibri" w:cs="Calibri"/>
                <w:b/>
                <w:bCs/>
                <w:noProof/>
              </w:rPr>
              <w:drawing>
                <wp:inline distT="0" distB="0" distL="0" distR="0" wp14:anchorId="16B96C66" wp14:editId="0D1DB2DE">
                  <wp:extent cx="5429250" cy="962025"/>
                  <wp:effectExtent l="0" t="0" r="3810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tc>
      </w:tr>
    </w:tbl>
    <w:p w14:paraId="78563D6A" w14:textId="77777777" w:rsidR="006C6670" w:rsidRDefault="006C6670" w:rsidP="004047E5">
      <w:pPr>
        <w:jc w:val="both"/>
        <w:rPr>
          <w:sz w:val="22"/>
          <w:szCs w:val="22"/>
          <w:lang w:val="en-US"/>
        </w:rPr>
      </w:pPr>
    </w:p>
    <w:p w14:paraId="26402EAD" w14:textId="198F21EA" w:rsidR="00403BE7" w:rsidRPr="002302F2" w:rsidRDefault="00403BE7" w:rsidP="00403BE7">
      <w:pPr>
        <w:jc w:val="both"/>
        <w:rPr>
          <w:sz w:val="22"/>
          <w:szCs w:val="22"/>
          <w:highlight w:val="lightGray"/>
        </w:rPr>
      </w:pPr>
      <w:r w:rsidRPr="00DE70AE">
        <w:rPr>
          <w:b/>
          <w:bCs/>
          <w:sz w:val="22"/>
          <w:szCs w:val="22"/>
          <w:highlight w:val="lightGray"/>
        </w:rPr>
        <w:t xml:space="preserve">6.1.  </w:t>
      </w:r>
      <w:r w:rsidR="002302F2" w:rsidRPr="002302F2">
        <w:rPr>
          <w:b/>
          <w:bCs/>
          <w:sz w:val="22"/>
          <w:szCs w:val="22"/>
          <w:highlight w:val="lightGray"/>
        </w:rPr>
        <w:t>DÉFINITION DES TERMES DE RÉFÉRENCE &amp; RATIONALISATION DES ACTIVITÉS/DU BUDGET</w:t>
      </w:r>
    </w:p>
    <w:p w14:paraId="2EA8366F" w14:textId="56856784" w:rsidR="006C4695" w:rsidRDefault="006C4695" w:rsidP="00403BE7">
      <w:pPr>
        <w:jc w:val="both"/>
        <w:rPr>
          <w:sz w:val="22"/>
          <w:szCs w:val="22"/>
        </w:rPr>
      </w:pPr>
      <w:r w:rsidRPr="006C4695">
        <w:rPr>
          <w:sz w:val="22"/>
          <w:szCs w:val="22"/>
        </w:rPr>
        <w:t>À la suite de la présélection</w:t>
      </w:r>
      <w:r w:rsidR="007E4C07">
        <w:rPr>
          <w:rStyle w:val="FootnoteReference"/>
          <w:sz w:val="22"/>
          <w:szCs w:val="22"/>
        </w:rPr>
        <w:footnoteReference w:id="8"/>
      </w:r>
      <w:r w:rsidRPr="006C4695">
        <w:rPr>
          <w:sz w:val="22"/>
          <w:szCs w:val="22"/>
        </w:rPr>
        <w:t xml:space="preserve"> d’un candidat, l'UNESCO invitera chaque partenaire présélectionné à rationaliser, le cas échéant, et/ou à négocier les termes de référence (TDR) de l'Accord de partenariat d’exécution (IPA) qui sera établi entre l'Organisation et le partenaire présélectionné, conformément aux règles et règlements administratifs de l'UNESCO.</w:t>
      </w:r>
    </w:p>
    <w:p w14:paraId="62308ECE" w14:textId="08ED183A" w:rsidR="00CB6439" w:rsidRDefault="00CB6439" w:rsidP="00403BE7">
      <w:pPr>
        <w:jc w:val="both"/>
        <w:rPr>
          <w:sz w:val="22"/>
          <w:szCs w:val="22"/>
        </w:rPr>
      </w:pPr>
      <w:r w:rsidRPr="00CB6439">
        <w:rPr>
          <w:sz w:val="22"/>
          <w:szCs w:val="22"/>
        </w:rPr>
        <w:t xml:space="preserve">Les termes et conditions des IPA sont disponibles dans l'Annexe </w:t>
      </w:r>
      <w:r>
        <w:rPr>
          <w:sz w:val="22"/>
          <w:szCs w:val="22"/>
        </w:rPr>
        <w:t>5</w:t>
      </w:r>
      <w:r w:rsidRPr="00CB6439">
        <w:rPr>
          <w:sz w:val="22"/>
          <w:szCs w:val="22"/>
        </w:rPr>
        <w:t xml:space="preserve"> (modèle d'Accord de partenariat d’exécution, partagé dans le but de permettre aux partenaires candidats de se familiariser avec les conditions générales standard d'un IPA).</w:t>
      </w:r>
    </w:p>
    <w:p w14:paraId="210A3804" w14:textId="05FAD87D" w:rsidR="00403BE7" w:rsidRPr="007A3EFE" w:rsidRDefault="00EC06B5" w:rsidP="00EC06B5">
      <w:pPr>
        <w:jc w:val="both"/>
        <w:rPr>
          <w:sz w:val="22"/>
          <w:szCs w:val="22"/>
        </w:rPr>
      </w:pPr>
      <w:r w:rsidRPr="00EC06B5">
        <w:rPr>
          <w:sz w:val="22"/>
          <w:szCs w:val="22"/>
        </w:rPr>
        <w:t>Si des retards déraisonnables sont enregistrés dans la finalisation de l’IPA sans que l'UNESCO en soit responsable, ou s'il n'est pas possible de parvenir à un accord sur les termes de référence et/ou d'autres contenus de l’IPA, l'offre de subvention pourrait être retirée et la subvention accordée à un autre candidat.</w:t>
      </w:r>
    </w:p>
    <w:p w14:paraId="1D99AC92" w14:textId="150EF592" w:rsidR="00C94667" w:rsidRPr="007A3EFE" w:rsidRDefault="00C94667" w:rsidP="00C94667">
      <w:pPr>
        <w:jc w:val="both"/>
        <w:rPr>
          <w:sz w:val="22"/>
          <w:szCs w:val="22"/>
          <w:highlight w:val="lightGray"/>
        </w:rPr>
      </w:pPr>
      <w:r w:rsidRPr="00DE70AE">
        <w:rPr>
          <w:b/>
          <w:bCs/>
          <w:sz w:val="22"/>
          <w:szCs w:val="22"/>
          <w:highlight w:val="lightGray"/>
        </w:rPr>
        <w:t xml:space="preserve">6.2.  </w:t>
      </w:r>
      <w:r w:rsidR="007A3EFE" w:rsidRPr="007A3EFE">
        <w:rPr>
          <w:b/>
          <w:bCs/>
          <w:sz w:val="22"/>
          <w:szCs w:val="22"/>
          <w:highlight w:val="lightGray"/>
        </w:rPr>
        <w:t>LIVRABLES ET MODALITÉS DE PAIEMENT</w:t>
      </w:r>
    </w:p>
    <w:p w14:paraId="554C6C6B" w14:textId="49244E3A" w:rsidR="00442DD8" w:rsidRDefault="00442DD8" w:rsidP="00A560FA">
      <w:pPr>
        <w:jc w:val="both"/>
        <w:rPr>
          <w:sz w:val="22"/>
          <w:szCs w:val="22"/>
        </w:rPr>
      </w:pPr>
      <w:r w:rsidRPr="00442DD8">
        <w:rPr>
          <w:sz w:val="22"/>
          <w:szCs w:val="22"/>
        </w:rPr>
        <w:t xml:space="preserve">Le montant total de la contribution du GMDF sera transféré aux partenaires </w:t>
      </w:r>
      <w:r w:rsidR="00D514FA">
        <w:rPr>
          <w:sz w:val="22"/>
          <w:szCs w:val="22"/>
        </w:rPr>
        <w:t>d’exécution</w:t>
      </w:r>
      <w:r w:rsidRPr="00442DD8">
        <w:rPr>
          <w:sz w:val="22"/>
          <w:szCs w:val="22"/>
        </w:rPr>
        <w:t xml:space="preserve"> sélectionnés par tranches (au début du projet, à mi-parcours et à l’achèvement du projet), dont le paiement dépendra de la soumission et de l’approbation des livrables qui informeront l’UNESCO </w:t>
      </w:r>
      <w:r w:rsidR="00903DD7">
        <w:rPr>
          <w:sz w:val="22"/>
          <w:szCs w:val="22"/>
        </w:rPr>
        <w:t>du progrès</w:t>
      </w:r>
      <w:r w:rsidRPr="00442DD8">
        <w:rPr>
          <w:sz w:val="22"/>
          <w:szCs w:val="22"/>
        </w:rPr>
        <w:t xml:space="preserve"> de la mise en œuvre.</w:t>
      </w:r>
    </w:p>
    <w:p w14:paraId="0D5529F0" w14:textId="67A7BD56" w:rsidR="00E01E4F" w:rsidRDefault="00E01E4F" w:rsidP="00A560FA">
      <w:pPr>
        <w:jc w:val="both"/>
        <w:rPr>
          <w:sz w:val="22"/>
          <w:szCs w:val="22"/>
        </w:rPr>
      </w:pPr>
      <w:r>
        <w:rPr>
          <w:sz w:val="22"/>
          <w:szCs w:val="22"/>
        </w:rPr>
        <w:t>L</w:t>
      </w:r>
      <w:r w:rsidRPr="00E01E4F">
        <w:rPr>
          <w:sz w:val="22"/>
          <w:szCs w:val="22"/>
        </w:rPr>
        <w:t xml:space="preserve">e premier versement </w:t>
      </w:r>
      <w:r>
        <w:rPr>
          <w:sz w:val="22"/>
          <w:szCs w:val="22"/>
        </w:rPr>
        <w:t>du contrat n’</w:t>
      </w:r>
      <w:r w:rsidRPr="00E01E4F">
        <w:rPr>
          <w:sz w:val="22"/>
          <w:szCs w:val="22"/>
        </w:rPr>
        <w:t>excéder</w:t>
      </w:r>
      <w:r>
        <w:rPr>
          <w:sz w:val="22"/>
          <w:szCs w:val="22"/>
        </w:rPr>
        <w:t>a pas</w:t>
      </w:r>
      <w:r w:rsidRPr="00E01E4F">
        <w:rPr>
          <w:sz w:val="22"/>
          <w:szCs w:val="22"/>
        </w:rPr>
        <w:t xml:space="preserve"> les besoins opérationnels de 90 jours de mise en œuvre, </w:t>
      </w:r>
      <w:r w:rsidR="00DB284B">
        <w:rPr>
          <w:sz w:val="22"/>
          <w:szCs w:val="22"/>
        </w:rPr>
        <w:t xml:space="preserve">et sera transféré à la réception et approbation d’un rapport initial, </w:t>
      </w:r>
      <w:r w:rsidRPr="00E01E4F">
        <w:rPr>
          <w:sz w:val="22"/>
          <w:szCs w:val="22"/>
        </w:rPr>
        <w:t xml:space="preserve">tandis que le dernier </w:t>
      </w:r>
      <w:r w:rsidRPr="00E01E4F">
        <w:rPr>
          <w:sz w:val="22"/>
          <w:szCs w:val="22"/>
        </w:rPr>
        <w:lastRenderedPageBreak/>
        <w:t>versement représenter</w:t>
      </w:r>
      <w:r w:rsidR="00644796">
        <w:rPr>
          <w:sz w:val="22"/>
          <w:szCs w:val="22"/>
        </w:rPr>
        <w:t>a</w:t>
      </w:r>
      <w:r w:rsidRPr="00E01E4F">
        <w:rPr>
          <w:sz w:val="22"/>
          <w:szCs w:val="22"/>
        </w:rPr>
        <w:t xml:space="preserve"> au moins 10 % du budget total du projet </w:t>
      </w:r>
      <w:r w:rsidR="00644796">
        <w:rPr>
          <w:sz w:val="22"/>
          <w:szCs w:val="22"/>
        </w:rPr>
        <w:t>financé par l’UNESCO</w:t>
      </w:r>
      <w:r w:rsidR="0054408C">
        <w:rPr>
          <w:sz w:val="22"/>
          <w:szCs w:val="22"/>
        </w:rPr>
        <w:t>, et sera payé</w:t>
      </w:r>
      <w:r w:rsidR="008A128C" w:rsidRPr="008A128C">
        <w:t xml:space="preserve"> </w:t>
      </w:r>
      <w:r w:rsidR="008A128C" w:rsidRPr="008A128C">
        <w:rPr>
          <w:sz w:val="22"/>
          <w:szCs w:val="22"/>
        </w:rPr>
        <w:t>à la réception et</w:t>
      </w:r>
      <w:r w:rsidR="008A128C">
        <w:rPr>
          <w:sz w:val="22"/>
          <w:szCs w:val="22"/>
        </w:rPr>
        <w:t xml:space="preserve"> a</w:t>
      </w:r>
      <w:r w:rsidR="008A128C" w:rsidRPr="008A128C">
        <w:rPr>
          <w:sz w:val="22"/>
          <w:szCs w:val="22"/>
        </w:rPr>
        <w:t>pprobation du</w:t>
      </w:r>
      <w:r w:rsidR="008A128C">
        <w:rPr>
          <w:sz w:val="22"/>
          <w:szCs w:val="22"/>
        </w:rPr>
        <w:t xml:space="preserve"> rapport narratif</w:t>
      </w:r>
      <w:r w:rsidR="008A128C" w:rsidRPr="008A128C">
        <w:rPr>
          <w:sz w:val="22"/>
          <w:szCs w:val="22"/>
        </w:rPr>
        <w:t xml:space="preserve"> final</w:t>
      </w:r>
      <w:r w:rsidR="007C69C6">
        <w:rPr>
          <w:rStyle w:val="FootnoteReference"/>
          <w:sz w:val="22"/>
          <w:szCs w:val="22"/>
        </w:rPr>
        <w:footnoteReference w:id="9"/>
      </w:r>
      <w:r w:rsidR="008A128C" w:rsidRPr="008A128C">
        <w:rPr>
          <w:sz w:val="22"/>
          <w:szCs w:val="22"/>
        </w:rPr>
        <w:t xml:space="preserve"> et du rapport financier certifié</w:t>
      </w:r>
      <w:r w:rsidR="00790957">
        <w:rPr>
          <w:rStyle w:val="FootnoteReference"/>
          <w:sz w:val="22"/>
          <w:szCs w:val="22"/>
        </w:rPr>
        <w:footnoteReference w:id="10"/>
      </w:r>
      <w:r w:rsidR="008A128C" w:rsidRPr="008A128C">
        <w:rPr>
          <w:sz w:val="22"/>
          <w:szCs w:val="22"/>
        </w:rPr>
        <w:t>.</w:t>
      </w:r>
    </w:p>
    <w:p w14:paraId="47EEFE50" w14:textId="117D2CAF" w:rsidR="00BC0033" w:rsidRDefault="00BC0033" w:rsidP="00A560FA">
      <w:pPr>
        <w:jc w:val="both"/>
        <w:rPr>
          <w:sz w:val="22"/>
          <w:szCs w:val="22"/>
        </w:rPr>
      </w:pPr>
      <w:r w:rsidRPr="00BC0033">
        <w:rPr>
          <w:sz w:val="22"/>
          <w:szCs w:val="22"/>
        </w:rPr>
        <w:t xml:space="preserve">Le nombre de rapports </w:t>
      </w:r>
      <w:r>
        <w:rPr>
          <w:sz w:val="22"/>
          <w:szCs w:val="22"/>
        </w:rPr>
        <w:t>de progrès</w:t>
      </w:r>
      <w:r w:rsidRPr="00BC0033">
        <w:rPr>
          <w:sz w:val="22"/>
          <w:szCs w:val="22"/>
        </w:rPr>
        <w:t xml:space="preserve"> sera déterminé lors de la négociation des termes de référence </w:t>
      </w:r>
      <w:r>
        <w:rPr>
          <w:sz w:val="22"/>
          <w:szCs w:val="22"/>
        </w:rPr>
        <w:t>de l’IPA</w:t>
      </w:r>
      <w:r w:rsidRPr="00BC0033">
        <w:rPr>
          <w:sz w:val="22"/>
          <w:szCs w:val="22"/>
        </w:rPr>
        <w:t xml:space="preserve"> qui ser</w:t>
      </w:r>
      <w:r>
        <w:rPr>
          <w:sz w:val="22"/>
          <w:szCs w:val="22"/>
        </w:rPr>
        <w:t>a</w:t>
      </w:r>
      <w:r w:rsidRPr="00BC0033">
        <w:rPr>
          <w:sz w:val="22"/>
          <w:szCs w:val="22"/>
        </w:rPr>
        <w:t xml:space="preserve"> établi entre l’Organisation et le partenaire présélectionné, et dépendra de facteurs tels que la durée de l’action, l</w:t>
      </w:r>
      <w:r w:rsidR="00253570">
        <w:rPr>
          <w:sz w:val="22"/>
          <w:szCs w:val="22"/>
        </w:rPr>
        <w:t xml:space="preserve">a </w:t>
      </w:r>
      <w:r w:rsidRPr="00BC0033">
        <w:rPr>
          <w:sz w:val="22"/>
          <w:szCs w:val="22"/>
        </w:rPr>
        <w:t>performance antérieure satisfaisante du partenaire, la nature des activités du projet, etc. La soumission d’un rapport financier trimestriel</w:t>
      </w:r>
      <w:r w:rsidR="00672E64">
        <w:rPr>
          <w:sz w:val="22"/>
          <w:szCs w:val="22"/>
        </w:rPr>
        <w:t xml:space="preserve"> </w:t>
      </w:r>
      <w:r w:rsidR="009774A1">
        <w:rPr>
          <w:sz w:val="22"/>
          <w:szCs w:val="22"/>
        </w:rPr>
        <w:t>sera</w:t>
      </w:r>
      <w:r w:rsidRPr="00BC0033">
        <w:rPr>
          <w:sz w:val="22"/>
          <w:szCs w:val="22"/>
        </w:rPr>
        <w:t xml:space="preserve"> exigée conformément aux directives de l’UNESCO, en plus de la soumission des comptes-rendus des réunions du projet. Un examen à mi-parcours par le biais d’un suivi à distance ou </w:t>
      </w:r>
      <w:r w:rsidR="000C4F59">
        <w:rPr>
          <w:sz w:val="22"/>
          <w:szCs w:val="22"/>
        </w:rPr>
        <w:t>de vérifications impromptues sur site</w:t>
      </w:r>
      <w:r w:rsidRPr="00BC0033">
        <w:rPr>
          <w:sz w:val="22"/>
          <w:szCs w:val="22"/>
        </w:rPr>
        <w:t xml:space="preserve"> peut être requis pour les contrats de valeur plus élevée.</w:t>
      </w:r>
    </w:p>
    <w:p w14:paraId="728DACF5" w14:textId="6BFDBAA9" w:rsidR="00E03388" w:rsidRPr="00DE70AE" w:rsidRDefault="006A0467" w:rsidP="006A0467">
      <w:pPr>
        <w:jc w:val="both"/>
        <w:rPr>
          <w:sz w:val="22"/>
          <w:szCs w:val="22"/>
        </w:rPr>
      </w:pPr>
      <w:r w:rsidRPr="006A0467">
        <w:rPr>
          <w:sz w:val="22"/>
          <w:szCs w:val="22"/>
        </w:rPr>
        <w:t>L'UNESCO fournira des modèles standards pour les rapports mentionnés ci-dessus. Les rapports de projet doivent être rédigés en anglais, en français ou en espagnol.</w:t>
      </w:r>
    </w:p>
    <w:p w14:paraId="0D91A2F5" w14:textId="77777777" w:rsidR="00767EFC" w:rsidRDefault="00767EFC" w:rsidP="00A560FA">
      <w:pPr>
        <w:jc w:val="both"/>
        <w:rPr>
          <w:sz w:val="22"/>
          <w:szCs w:val="22"/>
        </w:rPr>
      </w:pPr>
      <w:r w:rsidRPr="00767EFC">
        <w:rPr>
          <w:sz w:val="22"/>
          <w:szCs w:val="22"/>
        </w:rPr>
        <w:t>Tous les paiements du contrat dépendront de la certification, par l'officier de l'UNESCO responsable de l’IPA, de la bonne exécution des travaux par le partenaire avant la date de paiement de chaque versement.</w:t>
      </w:r>
    </w:p>
    <w:p w14:paraId="0A550079" w14:textId="789A33DE" w:rsidR="00E41358" w:rsidRPr="00767EFC" w:rsidRDefault="00E41358" w:rsidP="00A560FA">
      <w:pPr>
        <w:jc w:val="both"/>
        <w:rPr>
          <w:sz w:val="22"/>
          <w:szCs w:val="22"/>
        </w:rPr>
      </w:pPr>
      <w:r w:rsidRPr="00E41358">
        <w:rPr>
          <w:sz w:val="22"/>
          <w:szCs w:val="22"/>
        </w:rPr>
        <w:t xml:space="preserve">Les partenaires devront soumettre une facture ou une demande de paiement signée pour chaque tranche du contrat. Sauf exception justifiée (e.g. compte bancaire en EUR), toutes les tranches sont payées en dollars </w:t>
      </w:r>
      <w:r w:rsidR="00C82A7E">
        <w:rPr>
          <w:sz w:val="22"/>
          <w:szCs w:val="22"/>
        </w:rPr>
        <w:t>des Etats-Unis</w:t>
      </w:r>
      <w:r w:rsidRPr="00E41358">
        <w:rPr>
          <w:sz w:val="22"/>
          <w:szCs w:val="22"/>
        </w:rPr>
        <w:t>.</w:t>
      </w:r>
    </w:p>
    <w:p w14:paraId="4B800816" w14:textId="662C6F07" w:rsidR="006D468F" w:rsidRPr="00DA27A2" w:rsidRDefault="006D468F" w:rsidP="006D468F">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A27A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VII. </w:t>
      </w:r>
      <w:r w:rsidR="00DA27A2" w:rsidRPr="00DA27A2">
        <w:rPr>
          <w:rFonts w:cs="Arial"/>
          <w:b/>
          <w:bCs/>
          <w:color w:val="FFFFFF" w:themeColor="background1"/>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SOUMISSION DES PROPOSITIONS DE PARTENARIAT</w:t>
      </w:r>
    </w:p>
    <w:p w14:paraId="5AD11578" w14:textId="6E63D713" w:rsidR="00BC45E1" w:rsidRPr="00E562E8" w:rsidRDefault="00E562E8" w:rsidP="00E562E8">
      <w:pPr>
        <w:jc w:val="both"/>
        <w:rPr>
          <w:sz w:val="22"/>
          <w:szCs w:val="22"/>
        </w:rPr>
      </w:pPr>
      <w:r w:rsidRPr="00E562E8">
        <w:rPr>
          <w:sz w:val="22"/>
          <w:szCs w:val="22"/>
        </w:rPr>
        <w:t>Toutes les informations nécessaires à la préparation de votre proposition de partenariat sont disponibles sur le site web du Marché mondial des Nations Unies (UNGM)</w:t>
      </w:r>
      <w:r>
        <w:rPr>
          <w:sz w:val="22"/>
          <w:szCs w:val="22"/>
        </w:rPr>
        <w:t>.</w:t>
      </w:r>
    </w:p>
    <w:p w14:paraId="3196D86D" w14:textId="2EB4E207" w:rsidR="004A69CD" w:rsidRPr="004A69CD" w:rsidRDefault="00E80BE0" w:rsidP="004A69CD">
      <w:pPr>
        <w:jc w:val="both"/>
        <w:rPr>
          <w:sz w:val="22"/>
          <w:szCs w:val="22"/>
        </w:rPr>
      </w:pPr>
      <w:r w:rsidRPr="004A69CD">
        <w:rPr>
          <w:b/>
          <w:bCs/>
          <w:sz w:val="22"/>
          <w:szCs w:val="22"/>
          <w:u w:val="single"/>
        </w:rPr>
        <w:t>CHECKLIST</w:t>
      </w:r>
      <w:r w:rsidR="004A69CD" w:rsidRPr="004A69CD">
        <w:rPr>
          <w:b/>
          <w:bCs/>
          <w:sz w:val="22"/>
          <w:szCs w:val="22"/>
        </w:rPr>
        <w:t xml:space="preserve"> </w:t>
      </w:r>
      <w:r w:rsidRPr="004A69CD">
        <w:rPr>
          <w:sz w:val="22"/>
          <w:szCs w:val="22"/>
        </w:rPr>
        <w:t xml:space="preserve">: </w:t>
      </w:r>
      <w:r w:rsidR="004A69CD" w:rsidRPr="004A69CD">
        <w:rPr>
          <w:sz w:val="22"/>
          <w:szCs w:val="22"/>
        </w:rPr>
        <w:t xml:space="preserve">Tous les candidats, sans exception, doivent soumettre les </w:t>
      </w:r>
      <w:r w:rsidR="004A69CD" w:rsidRPr="004A69CD">
        <w:rPr>
          <w:b/>
          <w:bCs/>
          <w:sz w:val="22"/>
          <w:szCs w:val="22"/>
        </w:rPr>
        <w:t>formulaires et documents justificatifs</w:t>
      </w:r>
      <w:r w:rsidR="004A69CD" w:rsidRPr="004A69CD">
        <w:rPr>
          <w:sz w:val="22"/>
          <w:szCs w:val="22"/>
        </w:rPr>
        <w:t xml:space="preserve"> énumérés ci-dessous :</w:t>
      </w:r>
    </w:p>
    <w:p w14:paraId="28878D54" w14:textId="58BEDD37" w:rsidR="00E80BE0" w:rsidRDefault="00403524" w:rsidP="004A69CD">
      <w:pPr>
        <w:pStyle w:val="ListParagraph"/>
        <w:numPr>
          <w:ilvl w:val="0"/>
          <w:numId w:val="24"/>
        </w:numPr>
        <w:jc w:val="both"/>
        <w:rPr>
          <w:sz w:val="22"/>
          <w:szCs w:val="22"/>
        </w:rPr>
      </w:pPr>
      <w:r w:rsidRPr="00326F2B">
        <w:rPr>
          <w:sz w:val="22"/>
          <w:szCs w:val="22"/>
        </w:rPr>
        <w:t xml:space="preserve">Formulaire de candidature </w:t>
      </w:r>
      <w:r w:rsidR="00A2127A" w:rsidRPr="00326F2B">
        <w:rPr>
          <w:sz w:val="22"/>
          <w:szCs w:val="22"/>
        </w:rPr>
        <w:t>(Annex</w:t>
      </w:r>
      <w:r w:rsidRPr="00326F2B">
        <w:rPr>
          <w:sz w:val="22"/>
          <w:szCs w:val="22"/>
        </w:rPr>
        <w:t>e</w:t>
      </w:r>
      <w:r w:rsidR="00A2127A" w:rsidRPr="00326F2B">
        <w:rPr>
          <w:sz w:val="22"/>
          <w:szCs w:val="22"/>
        </w:rPr>
        <w:t xml:space="preserve"> 3) </w:t>
      </w:r>
      <w:r w:rsidR="00E80BE0" w:rsidRPr="00326F2B">
        <w:rPr>
          <w:sz w:val="22"/>
          <w:szCs w:val="22"/>
        </w:rPr>
        <w:t>(signature requi</w:t>
      </w:r>
      <w:r w:rsidRPr="00326F2B">
        <w:rPr>
          <w:sz w:val="22"/>
          <w:szCs w:val="22"/>
        </w:rPr>
        <w:t>se</w:t>
      </w:r>
      <w:r w:rsidR="00E80BE0" w:rsidRPr="00326F2B">
        <w:rPr>
          <w:sz w:val="22"/>
          <w:szCs w:val="22"/>
        </w:rPr>
        <w:t>)</w:t>
      </w:r>
      <w:r w:rsidR="00030995" w:rsidRPr="00326F2B">
        <w:rPr>
          <w:sz w:val="22"/>
          <w:szCs w:val="22"/>
        </w:rPr>
        <w:t> ;</w:t>
      </w:r>
    </w:p>
    <w:p w14:paraId="000FE8D4" w14:textId="0F70B1EF" w:rsidR="00326F2B" w:rsidRPr="00326F2B" w:rsidRDefault="00326F2B" w:rsidP="004A69CD">
      <w:pPr>
        <w:pStyle w:val="ListParagraph"/>
        <w:numPr>
          <w:ilvl w:val="0"/>
          <w:numId w:val="24"/>
        </w:numPr>
        <w:jc w:val="both"/>
        <w:rPr>
          <w:sz w:val="22"/>
          <w:szCs w:val="22"/>
        </w:rPr>
      </w:pPr>
      <w:r w:rsidRPr="00326F2B">
        <w:rPr>
          <w:sz w:val="22"/>
          <w:szCs w:val="22"/>
        </w:rPr>
        <w:lastRenderedPageBreak/>
        <w:t xml:space="preserve">Modèle de Budget du </w:t>
      </w:r>
      <w:r>
        <w:rPr>
          <w:sz w:val="22"/>
          <w:szCs w:val="22"/>
        </w:rPr>
        <w:t>p</w:t>
      </w:r>
      <w:r w:rsidRPr="00326F2B">
        <w:rPr>
          <w:sz w:val="22"/>
          <w:szCs w:val="22"/>
        </w:rPr>
        <w:t>rojet</w:t>
      </w:r>
      <w:r>
        <w:rPr>
          <w:sz w:val="22"/>
          <w:szCs w:val="22"/>
        </w:rPr>
        <w:t xml:space="preserve"> (Annexe 4)</w:t>
      </w:r>
      <w:r w:rsidRPr="00326F2B">
        <w:rPr>
          <w:sz w:val="22"/>
          <w:szCs w:val="22"/>
        </w:rPr>
        <w:t xml:space="preserve"> dûment rempli, avec le logo du candidat et la signature du représentant autorisé (signature et date requises)</w:t>
      </w:r>
      <w:r w:rsidR="00871721">
        <w:rPr>
          <w:sz w:val="22"/>
          <w:szCs w:val="22"/>
        </w:rPr>
        <w:t> ;</w:t>
      </w:r>
    </w:p>
    <w:p w14:paraId="681B6593" w14:textId="70EC29DE" w:rsidR="000D067A" w:rsidRPr="000D067A" w:rsidRDefault="000D067A" w:rsidP="00E80BE0">
      <w:pPr>
        <w:pStyle w:val="ListParagraph"/>
        <w:numPr>
          <w:ilvl w:val="0"/>
          <w:numId w:val="24"/>
        </w:numPr>
        <w:spacing w:line="259" w:lineRule="auto"/>
        <w:jc w:val="both"/>
        <w:rPr>
          <w:sz w:val="22"/>
          <w:szCs w:val="22"/>
        </w:rPr>
      </w:pPr>
      <w:r w:rsidRPr="000D067A">
        <w:rPr>
          <w:sz w:val="22"/>
          <w:szCs w:val="22"/>
        </w:rPr>
        <w:t>Formulaire d'identification du partenaire de l'UNESCO</w:t>
      </w:r>
      <w:r>
        <w:rPr>
          <w:sz w:val="22"/>
          <w:szCs w:val="22"/>
        </w:rPr>
        <w:t xml:space="preserve"> (Annexe 2)</w:t>
      </w:r>
      <w:r w:rsidRPr="000D067A">
        <w:rPr>
          <w:sz w:val="22"/>
          <w:szCs w:val="22"/>
        </w:rPr>
        <w:t xml:space="preserve"> (signature et date requises)</w:t>
      </w:r>
      <w:r w:rsidR="00871721">
        <w:rPr>
          <w:sz w:val="22"/>
          <w:szCs w:val="22"/>
        </w:rPr>
        <w:t> ;</w:t>
      </w:r>
    </w:p>
    <w:p w14:paraId="163726DD" w14:textId="7F29A754" w:rsidR="00E702A8" w:rsidRDefault="00E702A8" w:rsidP="00E80BE0">
      <w:pPr>
        <w:pStyle w:val="ListParagraph"/>
        <w:numPr>
          <w:ilvl w:val="0"/>
          <w:numId w:val="24"/>
        </w:numPr>
        <w:spacing w:line="259" w:lineRule="auto"/>
        <w:jc w:val="both"/>
        <w:rPr>
          <w:sz w:val="22"/>
          <w:szCs w:val="22"/>
        </w:rPr>
      </w:pPr>
      <w:r w:rsidRPr="00E702A8">
        <w:rPr>
          <w:sz w:val="22"/>
          <w:szCs w:val="22"/>
        </w:rPr>
        <w:t>Certificat Officiel attestant le statut juridique du candidat (si le certificat est disponible dans une langue autre que l'anglais et le français, le partenaire candidat doit accompagner le certificat d'une traduction)</w:t>
      </w:r>
      <w:r>
        <w:rPr>
          <w:sz w:val="22"/>
          <w:szCs w:val="22"/>
        </w:rPr>
        <w:t> ;</w:t>
      </w:r>
    </w:p>
    <w:p w14:paraId="744E92FA" w14:textId="27FA5307" w:rsidR="00723208" w:rsidRPr="00E702A8" w:rsidRDefault="00723208" w:rsidP="00E80BE0">
      <w:pPr>
        <w:pStyle w:val="ListParagraph"/>
        <w:numPr>
          <w:ilvl w:val="0"/>
          <w:numId w:val="24"/>
        </w:numPr>
        <w:spacing w:line="259" w:lineRule="auto"/>
        <w:jc w:val="both"/>
        <w:rPr>
          <w:sz w:val="22"/>
          <w:szCs w:val="22"/>
        </w:rPr>
      </w:pPr>
      <w:r w:rsidRPr="00723208">
        <w:rPr>
          <w:sz w:val="22"/>
          <w:szCs w:val="22"/>
        </w:rPr>
        <w:t xml:space="preserve">États financiers (y compris le bilan, le compte de résultats et les annexes) des deux derniers exercices pour lesquels les comptes ont été clôturés, signés et certifiés par l'autorité financière du candidat (contrôleur ou équivalent) et audités, le cas échéant, conformément aux </w:t>
      </w:r>
      <w:r>
        <w:rPr>
          <w:sz w:val="22"/>
          <w:szCs w:val="22"/>
        </w:rPr>
        <w:t>n</w:t>
      </w:r>
      <w:r w:rsidRPr="00723208">
        <w:rPr>
          <w:sz w:val="22"/>
          <w:szCs w:val="22"/>
        </w:rPr>
        <w:t>ormes internationales d’audit (signature et date requises).</w:t>
      </w:r>
    </w:p>
    <w:p w14:paraId="35E5714A" w14:textId="77777777" w:rsidR="001C301F" w:rsidRDefault="008B33E2" w:rsidP="00E80BE0">
      <w:pPr>
        <w:pStyle w:val="ListParagraph"/>
        <w:numPr>
          <w:ilvl w:val="0"/>
          <w:numId w:val="24"/>
        </w:numPr>
        <w:spacing w:line="259" w:lineRule="auto"/>
        <w:jc w:val="both"/>
        <w:rPr>
          <w:sz w:val="22"/>
          <w:szCs w:val="22"/>
        </w:rPr>
      </w:pPr>
      <w:r w:rsidRPr="008B33E2">
        <w:rPr>
          <w:sz w:val="22"/>
          <w:szCs w:val="22"/>
        </w:rPr>
        <w:t>Un rapport d'activités annuel de l'entité, couvrant les activités mises en œuvre au cours de l'année écoulée (afin d'examiner les compétences professionnelles et les qualifications des candidats).</w:t>
      </w:r>
    </w:p>
    <w:p w14:paraId="096FE808" w14:textId="244FCA26" w:rsidR="00BE71B3" w:rsidRPr="00BE71B3" w:rsidRDefault="001C301F" w:rsidP="00E80BE0">
      <w:pPr>
        <w:pStyle w:val="ListParagraph"/>
        <w:numPr>
          <w:ilvl w:val="0"/>
          <w:numId w:val="24"/>
        </w:numPr>
        <w:spacing w:line="259" w:lineRule="auto"/>
        <w:jc w:val="both"/>
        <w:rPr>
          <w:sz w:val="22"/>
          <w:szCs w:val="22"/>
        </w:rPr>
      </w:pPr>
      <w:r w:rsidRPr="001C301F">
        <w:rPr>
          <w:sz w:val="22"/>
          <w:szCs w:val="22"/>
        </w:rPr>
        <w:t>Curriculum Vitae (CV) du personnel clé qui est ou sera impliqué dans la mise en œuvre du projet.</w:t>
      </w:r>
    </w:p>
    <w:p w14:paraId="4CFEE1A8" w14:textId="77777777" w:rsidR="00BE71B3" w:rsidRDefault="00BE71B3" w:rsidP="00E80BE0">
      <w:pPr>
        <w:jc w:val="both"/>
        <w:rPr>
          <w:b/>
          <w:bCs/>
          <w:sz w:val="22"/>
          <w:szCs w:val="22"/>
        </w:rPr>
      </w:pPr>
      <w:r w:rsidRPr="00BE71B3">
        <w:rPr>
          <w:b/>
          <w:bCs/>
          <w:sz w:val="22"/>
          <w:szCs w:val="22"/>
        </w:rPr>
        <w:t xml:space="preserve">Seules les propositions remplissant les critères d'éligibilité seront prises en considération pour une subvention. </w:t>
      </w:r>
    </w:p>
    <w:p w14:paraId="7AAF4BD8" w14:textId="1A57E81F" w:rsidR="00BE71B3" w:rsidRPr="00BE71B3" w:rsidRDefault="00BE71B3" w:rsidP="00E80BE0">
      <w:pPr>
        <w:jc w:val="both"/>
        <w:rPr>
          <w:b/>
          <w:bCs/>
          <w:sz w:val="22"/>
          <w:szCs w:val="22"/>
        </w:rPr>
      </w:pPr>
      <w:r w:rsidRPr="00BE71B3">
        <w:rPr>
          <w:b/>
          <w:bCs/>
          <w:sz w:val="22"/>
          <w:szCs w:val="22"/>
        </w:rPr>
        <w:t>Veuillez noter que toutes les propositions doivent être soumises en anglais, français ou espagnol.</w:t>
      </w:r>
    </w:p>
    <w:p w14:paraId="1E778FB2" w14:textId="47E10A25" w:rsidR="00731433" w:rsidRPr="00F61A3B" w:rsidRDefault="00134F7E" w:rsidP="00A560FA">
      <w:pPr>
        <w:jc w:val="both"/>
        <w:rPr>
          <w:sz w:val="22"/>
          <w:szCs w:val="22"/>
          <w:lang w:val="en-US"/>
        </w:rPr>
      </w:pPr>
      <w:r w:rsidRPr="00134F7E">
        <w:rPr>
          <w:sz w:val="22"/>
          <w:szCs w:val="22"/>
        </w:rPr>
        <w:t xml:space="preserve">Afin de soumettre une proposition de partenariat, veuillez envoyer les formulaires remplis (et signés, le cas échéant) et les pièces justificatives à l'adresse électronique suivante : </w:t>
      </w:r>
      <w:hyperlink r:id="rId36" w:history="1">
        <w:r w:rsidRPr="00417565">
          <w:rPr>
            <w:rStyle w:val="Hyperlink"/>
            <w:sz w:val="22"/>
            <w:szCs w:val="22"/>
          </w:rPr>
          <w:t>gmdf@unesco.org</w:t>
        </w:r>
      </w:hyperlink>
      <w:r w:rsidRPr="00134F7E">
        <w:rPr>
          <w:sz w:val="22"/>
          <w:szCs w:val="22"/>
        </w:rPr>
        <w:t xml:space="preserve">. Tous les documents doivent être partagés dans un format lisible (Word ou PDF pour les formulaires, PDF ou JPG pour les pièces justificatives). </w:t>
      </w:r>
      <w:proofErr w:type="spellStart"/>
      <w:r w:rsidRPr="00134F7E">
        <w:rPr>
          <w:sz w:val="22"/>
          <w:szCs w:val="22"/>
          <w:lang w:val="en-US"/>
        </w:rPr>
        <w:t>Aucune</w:t>
      </w:r>
      <w:proofErr w:type="spellEnd"/>
      <w:r w:rsidRPr="00134F7E">
        <w:rPr>
          <w:sz w:val="22"/>
          <w:szCs w:val="22"/>
          <w:lang w:val="en-US"/>
        </w:rPr>
        <w:t xml:space="preserve"> </w:t>
      </w:r>
      <w:proofErr w:type="spellStart"/>
      <w:r w:rsidRPr="00134F7E">
        <w:rPr>
          <w:sz w:val="22"/>
          <w:szCs w:val="22"/>
          <w:lang w:val="en-US"/>
        </w:rPr>
        <w:t>autre</w:t>
      </w:r>
      <w:proofErr w:type="spellEnd"/>
      <w:r w:rsidRPr="00134F7E">
        <w:rPr>
          <w:sz w:val="22"/>
          <w:szCs w:val="22"/>
          <w:lang w:val="en-US"/>
        </w:rPr>
        <w:t xml:space="preserve"> </w:t>
      </w:r>
      <w:proofErr w:type="spellStart"/>
      <w:r w:rsidRPr="00134F7E">
        <w:rPr>
          <w:sz w:val="22"/>
          <w:szCs w:val="22"/>
          <w:lang w:val="en-US"/>
        </w:rPr>
        <w:t>méthode</w:t>
      </w:r>
      <w:proofErr w:type="spellEnd"/>
      <w:r w:rsidRPr="00134F7E">
        <w:rPr>
          <w:sz w:val="22"/>
          <w:szCs w:val="22"/>
          <w:lang w:val="en-US"/>
        </w:rPr>
        <w:t xml:space="preserve"> de </w:t>
      </w:r>
      <w:proofErr w:type="spellStart"/>
      <w:r w:rsidRPr="00134F7E">
        <w:rPr>
          <w:sz w:val="22"/>
          <w:szCs w:val="22"/>
          <w:lang w:val="en-US"/>
        </w:rPr>
        <w:t>soumission</w:t>
      </w:r>
      <w:proofErr w:type="spellEnd"/>
      <w:r w:rsidRPr="00134F7E">
        <w:rPr>
          <w:sz w:val="22"/>
          <w:szCs w:val="22"/>
          <w:lang w:val="en-US"/>
        </w:rPr>
        <w:t xml:space="preserve"> ne sera </w:t>
      </w:r>
      <w:proofErr w:type="spellStart"/>
      <w:r w:rsidRPr="00134F7E">
        <w:rPr>
          <w:sz w:val="22"/>
          <w:szCs w:val="22"/>
          <w:lang w:val="en-US"/>
        </w:rPr>
        <w:t>acceptée</w:t>
      </w:r>
      <w:proofErr w:type="spellEnd"/>
      <w:r w:rsidRPr="00134F7E">
        <w:rPr>
          <w:sz w:val="22"/>
          <w:szCs w:val="22"/>
          <w:lang w:val="en-US"/>
        </w:rPr>
        <w:t>.</w:t>
      </w:r>
    </w:p>
    <w:sectPr w:rsidR="00731433" w:rsidRPr="00F61A3B" w:rsidSect="005B4A72">
      <w:headerReference w:type="default" r:id="rId37"/>
      <w:footerReference w:type="default" r:id="rId38"/>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CD30C" w14:textId="77777777" w:rsidR="00D175E2" w:rsidRDefault="00D175E2" w:rsidP="00EA3E90">
      <w:pPr>
        <w:spacing w:after="0" w:line="240" w:lineRule="auto"/>
      </w:pPr>
      <w:r>
        <w:separator/>
      </w:r>
    </w:p>
  </w:endnote>
  <w:endnote w:type="continuationSeparator" w:id="0">
    <w:p w14:paraId="4641C426" w14:textId="77777777" w:rsidR="00D175E2" w:rsidRDefault="00D175E2" w:rsidP="00EA3E90">
      <w:pPr>
        <w:spacing w:after="0" w:line="240" w:lineRule="auto"/>
      </w:pPr>
      <w:r>
        <w:continuationSeparator/>
      </w:r>
    </w:p>
  </w:endnote>
  <w:endnote w:type="continuationNotice" w:id="1">
    <w:p w14:paraId="2719D4C0" w14:textId="77777777" w:rsidR="00D175E2" w:rsidRDefault="00D175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320653003"/>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B7C2E34" w14:textId="7D7B18C6" w:rsidR="00B52044" w:rsidRPr="00B52044" w:rsidRDefault="00B52044">
            <w:pPr>
              <w:pStyle w:val="Footer"/>
              <w:jc w:val="right"/>
              <w:rPr>
                <w:sz w:val="20"/>
                <w:szCs w:val="20"/>
              </w:rPr>
            </w:pPr>
            <w:r w:rsidRPr="00B52044">
              <w:rPr>
                <w:sz w:val="20"/>
                <w:szCs w:val="20"/>
              </w:rPr>
              <w:t xml:space="preserve">Page </w:t>
            </w:r>
            <w:r w:rsidRPr="00B52044">
              <w:rPr>
                <w:b/>
                <w:bCs/>
                <w:sz w:val="20"/>
                <w:szCs w:val="20"/>
              </w:rPr>
              <w:fldChar w:fldCharType="begin"/>
            </w:r>
            <w:r w:rsidRPr="00B52044">
              <w:rPr>
                <w:b/>
                <w:bCs/>
                <w:sz w:val="20"/>
                <w:szCs w:val="20"/>
              </w:rPr>
              <w:instrText xml:space="preserve"> PAGE </w:instrText>
            </w:r>
            <w:r w:rsidRPr="00B52044">
              <w:rPr>
                <w:b/>
                <w:bCs/>
                <w:sz w:val="20"/>
                <w:szCs w:val="20"/>
              </w:rPr>
              <w:fldChar w:fldCharType="separate"/>
            </w:r>
            <w:r w:rsidRPr="00B52044">
              <w:rPr>
                <w:b/>
                <w:bCs/>
                <w:noProof/>
                <w:sz w:val="20"/>
                <w:szCs w:val="20"/>
              </w:rPr>
              <w:t>2</w:t>
            </w:r>
            <w:r w:rsidRPr="00B52044">
              <w:rPr>
                <w:b/>
                <w:bCs/>
                <w:sz w:val="20"/>
                <w:szCs w:val="20"/>
              </w:rPr>
              <w:fldChar w:fldCharType="end"/>
            </w:r>
            <w:r w:rsidRPr="00B52044">
              <w:rPr>
                <w:sz w:val="20"/>
                <w:szCs w:val="20"/>
              </w:rPr>
              <w:t xml:space="preserve"> of </w:t>
            </w:r>
            <w:r w:rsidRPr="00B52044">
              <w:rPr>
                <w:b/>
                <w:bCs/>
                <w:sz w:val="20"/>
                <w:szCs w:val="20"/>
              </w:rPr>
              <w:fldChar w:fldCharType="begin"/>
            </w:r>
            <w:r w:rsidRPr="00B52044">
              <w:rPr>
                <w:b/>
                <w:bCs/>
                <w:sz w:val="20"/>
                <w:szCs w:val="20"/>
              </w:rPr>
              <w:instrText xml:space="preserve"> NUMPAGES  </w:instrText>
            </w:r>
            <w:r w:rsidRPr="00B52044">
              <w:rPr>
                <w:b/>
                <w:bCs/>
                <w:sz w:val="20"/>
                <w:szCs w:val="20"/>
              </w:rPr>
              <w:fldChar w:fldCharType="separate"/>
            </w:r>
            <w:r w:rsidRPr="00B52044">
              <w:rPr>
                <w:b/>
                <w:bCs/>
                <w:noProof/>
                <w:sz w:val="20"/>
                <w:szCs w:val="20"/>
              </w:rPr>
              <w:t>2</w:t>
            </w:r>
            <w:r w:rsidRPr="00B52044">
              <w:rPr>
                <w:b/>
                <w:bCs/>
                <w:sz w:val="20"/>
                <w:szCs w:val="20"/>
              </w:rPr>
              <w:fldChar w:fldCharType="end"/>
            </w:r>
          </w:p>
        </w:sdtContent>
      </w:sdt>
    </w:sdtContent>
  </w:sdt>
  <w:p w14:paraId="32919839" w14:textId="77777777" w:rsidR="00657F2B" w:rsidRDefault="00657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937EC" w14:textId="77777777" w:rsidR="00D175E2" w:rsidRDefault="00D175E2" w:rsidP="00EA3E90">
      <w:pPr>
        <w:spacing w:after="0" w:line="240" w:lineRule="auto"/>
      </w:pPr>
      <w:r>
        <w:separator/>
      </w:r>
    </w:p>
  </w:footnote>
  <w:footnote w:type="continuationSeparator" w:id="0">
    <w:p w14:paraId="6678242E" w14:textId="77777777" w:rsidR="00D175E2" w:rsidRDefault="00D175E2" w:rsidP="00EA3E90">
      <w:pPr>
        <w:spacing w:after="0" w:line="240" w:lineRule="auto"/>
      </w:pPr>
      <w:r>
        <w:continuationSeparator/>
      </w:r>
    </w:p>
  </w:footnote>
  <w:footnote w:type="continuationNotice" w:id="1">
    <w:p w14:paraId="6538DC90" w14:textId="77777777" w:rsidR="00D175E2" w:rsidRDefault="00D175E2">
      <w:pPr>
        <w:spacing w:after="0" w:line="240" w:lineRule="auto"/>
      </w:pPr>
    </w:p>
  </w:footnote>
  <w:footnote w:id="2">
    <w:p w14:paraId="141A342A" w14:textId="728C1E3A" w:rsidR="0008012D" w:rsidRPr="0008012D" w:rsidRDefault="003B6360" w:rsidP="0008012D">
      <w:pPr>
        <w:spacing w:after="0" w:line="240" w:lineRule="auto"/>
        <w:jc w:val="both"/>
        <w:rPr>
          <w:sz w:val="20"/>
          <w:szCs w:val="20"/>
        </w:rPr>
      </w:pPr>
      <w:r>
        <w:rPr>
          <w:rStyle w:val="FootnoteReference"/>
        </w:rPr>
        <w:footnoteRef/>
      </w:r>
      <w:r w:rsidRPr="0008012D">
        <w:t xml:space="preserve"> </w:t>
      </w:r>
      <w:r w:rsidR="0008012D" w:rsidRPr="0008012D">
        <w:rPr>
          <w:sz w:val="20"/>
          <w:szCs w:val="20"/>
        </w:rPr>
        <w:t xml:space="preserve">Les objectifs </w:t>
      </w:r>
      <w:r w:rsidR="0008012D" w:rsidRPr="0008012D">
        <w:rPr>
          <w:b/>
          <w:bCs/>
          <w:sz w:val="20"/>
          <w:szCs w:val="20"/>
        </w:rPr>
        <w:t xml:space="preserve">S.M.A.R.T. </w:t>
      </w:r>
      <w:r w:rsidR="0008012D" w:rsidRPr="0008012D">
        <w:rPr>
          <w:sz w:val="20"/>
          <w:szCs w:val="20"/>
        </w:rPr>
        <w:t>sont :</w:t>
      </w:r>
    </w:p>
    <w:p w14:paraId="4C4FE44E" w14:textId="77777777" w:rsidR="0008012D" w:rsidRPr="0008012D" w:rsidRDefault="0008012D" w:rsidP="0008012D">
      <w:pPr>
        <w:spacing w:after="0" w:line="240" w:lineRule="auto"/>
        <w:jc w:val="both"/>
        <w:rPr>
          <w:sz w:val="20"/>
          <w:szCs w:val="20"/>
        </w:rPr>
      </w:pPr>
      <w:r w:rsidRPr="0008012D">
        <w:rPr>
          <w:b/>
          <w:bCs/>
          <w:sz w:val="20"/>
          <w:szCs w:val="20"/>
        </w:rPr>
        <w:t>Spécifiques (</w:t>
      </w:r>
      <w:proofErr w:type="spellStart"/>
      <w:r w:rsidRPr="0008012D">
        <w:rPr>
          <w:b/>
          <w:bCs/>
          <w:sz w:val="20"/>
          <w:szCs w:val="20"/>
        </w:rPr>
        <w:t>Specific</w:t>
      </w:r>
      <w:proofErr w:type="spellEnd"/>
      <w:r w:rsidRPr="0008012D">
        <w:rPr>
          <w:b/>
          <w:bCs/>
          <w:sz w:val="20"/>
          <w:szCs w:val="20"/>
        </w:rPr>
        <w:t xml:space="preserve">) : </w:t>
      </w:r>
      <w:r w:rsidRPr="0008012D">
        <w:rPr>
          <w:sz w:val="20"/>
          <w:szCs w:val="20"/>
        </w:rPr>
        <w:t>Clairs, concrets et non ambigus (ne pouvant être interprétés différemment par différentes personnes).</w:t>
      </w:r>
    </w:p>
    <w:p w14:paraId="2FF67541" w14:textId="77777777" w:rsidR="0008012D" w:rsidRPr="0008012D" w:rsidRDefault="0008012D" w:rsidP="0008012D">
      <w:pPr>
        <w:spacing w:after="0" w:line="240" w:lineRule="auto"/>
        <w:jc w:val="both"/>
        <w:rPr>
          <w:sz w:val="20"/>
          <w:szCs w:val="20"/>
        </w:rPr>
      </w:pPr>
      <w:r w:rsidRPr="0008012D">
        <w:rPr>
          <w:b/>
          <w:bCs/>
          <w:sz w:val="20"/>
          <w:szCs w:val="20"/>
        </w:rPr>
        <w:t>Mesurable (</w:t>
      </w:r>
      <w:proofErr w:type="spellStart"/>
      <w:r w:rsidRPr="0008012D">
        <w:rPr>
          <w:b/>
          <w:bCs/>
          <w:sz w:val="20"/>
          <w:szCs w:val="20"/>
        </w:rPr>
        <w:t>Measurable</w:t>
      </w:r>
      <w:proofErr w:type="spellEnd"/>
      <w:r w:rsidRPr="0008012D">
        <w:rPr>
          <w:b/>
          <w:bCs/>
          <w:sz w:val="20"/>
          <w:szCs w:val="20"/>
        </w:rPr>
        <w:t>) :</w:t>
      </w:r>
      <w:r w:rsidRPr="0008012D">
        <w:rPr>
          <w:sz w:val="20"/>
          <w:szCs w:val="20"/>
        </w:rPr>
        <w:t xml:space="preserve"> Définissent les objectifs souhaités en termes mesurables, qui permettent de vérifier leur réalisation. Ces termes doivent être soit quantifiés, soit basés sur des mesures facilement identifiables </w:t>
      </w:r>
      <w:r w:rsidRPr="0008012D">
        <w:rPr>
          <w:i/>
          <w:iCs/>
          <w:sz w:val="20"/>
          <w:szCs w:val="20"/>
        </w:rPr>
        <w:t xml:space="preserve">(e.g. Assurer l'accès </w:t>
      </w:r>
      <w:r w:rsidRPr="00490235">
        <w:rPr>
          <w:i/>
          <w:iCs/>
          <w:sz w:val="20"/>
          <w:szCs w:val="20"/>
        </w:rPr>
        <w:t>d'au moins 20</w:t>
      </w:r>
      <w:r w:rsidRPr="0008012D">
        <w:rPr>
          <w:i/>
          <w:iCs/>
          <w:sz w:val="20"/>
          <w:szCs w:val="20"/>
        </w:rPr>
        <w:t xml:space="preserve"> journalistes à une assistance juridique rapide, spécialisée et sensible au genre dans le pays cible).</w:t>
      </w:r>
    </w:p>
    <w:p w14:paraId="1CFD0E31" w14:textId="77777777" w:rsidR="0008012D" w:rsidRPr="0008012D" w:rsidRDefault="0008012D" w:rsidP="0008012D">
      <w:pPr>
        <w:spacing w:after="0" w:line="240" w:lineRule="auto"/>
        <w:jc w:val="both"/>
        <w:rPr>
          <w:sz w:val="20"/>
          <w:szCs w:val="20"/>
        </w:rPr>
      </w:pPr>
      <w:r w:rsidRPr="0008012D">
        <w:rPr>
          <w:b/>
          <w:bCs/>
          <w:sz w:val="20"/>
          <w:szCs w:val="20"/>
        </w:rPr>
        <w:t>Atteignable (</w:t>
      </w:r>
      <w:proofErr w:type="spellStart"/>
      <w:r w:rsidRPr="0008012D">
        <w:rPr>
          <w:b/>
          <w:bCs/>
          <w:sz w:val="20"/>
          <w:szCs w:val="20"/>
        </w:rPr>
        <w:t>Achievable</w:t>
      </w:r>
      <w:proofErr w:type="spellEnd"/>
      <w:r w:rsidRPr="0008012D">
        <w:rPr>
          <w:b/>
          <w:bCs/>
          <w:sz w:val="20"/>
          <w:szCs w:val="20"/>
        </w:rPr>
        <w:t>) :</w:t>
      </w:r>
      <w:r w:rsidRPr="0008012D">
        <w:rPr>
          <w:sz w:val="20"/>
          <w:szCs w:val="20"/>
        </w:rPr>
        <w:t xml:space="preserve"> Fixés à un niveau qui est ambitieux mais en même temps réalisable.</w:t>
      </w:r>
    </w:p>
    <w:p w14:paraId="33161D88" w14:textId="77777777" w:rsidR="0008012D" w:rsidRPr="0008012D" w:rsidRDefault="0008012D" w:rsidP="0008012D">
      <w:pPr>
        <w:spacing w:after="0" w:line="240" w:lineRule="auto"/>
        <w:jc w:val="both"/>
        <w:rPr>
          <w:sz w:val="20"/>
          <w:szCs w:val="20"/>
        </w:rPr>
      </w:pPr>
      <w:r w:rsidRPr="0008012D">
        <w:rPr>
          <w:b/>
          <w:bCs/>
          <w:sz w:val="20"/>
          <w:szCs w:val="20"/>
        </w:rPr>
        <w:t xml:space="preserve">Pertinent (Relevant) : </w:t>
      </w:r>
      <w:r w:rsidRPr="0008012D">
        <w:rPr>
          <w:sz w:val="20"/>
          <w:szCs w:val="20"/>
        </w:rPr>
        <w:t>Directement liés au besoin/problème identifié sur le terrain et à ses causes profondes.</w:t>
      </w:r>
    </w:p>
    <w:p w14:paraId="2D67C010" w14:textId="40B75AA7" w:rsidR="003B6360" w:rsidRPr="0008012D" w:rsidRDefault="0008012D" w:rsidP="0008012D">
      <w:pPr>
        <w:spacing w:after="0" w:line="240" w:lineRule="auto"/>
        <w:jc w:val="both"/>
        <w:rPr>
          <w:sz w:val="20"/>
          <w:szCs w:val="20"/>
        </w:rPr>
      </w:pPr>
      <w:r w:rsidRPr="0008012D">
        <w:rPr>
          <w:b/>
          <w:bCs/>
          <w:sz w:val="20"/>
          <w:szCs w:val="20"/>
        </w:rPr>
        <w:t>Temporellement défini (Time-</w:t>
      </w:r>
      <w:proofErr w:type="spellStart"/>
      <w:r w:rsidRPr="0008012D">
        <w:rPr>
          <w:b/>
          <w:bCs/>
          <w:sz w:val="20"/>
          <w:szCs w:val="20"/>
        </w:rPr>
        <w:t>bound</w:t>
      </w:r>
      <w:proofErr w:type="spellEnd"/>
      <w:r w:rsidRPr="0008012D">
        <w:rPr>
          <w:b/>
          <w:bCs/>
          <w:sz w:val="20"/>
          <w:szCs w:val="20"/>
        </w:rPr>
        <w:t xml:space="preserve">) : </w:t>
      </w:r>
      <w:r w:rsidRPr="0008012D">
        <w:rPr>
          <w:sz w:val="20"/>
          <w:szCs w:val="20"/>
        </w:rPr>
        <w:t xml:space="preserve">Liés à une date fixe ou à une </w:t>
      </w:r>
      <w:proofErr w:type="gramStart"/>
      <w:r w:rsidRPr="0008012D">
        <w:rPr>
          <w:sz w:val="20"/>
          <w:szCs w:val="20"/>
        </w:rPr>
        <w:t>période de temps</w:t>
      </w:r>
      <w:proofErr w:type="gramEnd"/>
      <w:r w:rsidRPr="0008012D">
        <w:rPr>
          <w:sz w:val="20"/>
          <w:szCs w:val="20"/>
        </w:rPr>
        <w:t xml:space="preserve"> précise pour permettre l'évaluation de leur réalisation.</w:t>
      </w:r>
    </w:p>
  </w:footnote>
  <w:footnote w:id="3">
    <w:p w14:paraId="464BA2D9" w14:textId="46F6A83F" w:rsidR="002F131A" w:rsidRPr="004D3B68" w:rsidRDefault="002F131A">
      <w:pPr>
        <w:pStyle w:val="FootnoteText"/>
      </w:pPr>
      <w:r>
        <w:rPr>
          <w:rStyle w:val="FootnoteReference"/>
        </w:rPr>
        <w:footnoteRef/>
      </w:r>
      <w:r w:rsidRPr="004D3B68">
        <w:t xml:space="preserve"> </w:t>
      </w:r>
      <w:r w:rsidR="004D3B68" w:rsidRPr="004D3B68">
        <w:t>Le « meilleur rapport qualité-prix » fait référence à l'utilisation optimale des ressources pour obtenir les résultats escomptés. L'optimisation des ressources ne consiste pas à obtenir le coût initial le plus bas. L'évaluation du rapport qualité-prix implique une combinaison d'économie (maintenir les intrants –ressources humaines et financières– aussi bas que possible) ; d'efficience (comment les intrants sont convertis en extrants à transférer aux bénéficiaires) ; et d'efficacité (maintenir la qualité des extrants aussi élevée que possible afin d'avoir le plus grand résultat et impact possible).</w:t>
      </w:r>
    </w:p>
  </w:footnote>
  <w:footnote w:id="4">
    <w:p w14:paraId="33D090DC" w14:textId="0AAB5E79" w:rsidR="00411AB5" w:rsidRPr="00DE70AE" w:rsidRDefault="00411AB5">
      <w:pPr>
        <w:pStyle w:val="FootnoteText"/>
      </w:pPr>
      <w:r>
        <w:rPr>
          <w:rStyle w:val="FootnoteReference"/>
        </w:rPr>
        <w:footnoteRef/>
      </w:r>
      <w:r w:rsidRPr="00DE70AE">
        <w:t xml:space="preserve"> Quantifiée.</w:t>
      </w:r>
    </w:p>
  </w:footnote>
  <w:footnote w:id="5">
    <w:p w14:paraId="5280ADE0" w14:textId="14CC6A86" w:rsidR="0071338D" w:rsidRPr="00893510" w:rsidRDefault="0071338D" w:rsidP="00AC176D">
      <w:pPr>
        <w:pStyle w:val="FootnoteText"/>
        <w:jc w:val="both"/>
      </w:pPr>
      <w:r>
        <w:rPr>
          <w:rStyle w:val="FootnoteReference"/>
        </w:rPr>
        <w:footnoteRef/>
      </w:r>
      <w:r w:rsidRPr="00893510">
        <w:t xml:space="preserve"> </w:t>
      </w:r>
      <w:r w:rsidR="00893510" w:rsidRPr="00893510">
        <w:t xml:space="preserve">Lorsque des sommes forfaitaires </w:t>
      </w:r>
      <w:r w:rsidR="00893510">
        <w:t xml:space="preserve">(« lump </w:t>
      </w:r>
      <w:proofErr w:type="spellStart"/>
      <w:r w:rsidR="00893510">
        <w:t>sum</w:t>
      </w:r>
      <w:proofErr w:type="spellEnd"/>
      <w:r w:rsidR="00893510">
        <w:t xml:space="preserve"> ») </w:t>
      </w:r>
      <w:r w:rsidR="00893510" w:rsidRPr="00893510">
        <w:t>sont incluses, des informations détaillées doivent être fournies dans l</w:t>
      </w:r>
      <w:r w:rsidR="003A3509">
        <w:t>a description de l’élément du budget</w:t>
      </w:r>
      <w:r w:rsidR="00893510" w:rsidRPr="00893510">
        <w:t xml:space="preserve"> concernant les coûts couverts par </w:t>
      </w:r>
      <w:r w:rsidR="003A3509">
        <w:t>dite</w:t>
      </w:r>
      <w:r w:rsidR="00893510" w:rsidRPr="00893510">
        <w:t xml:space="preserve"> somme forfaitaire (par exemple, « Événement de lancement »</w:t>
      </w:r>
      <w:r w:rsidR="002D7CA1">
        <w:t xml:space="preserve"> –</w:t>
      </w:r>
      <w:r w:rsidR="00893510" w:rsidRPr="00893510">
        <w:t xml:space="preserve"> Somme forfaitaire </w:t>
      </w:r>
      <w:r w:rsidR="00E46D41">
        <w:t>–</w:t>
      </w:r>
      <w:r w:rsidR="00893510" w:rsidRPr="00893510">
        <w:t xml:space="preserve"> 1 000 USD </w:t>
      </w:r>
      <w:r w:rsidR="0054348E">
        <w:t>–</w:t>
      </w:r>
      <w:r w:rsidR="00893510" w:rsidRPr="00893510">
        <w:t xml:space="preserve"> Justification :</w:t>
      </w:r>
      <w:r w:rsidR="0054348E">
        <w:t xml:space="preserve"> Salle de conférence</w:t>
      </w:r>
      <w:r w:rsidR="00893510" w:rsidRPr="00893510">
        <w:t xml:space="preserve"> (estimé à 500 $ sur la base de...) ; rafraîchissements (estimés à 200 $ pour 30 participants sur la base de 3 devis) ; animateur (estimé à 100 $ </w:t>
      </w:r>
      <w:r w:rsidR="00671BEE">
        <w:t>selon le prix du</w:t>
      </w:r>
      <w:r w:rsidR="00167983">
        <w:t xml:space="preserve"> </w:t>
      </w:r>
      <w:r w:rsidR="00893510" w:rsidRPr="00893510">
        <w:t xml:space="preserve"> marché) ; indemnité de transport (estimée à 200 $ sur la base du prix actuel des transports publics).</w:t>
      </w:r>
    </w:p>
  </w:footnote>
  <w:footnote w:id="6">
    <w:p w14:paraId="273B5106" w14:textId="2258BA23" w:rsidR="00383708" w:rsidRPr="006736AD" w:rsidRDefault="00383708" w:rsidP="00BC3CFE">
      <w:pPr>
        <w:pStyle w:val="FootnoteText"/>
        <w:jc w:val="both"/>
      </w:pPr>
      <w:r>
        <w:rPr>
          <w:rStyle w:val="FootnoteReference"/>
        </w:rPr>
        <w:footnoteRef/>
      </w:r>
      <w:r w:rsidRPr="006736AD">
        <w:t xml:space="preserve"> </w:t>
      </w:r>
      <w:r w:rsidR="00FA50DF">
        <w:t>L</w:t>
      </w:r>
      <w:r w:rsidR="006736AD" w:rsidRPr="006736AD">
        <w:t>es frais</w:t>
      </w:r>
      <w:r w:rsidR="006736AD">
        <w:t xml:space="preserve"> </w:t>
      </w:r>
      <w:r w:rsidR="00FA50DF">
        <w:t xml:space="preserve">bancaires </w:t>
      </w:r>
      <w:r w:rsidR="006736AD" w:rsidRPr="006736AD">
        <w:t>intermédiaires</w:t>
      </w:r>
      <w:r w:rsidR="006736AD">
        <w:t>,</w:t>
      </w:r>
      <w:r w:rsidR="006736AD" w:rsidRPr="006736AD">
        <w:t xml:space="preserve"> ainsi que </w:t>
      </w:r>
      <w:r w:rsidR="00FA50DF">
        <w:t>ceux</w:t>
      </w:r>
      <w:r w:rsidR="006736AD" w:rsidRPr="006736AD">
        <w:t xml:space="preserve"> du partenaire d</w:t>
      </w:r>
      <w:r w:rsidR="006736AD">
        <w:t xml:space="preserve">’exécution </w:t>
      </w:r>
      <w:r w:rsidR="006736AD" w:rsidRPr="006736AD">
        <w:t>associés aux transferts de fonds de l’UNESCO au partenaire d</w:t>
      </w:r>
      <w:r w:rsidR="00FA50DF">
        <w:t xml:space="preserve">’exécution </w:t>
      </w:r>
      <w:r w:rsidR="006736AD" w:rsidRPr="006736AD">
        <w:t>sont à la charge</w:t>
      </w:r>
      <w:r w:rsidR="00FA50DF">
        <w:t xml:space="preserve"> de ce dernier.</w:t>
      </w:r>
    </w:p>
  </w:footnote>
  <w:footnote w:id="7">
    <w:p w14:paraId="3EA0339D" w14:textId="02B70BD9" w:rsidR="00094A2B" w:rsidRPr="00C5708A" w:rsidRDefault="00094A2B" w:rsidP="00094A2B">
      <w:pPr>
        <w:spacing w:line="240" w:lineRule="auto"/>
        <w:jc w:val="both"/>
        <w:rPr>
          <w:sz w:val="20"/>
          <w:szCs w:val="20"/>
        </w:rPr>
      </w:pPr>
      <w:r>
        <w:rPr>
          <w:rStyle w:val="FootnoteReference"/>
        </w:rPr>
        <w:footnoteRef/>
      </w:r>
      <w:r w:rsidRPr="00C5708A">
        <w:t xml:space="preserve"> </w:t>
      </w:r>
      <w:r w:rsidR="00C5708A" w:rsidRPr="00C5708A">
        <w:rPr>
          <w:b/>
          <w:bCs/>
          <w:sz w:val="20"/>
          <w:szCs w:val="20"/>
        </w:rPr>
        <w:t xml:space="preserve">Meilleur rapport qualité-prix : </w:t>
      </w:r>
      <w:r w:rsidR="00C5708A" w:rsidRPr="00C5708A">
        <w:rPr>
          <w:sz w:val="20"/>
          <w:szCs w:val="20"/>
        </w:rPr>
        <w:t>L'UNESCO acceptera les propositions de partenariat répondant effectivement aux exigences de l'UNESCO (telles qu'énoncées dans cet Appel) sur la base d'une évaluation intégrée des éléments de la proposition (y compris les facteurs techniques, organisationnels et financiers) à la lumière de leur importance relative (c'est-à-dire les coûts et avantages du cycle de vie, la fiabilité, la qualité, l'expérience, la réputation, les performances passées, le réalisme et le caractère raisonnable des coûts/frais). Les paramètres de l'UNESCO comprennent également des facteurs sociaux et environnementaux, ainsi que les objectifs stratégiques du GMDF. Pour garantir le meilleur rapport qualité-prix, l’Appel et les processus d'évaluation et de sélection doivent maximiser la concurrence, garantir une évaluation impartiale et complète des propositions et assurer la sélection des candidats dont les propositions présentent le plus haut degré de pertinence et de réalisme, et dont les performances sont censées répondre au mieux aux normes, spécifications, au cahier de charges et au mandat de l'UNESCO.</w:t>
      </w:r>
    </w:p>
    <w:p w14:paraId="11132D80" w14:textId="77777777" w:rsidR="0046494F" w:rsidRPr="0046494F" w:rsidRDefault="0046494F" w:rsidP="00094A2B">
      <w:pPr>
        <w:spacing w:line="240" w:lineRule="auto"/>
        <w:jc w:val="both"/>
        <w:rPr>
          <w:sz w:val="20"/>
          <w:szCs w:val="20"/>
        </w:rPr>
      </w:pPr>
      <w:r w:rsidRPr="0046494F">
        <w:rPr>
          <w:b/>
          <w:bCs/>
          <w:sz w:val="20"/>
          <w:szCs w:val="20"/>
        </w:rPr>
        <w:t xml:space="preserve">Equité, Intégrité et Transparence </w:t>
      </w:r>
      <w:r w:rsidRPr="0046494F">
        <w:rPr>
          <w:sz w:val="20"/>
          <w:szCs w:val="20"/>
        </w:rPr>
        <w:t>: L'équité implique d'être raisonnable aussi bien qu'impartial, et de considérer chacun de la même manière. L'intégrité concerne des aspects du comportement personnel et institutionnel, notamment des qualités telles que l'honnêteté, la véracité, l'impartialité et l'incorruptibilité. La transparence, la visibilité et l'ouverture sans entrave de toutes les transactions, garantit que toutes les informations sur les politiques, procédures, opportunités et processus sont clairement définies et largement diffusées et disponibles. Un système transparent augmente la possibilité de détecter tout écart par rapport à un traitement juste et égalitaire, et rend donc ces écarts moins susceptibles de se produire. La transparence protège ainsi l'intégrité du processus et les intérêts de l'UNESCO. L'UNESCO est responsable de la protection de l'intégrité du processus et du maintien de l'équité dans sa relation avec tous les bénéficiaires potentiels. Une sélection judicieuse des bénéficiaires (c.-à-d. transparence du processus ; probité ; dossiers complets et exacts ; responsabilité ; confidentialité) doit être garantie par des règles et des procédures réalisables et sans ambiguïté.</w:t>
      </w:r>
    </w:p>
    <w:p w14:paraId="419B7CDC" w14:textId="7A184BDC" w:rsidR="00094A2B" w:rsidRPr="006224DB" w:rsidRDefault="001E2DF6" w:rsidP="00094A2B">
      <w:pPr>
        <w:spacing w:line="240" w:lineRule="auto"/>
        <w:jc w:val="both"/>
        <w:rPr>
          <w:sz w:val="20"/>
          <w:szCs w:val="20"/>
        </w:rPr>
      </w:pPr>
      <w:r w:rsidRPr="001E2DF6">
        <w:rPr>
          <w:b/>
          <w:bCs/>
          <w:sz w:val="20"/>
          <w:szCs w:val="20"/>
        </w:rPr>
        <w:t xml:space="preserve">Economie et Efficacité : </w:t>
      </w:r>
      <w:r w:rsidRPr="001E2DF6">
        <w:rPr>
          <w:sz w:val="20"/>
          <w:szCs w:val="20"/>
        </w:rPr>
        <w:t xml:space="preserve">L'économie et l'efficacité se réfèrent au niveau de réussite de l'UNESCO en ce qui concerne la mise en œuvre de ses opérations, tout en garantissant la bonne quantité et la bonne qualité, au bon moment, au bon prix et au bon endroit, ainsi qu'au degré de minimisation des coûts globaux dans l’intérêt du budget global de l’Organisation. </w:t>
      </w:r>
      <w:r w:rsidRPr="006224DB">
        <w:rPr>
          <w:sz w:val="20"/>
          <w:szCs w:val="20"/>
        </w:rPr>
        <w:t>Par ce principe, l'UNESCO protège les intérêts des États membres et des donateurs dans la sélection des partenaires. L'efficacité permet de garantir que l'intérêt des bénéficiaires soit satisfait grâce à la sélection de partenaires qui peuvent répondre à leurs besoins.</w:t>
      </w:r>
    </w:p>
    <w:p w14:paraId="05E5A445" w14:textId="22E8F477" w:rsidR="00094A2B" w:rsidRPr="006224DB" w:rsidRDefault="00094A2B">
      <w:pPr>
        <w:pStyle w:val="FootnoteText"/>
      </w:pPr>
    </w:p>
  </w:footnote>
  <w:footnote w:id="8">
    <w:p w14:paraId="56E10A18" w14:textId="1FB27862" w:rsidR="007E4C07" w:rsidRPr="007E4C07" w:rsidRDefault="007E4C07" w:rsidP="007E4C07">
      <w:pPr>
        <w:pStyle w:val="FootnoteText"/>
        <w:jc w:val="both"/>
      </w:pPr>
      <w:r>
        <w:rPr>
          <w:rStyle w:val="FootnoteReference"/>
        </w:rPr>
        <w:footnoteRef/>
      </w:r>
      <w:r w:rsidRPr="007E4C07">
        <w:t xml:space="preserve"> Aux fins de cet Appel, les partenaires « présélectionnés » sont ceux soumettant la proposition de partenariat la mieux classée et ensuite invités à entamer des négociations avec l'UNESCO pour rationaliser le budget et les activités proposées et/ou définir les termes de référence d'un Accord de Partenariat d’Exécution, avant la validation et la signature du contrat.</w:t>
      </w:r>
    </w:p>
  </w:footnote>
  <w:footnote w:id="9">
    <w:p w14:paraId="1BEB761F" w14:textId="3AE3E6E0" w:rsidR="007C69C6" w:rsidRDefault="007C69C6" w:rsidP="007C69C6">
      <w:pPr>
        <w:pStyle w:val="FootnoteText"/>
        <w:jc w:val="both"/>
      </w:pPr>
      <w:r>
        <w:rPr>
          <w:rStyle w:val="FootnoteReference"/>
        </w:rPr>
        <w:footnoteRef/>
      </w:r>
      <w:r>
        <w:t xml:space="preserve"> </w:t>
      </w:r>
      <w:r w:rsidRPr="007C69C6">
        <w:t xml:space="preserve">Un rapport narratif final résumant toutes les actions entreprises pendant la durée de l'IPA. Le rapport fournira une analyse du progrès réalisé par rapport aux objectifs dans le respect des contraintes de temps, de quantité, de qualité et de budget : c’est-à-dire, une évaluation analytique de la performance du projet en termes de progrès vers l'obtention des résultats vis-à-vis les résultats attendus du projet, des réalisations produites et de la mise en œuvre des activités, y compris des références aux défis de la mise en œuvre, aux actions correctives et aux enseignements tirés ; une proposition sur les prochaines étapes ou actions pour aller au-delà des objectifs du projet ; et des informations sur la manière dont les considérations d'égalité des genres ont été incluses tout au long du développement et de la mise en œuvre du projet, en fournissant des données ventilées par </w:t>
      </w:r>
      <w:r>
        <w:t>genre.</w:t>
      </w:r>
    </w:p>
  </w:footnote>
  <w:footnote w:id="10">
    <w:p w14:paraId="29177405" w14:textId="34FEF1F3" w:rsidR="00790957" w:rsidRDefault="00790957" w:rsidP="00884D89">
      <w:pPr>
        <w:pStyle w:val="FootnoteText"/>
        <w:jc w:val="both"/>
      </w:pPr>
      <w:r>
        <w:rPr>
          <w:rStyle w:val="FootnoteReference"/>
        </w:rPr>
        <w:footnoteRef/>
      </w:r>
      <w:r>
        <w:t xml:space="preserve"> </w:t>
      </w:r>
      <w:r w:rsidR="00884D89">
        <w:t>T</w:t>
      </w:r>
      <w:r w:rsidRPr="00790957">
        <w:t>ous les rapports de dépenses doivent être certifiés par un fonctionnaire autorisé de l'institution partenaire attestant que les dépenses déclarées sont exactes, que les ressources ont été utilisées conformément aux dispositions du budget et aux termes et conditions de l'Accord de Partenariat d’Exécution, et que toutes les dépenses sont dûment appuyées par les pièces justificatives pertinentes. L'UNESCO n'acceptera que les dépenses qui seront conformes au budget approuvé. Le rapport financier doit être certifié par l'autorité financière du partenaire (contrôleur ou équivalent), ou par un auditeur externe du partenaire.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0599" w14:textId="2E08F7CE" w:rsidR="00EA3E90" w:rsidRPr="00012F96" w:rsidRDefault="00EA3E90" w:rsidP="00EA3E90">
    <w:pPr>
      <w:spacing w:after="0"/>
      <w:jc w:val="right"/>
      <w:rPr>
        <w:i/>
        <w:iCs/>
        <w:sz w:val="22"/>
        <w:szCs w:val="22"/>
      </w:rPr>
    </w:pPr>
    <w:r w:rsidRPr="00EA3E90">
      <w:rPr>
        <w:noProof/>
        <w:sz w:val="22"/>
        <w:szCs w:val="22"/>
        <w:lang w:eastAsia="fr-FR"/>
      </w:rPr>
      <w:drawing>
        <wp:anchor distT="0" distB="0" distL="114300" distR="114300" simplePos="0" relativeHeight="251658240" behindDoc="0" locked="0" layoutInCell="1" allowOverlap="1" wp14:anchorId="07CC9B6C" wp14:editId="28FCF7A9">
          <wp:simplePos x="0" y="0"/>
          <wp:positionH relativeFrom="column">
            <wp:posOffset>0</wp:posOffset>
          </wp:positionH>
          <wp:positionV relativeFrom="paragraph">
            <wp:posOffset>-635</wp:posOffset>
          </wp:positionV>
          <wp:extent cx="2057400" cy="438150"/>
          <wp:effectExtent l="0" t="0" r="0" b="0"/>
          <wp:wrapNone/>
          <wp:docPr id="549971416" name="Picture 549971416"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blue and white logo&#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2F96">
      <w:rPr>
        <w:b/>
        <w:bCs/>
        <w:i/>
        <w:iCs/>
        <w:sz w:val="22"/>
        <w:szCs w:val="22"/>
      </w:rPr>
      <w:t>R</w:t>
    </w:r>
    <w:r w:rsidR="008A0A0F">
      <w:rPr>
        <w:b/>
        <w:bCs/>
        <w:i/>
        <w:iCs/>
        <w:sz w:val="22"/>
        <w:szCs w:val="22"/>
      </w:rPr>
      <w:t>é</w:t>
    </w:r>
    <w:r w:rsidRPr="00012F96">
      <w:rPr>
        <w:b/>
        <w:bCs/>
        <w:i/>
        <w:iCs/>
        <w:sz w:val="22"/>
        <w:szCs w:val="22"/>
      </w:rPr>
      <w:t>f</w:t>
    </w:r>
    <w:r w:rsidR="008A0A0F">
      <w:rPr>
        <w:b/>
        <w:bCs/>
        <w:i/>
        <w:iCs/>
        <w:sz w:val="22"/>
        <w:szCs w:val="22"/>
      </w:rPr>
      <w:t>é</w:t>
    </w:r>
    <w:r w:rsidRPr="00012F96">
      <w:rPr>
        <w:b/>
        <w:bCs/>
        <w:i/>
        <w:iCs/>
        <w:sz w:val="22"/>
        <w:szCs w:val="22"/>
      </w:rPr>
      <w:t>rence</w:t>
    </w:r>
    <w:r w:rsidR="008A0A0F">
      <w:rPr>
        <w:b/>
        <w:bCs/>
        <w:i/>
        <w:iCs/>
        <w:sz w:val="22"/>
        <w:szCs w:val="22"/>
      </w:rPr>
      <w:t xml:space="preserve"> </w:t>
    </w:r>
    <w:r w:rsidRPr="00012F96">
      <w:rPr>
        <w:b/>
        <w:bCs/>
        <w:i/>
        <w:iCs/>
        <w:sz w:val="22"/>
        <w:szCs w:val="22"/>
      </w:rPr>
      <w:t>:</w:t>
    </w:r>
    <w:r w:rsidRPr="00012F96">
      <w:rPr>
        <w:i/>
        <w:iCs/>
        <w:sz w:val="22"/>
        <w:szCs w:val="22"/>
      </w:rPr>
      <w:t xml:space="preserve"> CI/FMD/FEJ/2024/</w:t>
    </w:r>
    <w:r w:rsidR="0008249A" w:rsidRPr="00012F96">
      <w:rPr>
        <w:i/>
        <w:iCs/>
        <w:sz w:val="22"/>
        <w:szCs w:val="22"/>
      </w:rPr>
      <w:t>80</w:t>
    </w:r>
  </w:p>
  <w:p w14:paraId="1CB97ED1" w14:textId="5F677DE8" w:rsidR="00012F96" w:rsidRPr="00012F96" w:rsidRDefault="00012F96" w:rsidP="00012F96">
    <w:pPr>
      <w:jc w:val="right"/>
      <w:rPr>
        <w:i/>
        <w:iCs/>
        <w:sz w:val="22"/>
        <w:szCs w:val="22"/>
      </w:rPr>
    </w:pPr>
    <w:r w:rsidRPr="00012F96">
      <w:rPr>
        <w:b/>
        <w:bCs/>
        <w:i/>
        <w:iCs/>
        <w:sz w:val="22"/>
        <w:szCs w:val="22"/>
      </w:rPr>
      <w:t xml:space="preserve">Date butoir : </w:t>
    </w:r>
    <w:r w:rsidR="00F84BF8">
      <w:rPr>
        <w:i/>
        <w:iCs/>
        <w:sz w:val="22"/>
        <w:szCs w:val="22"/>
      </w:rPr>
      <w:t>Vendredi</w:t>
    </w:r>
    <w:r w:rsidRPr="00012F96">
      <w:rPr>
        <w:i/>
        <w:iCs/>
        <w:sz w:val="22"/>
        <w:szCs w:val="22"/>
      </w:rPr>
      <w:t xml:space="preserve"> </w:t>
    </w:r>
    <w:r w:rsidR="006F191A">
      <w:rPr>
        <w:i/>
        <w:iCs/>
        <w:sz w:val="22"/>
        <w:szCs w:val="22"/>
      </w:rPr>
      <w:t>18</w:t>
    </w:r>
    <w:r w:rsidR="006F191A" w:rsidRPr="00012F96">
      <w:rPr>
        <w:i/>
        <w:iCs/>
        <w:sz w:val="22"/>
        <w:szCs w:val="22"/>
      </w:rPr>
      <w:t xml:space="preserve"> </w:t>
    </w:r>
    <w:r w:rsidRPr="00012F96">
      <w:rPr>
        <w:i/>
        <w:iCs/>
        <w:sz w:val="22"/>
        <w:szCs w:val="22"/>
      </w:rPr>
      <w:t>octobre 2024, 23</w:t>
    </w:r>
    <w:r w:rsidR="003F1A3F">
      <w:rPr>
        <w:i/>
        <w:iCs/>
        <w:sz w:val="22"/>
        <w:szCs w:val="22"/>
      </w:rPr>
      <w:t>h</w:t>
    </w:r>
    <w:r w:rsidRPr="00012F96">
      <w:rPr>
        <w:i/>
        <w:iCs/>
        <w:sz w:val="22"/>
        <w:szCs w:val="22"/>
      </w:rPr>
      <w:t>59 GMT+2</w:t>
    </w:r>
  </w:p>
  <w:p w14:paraId="4448D909" w14:textId="1545401E" w:rsidR="00EA3E90" w:rsidRPr="00012F96" w:rsidRDefault="00EA3E90" w:rsidP="00012F96">
    <w:pPr>
      <w:jc w:val="right"/>
      <w:rPr>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4AAC"/>
    <w:multiLevelType w:val="hybridMultilevel"/>
    <w:tmpl w:val="B26681FA"/>
    <w:lvl w:ilvl="0" w:tplc="A0B0EE0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1E33D3"/>
    <w:multiLevelType w:val="hybridMultilevel"/>
    <w:tmpl w:val="BF9AE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895418"/>
    <w:multiLevelType w:val="hybridMultilevel"/>
    <w:tmpl w:val="E6F2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F10B0"/>
    <w:multiLevelType w:val="hybridMultilevel"/>
    <w:tmpl w:val="B218E1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2D36B6A"/>
    <w:multiLevelType w:val="multilevel"/>
    <w:tmpl w:val="19B6C8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3C05FF2"/>
    <w:multiLevelType w:val="hybridMultilevel"/>
    <w:tmpl w:val="468E1F44"/>
    <w:lvl w:ilvl="0" w:tplc="4AC4A106">
      <w:start w:val="1"/>
      <w:numFmt w:val="bullet"/>
      <w:lvlText w:val="-"/>
      <w:lvlJc w:val="left"/>
      <w:pPr>
        <w:ind w:left="720" w:hanging="360"/>
      </w:pPr>
      <w:rPr>
        <w:rFonts w:ascii="Aptos" w:eastAsiaTheme="minorEastAsia"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105B30"/>
    <w:multiLevelType w:val="hybridMultilevel"/>
    <w:tmpl w:val="1616B2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DA0CC4"/>
    <w:multiLevelType w:val="hybridMultilevel"/>
    <w:tmpl w:val="D452C97C"/>
    <w:lvl w:ilvl="0" w:tplc="4AC4A106">
      <w:start w:val="1"/>
      <w:numFmt w:val="bullet"/>
      <w:lvlText w:val="-"/>
      <w:lvlJc w:val="left"/>
      <w:pPr>
        <w:ind w:left="720" w:hanging="360"/>
      </w:pPr>
      <w:rPr>
        <w:rFonts w:ascii="Aptos" w:eastAsiaTheme="minorEastAsia"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3E0975"/>
    <w:multiLevelType w:val="hybridMultilevel"/>
    <w:tmpl w:val="1F600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4431DA"/>
    <w:multiLevelType w:val="hybridMultilevel"/>
    <w:tmpl w:val="77C67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B51617"/>
    <w:multiLevelType w:val="multilevel"/>
    <w:tmpl w:val="6DCC898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3430AA"/>
    <w:multiLevelType w:val="hybridMultilevel"/>
    <w:tmpl w:val="5C267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759DC"/>
    <w:multiLevelType w:val="multilevel"/>
    <w:tmpl w:val="026C3E4E"/>
    <w:lvl w:ilvl="0">
      <w:start w:val="5"/>
      <w:numFmt w:val="lowerLetter"/>
      <w:lvlText w:val="%1."/>
      <w:lvlJc w:val="left"/>
      <w:pPr>
        <w:tabs>
          <w:tab w:val="num" w:pos="720"/>
        </w:tabs>
        <w:ind w:left="720" w:hanging="360"/>
      </w:pPr>
    </w:lvl>
    <w:lvl w:ilvl="1">
      <w:numFmt w:val="bullet"/>
      <w:lvlText w:val="•"/>
      <w:lvlJc w:val="left"/>
      <w:pPr>
        <w:ind w:left="1785" w:hanging="705"/>
      </w:pPr>
      <w:rPr>
        <w:rFonts w:ascii="Aptos" w:eastAsiaTheme="minorEastAsia" w:hAnsi="Aptos" w:cstheme="minorBid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6756D9"/>
    <w:multiLevelType w:val="hybridMultilevel"/>
    <w:tmpl w:val="04B261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7E5B46"/>
    <w:multiLevelType w:val="hybridMultilevel"/>
    <w:tmpl w:val="C35A0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753474"/>
    <w:multiLevelType w:val="hybridMultilevel"/>
    <w:tmpl w:val="87CC1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3A52C4"/>
    <w:multiLevelType w:val="hybridMultilevel"/>
    <w:tmpl w:val="EE9EA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2D7E57"/>
    <w:multiLevelType w:val="hybridMultilevel"/>
    <w:tmpl w:val="683C331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85064B"/>
    <w:multiLevelType w:val="hybridMultilevel"/>
    <w:tmpl w:val="8CFE88B8"/>
    <w:lvl w:ilvl="0" w:tplc="2236B71E">
      <w:start w:val="1"/>
      <w:numFmt w:val="lowerLetter"/>
      <w:lvlText w:val="%1."/>
      <w:lvlJc w:val="left"/>
      <w:pPr>
        <w:ind w:left="720" w:hanging="360"/>
      </w:pPr>
      <w:rPr>
        <w:rFonts w:eastAsia="Arial Unicode M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C55DE0"/>
    <w:multiLevelType w:val="multilevel"/>
    <w:tmpl w:val="E9F4FDB2"/>
    <w:lvl w:ilvl="0">
      <w:start w:val="1"/>
      <w:numFmt w:val="bullet"/>
      <w:lvlText w:val=""/>
      <w:lvlJc w:val="left"/>
      <w:pPr>
        <w:tabs>
          <w:tab w:val="num" w:pos="720"/>
        </w:tabs>
        <w:ind w:left="720" w:hanging="360"/>
      </w:pPr>
      <w:rPr>
        <w:rFonts w:ascii="Symbol" w:hAnsi="Symbol" w:hint="default"/>
      </w:rPr>
    </w:lvl>
    <w:lvl w:ilvl="1">
      <w:numFmt w:val="bullet"/>
      <w:lvlText w:val="•"/>
      <w:lvlJc w:val="left"/>
      <w:pPr>
        <w:ind w:left="1785" w:hanging="705"/>
      </w:pPr>
      <w:rPr>
        <w:rFonts w:ascii="Aptos" w:eastAsiaTheme="minorEastAsia" w:hAnsi="Aptos" w:cstheme="minorBid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6605899"/>
    <w:multiLevelType w:val="hybridMultilevel"/>
    <w:tmpl w:val="035087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EC43CE"/>
    <w:multiLevelType w:val="hybridMultilevel"/>
    <w:tmpl w:val="F064D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6A55CD"/>
    <w:multiLevelType w:val="hybridMultilevel"/>
    <w:tmpl w:val="8D72C080"/>
    <w:lvl w:ilvl="0" w:tplc="336E913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0846E4"/>
    <w:multiLevelType w:val="multilevel"/>
    <w:tmpl w:val="B2EEF3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C467D43"/>
    <w:multiLevelType w:val="multilevel"/>
    <w:tmpl w:val="8C40FCE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1566D0"/>
    <w:multiLevelType w:val="hybridMultilevel"/>
    <w:tmpl w:val="6BF4F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CDB3BFF"/>
    <w:multiLevelType w:val="multilevel"/>
    <w:tmpl w:val="B89CDF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0111966">
    <w:abstractNumId w:val="9"/>
  </w:num>
  <w:num w:numId="2" w16cid:durableId="201942751">
    <w:abstractNumId w:val="0"/>
  </w:num>
  <w:num w:numId="3" w16cid:durableId="709500883">
    <w:abstractNumId w:val="32"/>
  </w:num>
  <w:num w:numId="4" w16cid:durableId="433474218">
    <w:abstractNumId w:val="25"/>
  </w:num>
  <w:num w:numId="5" w16cid:durableId="1368598533">
    <w:abstractNumId w:val="33"/>
  </w:num>
  <w:num w:numId="6" w16cid:durableId="551115811">
    <w:abstractNumId w:val="8"/>
  </w:num>
  <w:num w:numId="7" w16cid:durableId="298807696">
    <w:abstractNumId w:val="40"/>
  </w:num>
  <w:num w:numId="8" w16cid:durableId="863252575">
    <w:abstractNumId w:val="31"/>
  </w:num>
  <w:num w:numId="9" w16cid:durableId="475222237">
    <w:abstractNumId w:val="1"/>
  </w:num>
  <w:num w:numId="10" w16cid:durableId="2032947778">
    <w:abstractNumId w:val="28"/>
  </w:num>
  <w:num w:numId="11" w16cid:durableId="1093358844">
    <w:abstractNumId w:val="11"/>
  </w:num>
  <w:num w:numId="12" w16cid:durableId="124587923">
    <w:abstractNumId w:val="22"/>
  </w:num>
  <w:num w:numId="13" w16cid:durableId="917595956">
    <w:abstractNumId w:val="3"/>
  </w:num>
  <w:num w:numId="14" w16cid:durableId="2010478401">
    <w:abstractNumId w:val="30"/>
  </w:num>
  <w:num w:numId="15" w16cid:durableId="880288493">
    <w:abstractNumId w:val="15"/>
  </w:num>
  <w:num w:numId="16" w16cid:durableId="149641610">
    <w:abstractNumId w:val="20"/>
  </w:num>
  <w:num w:numId="17" w16cid:durableId="1554929906">
    <w:abstractNumId w:val="38"/>
  </w:num>
  <w:num w:numId="18" w16cid:durableId="1765421906">
    <w:abstractNumId w:val="4"/>
  </w:num>
  <w:num w:numId="19" w16cid:durableId="245067973">
    <w:abstractNumId w:val="7"/>
  </w:num>
  <w:num w:numId="20" w16cid:durableId="1515731896">
    <w:abstractNumId w:val="23"/>
  </w:num>
  <w:num w:numId="21" w16cid:durableId="1356930833">
    <w:abstractNumId w:val="18"/>
  </w:num>
  <w:num w:numId="22" w16cid:durableId="2144535571">
    <w:abstractNumId w:val="19"/>
  </w:num>
  <w:num w:numId="23" w16cid:durableId="1693723414">
    <w:abstractNumId w:val="37"/>
  </w:num>
  <w:num w:numId="24" w16cid:durableId="1829056023">
    <w:abstractNumId w:val="14"/>
  </w:num>
  <w:num w:numId="25" w16cid:durableId="862986121">
    <w:abstractNumId w:val="34"/>
  </w:num>
  <w:num w:numId="26" w16cid:durableId="1948658376">
    <w:abstractNumId w:val="5"/>
  </w:num>
  <w:num w:numId="27" w16cid:durableId="1598556163">
    <w:abstractNumId w:val="35"/>
  </w:num>
  <w:num w:numId="28" w16cid:durableId="207648102">
    <w:abstractNumId w:val="39"/>
  </w:num>
  <w:num w:numId="29" w16cid:durableId="2069572157">
    <w:abstractNumId w:val="17"/>
  </w:num>
  <w:num w:numId="30" w16cid:durableId="381446359">
    <w:abstractNumId w:val="12"/>
  </w:num>
  <w:num w:numId="31" w16cid:durableId="902103099">
    <w:abstractNumId w:val="2"/>
  </w:num>
  <w:num w:numId="32" w16cid:durableId="644505542">
    <w:abstractNumId w:val="29"/>
  </w:num>
  <w:num w:numId="33" w16cid:durableId="109859995">
    <w:abstractNumId w:val="27"/>
  </w:num>
  <w:num w:numId="34" w16cid:durableId="707610112">
    <w:abstractNumId w:val="36"/>
  </w:num>
  <w:num w:numId="35" w16cid:durableId="517695619">
    <w:abstractNumId w:val="13"/>
  </w:num>
  <w:num w:numId="36" w16cid:durableId="767577451">
    <w:abstractNumId w:val="16"/>
  </w:num>
  <w:num w:numId="37" w16cid:durableId="1358237376">
    <w:abstractNumId w:val="41"/>
  </w:num>
  <w:num w:numId="38" w16cid:durableId="703747778">
    <w:abstractNumId w:val="6"/>
  </w:num>
  <w:num w:numId="39" w16cid:durableId="1610620337">
    <w:abstractNumId w:val="24"/>
  </w:num>
  <w:num w:numId="40" w16cid:durableId="1237395161">
    <w:abstractNumId w:val="10"/>
  </w:num>
  <w:num w:numId="41" w16cid:durableId="2033799334">
    <w:abstractNumId w:val="21"/>
  </w:num>
  <w:num w:numId="42" w16cid:durableId="117376666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DF"/>
    <w:rsid w:val="000014C4"/>
    <w:rsid w:val="0000219B"/>
    <w:rsid w:val="000032D7"/>
    <w:rsid w:val="000048B1"/>
    <w:rsid w:val="000069EB"/>
    <w:rsid w:val="000117C9"/>
    <w:rsid w:val="00012069"/>
    <w:rsid w:val="00012F96"/>
    <w:rsid w:val="000136E1"/>
    <w:rsid w:val="000179DF"/>
    <w:rsid w:val="000212DE"/>
    <w:rsid w:val="000226A6"/>
    <w:rsid w:val="000231DF"/>
    <w:rsid w:val="000232D7"/>
    <w:rsid w:val="0002606E"/>
    <w:rsid w:val="0002790F"/>
    <w:rsid w:val="00030995"/>
    <w:rsid w:val="00032F12"/>
    <w:rsid w:val="00033CBC"/>
    <w:rsid w:val="00035CCB"/>
    <w:rsid w:val="000375E7"/>
    <w:rsid w:val="0004026B"/>
    <w:rsid w:val="000415D1"/>
    <w:rsid w:val="00041B84"/>
    <w:rsid w:val="00041EF0"/>
    <w:rsid w:val="0004246C"/>
    <w:rsid w:val="00044DCB"/>
    <w:rsid w:val="0004586B"/>
    <w:rsid w:val="00046962"/>
    <w:rsid w:val="00050989"/>
    <w:rsid w:val="0005528E"/>
    <w:rsid w:val="0005707C"/>
    <w:rsid w:val="000613A2"/>
    <w:rsid w:val="00061654"/>
    <w:rsid w:val="00063B4C"/>
    <w:rsid w:val="0006456F"/>
    <w:rsid w:val="00065F13"/>
    <w:rsid w:val="00070A66"/>
    <w:rsid w:val="000734A5"/>
    <w:rsid w:val="000763B9"/>
    <w:rsid w:val="00077845"/>
    <w:rsid w:val="0008012D"/>
    <w:rsid w:val="00082134"/>
    <w:rsid w:val="0008249A"/>
    <w:rsid w:val="00082D69"/>
    <w:rsid w:val="00083A1F"/>
    <w:rsid w:val="000847E5"/>
    <w:rsid w:val="0008598E"/>
    <w:rsid w:val="00085EA2"/>
    <w:rsid w:val="000877A5"/>
    <w:rsid w:val="00092863"/>
    <w:rsid w:val="00094A2B"/>
    <w:rsid w:val="00094F43"/>
    <w:rsid w:val="00095C15"/>
    <w:rsid w:val="00097049"/>
    <w:rsid w:val="000A1CC8"/>
    <w:rsid w:val="000A28D3"/>
    <w:rsid w:val="000B177E"/>
    <w:rsid w:val="000B36D8"/>
    <w:rsid w:val="000B4C49"/>
    <w:rsid w:val="000B5263"/>
    <w:rsid w:val="000B659E"/>
    <w:rsid w:val="000C0B81"/>
    <w:rsid w:val="000C2288"/>
    <w:rsid w:val="000C26D4"/>
    <w:rsid w:val="000C3037"/>
    <w:rsid w:val="000C4444"/>
    <w:rsid w:val="000C4DE1"/>
    <w:rsid w:val="000C4F59"/>
    <w:rsid w:val="000C5066"/>
    <w:rsid w:val="000C5799"/>
    <w:rsid w:val="000C7DE8"/>
    <w:rsid w:val="000D067A"/>
    <w:rsid w:val="000D2C5B"/>
    <w:rsid w:val="000D2C8A"/>
    <w:rsid w:val="000D2D77"/>
    <w:rsid w:val="000D42BA"/>
    <w:rsid w:val="000D4A51"/>
    <w:rsid w:val="000D4DF7"/>
    <w:rsid w:val="000D573C"/>
    <w:rsid w:val="000D71BE"/>
    <w:rsid w:val="000E3AF7"/>
    <w:rsid w:val="000E5F69"/>
    <w:rsid w:val="000E7F52"/>
    <w:rsid w:val="000F248E"/>
    <w:rsid w:val="00104C6F"/>
    <w:rsid w:val="0010559A"/>
    <w:rsid w:val="001072F9"/>
    <w:rsid w:val="00107663"/>
    <w:rsid w:val="00112C6C"/>
    <w:rsid w:val="00113CC6"/>
    <w:rsid w:val="0011719E"/>
    <w:rsid w:val="00117C36"/>
    <w:rsid w:val="0012573D"/>
    <w:rsid w:val="0012584E"/>
    <w:rsid w:val="00127E3A"/>
    <w:rsid w:val="00134F7E"/>
    <w:rsid w:val="00135F74"/>
    <w:rsid w:val="001446C0"/>
    <w:rsid w:val="001502C6"/>
    <w:rsid w:val="001503ED"/>
    <w:rsid w:val="00150ADC"/>
    <w:rsid w:val="00152BCC"/>
    <w:rsid w:val="00154782"/>
    <w:rsid w:val="0015495D"/>
    <w:rsid w:val="00162CDF"/>
    <w:rsid w:val="00162E05"/>
    <w:rsid w:val="00163CBB"/>
    <w:rsid w:val="001644B1"/>
    <w:rsid w:val="00164C35"/>
    <w:rsid w:val="00167983"/>
    <w:rsid w:val="001728C3"/>
    <w:rsid w:val="00172F5C"/>
    <w:rsid w:val="00173E9E"/>
    <w:rsid w:val="0017440C"/>
    <w:rsid w:val="00175830"/>
    <w:rsid w:val="001768B9"/>
    <w:rsid w:val="00176EFA"/>
    <w:rsid w:val="00177FB2"/>
    <w:rsid w:val="00182F38"/>
    <w:rsid w:val="00183272"/>
    <w:rsid w:val="00184210"/>
    <w:rsid w:val="00185234"/>
    <w:rsid w:val="00185DDB"/>
    <w:rsid w:val="00195761"/>
    <w:rsid w:val="001A45E3"/>
    <w:rsid w:val="001A7281"/>
    <w:rsid w:val="001B0A06"/>
    <w:rsid w:val="001B15C3"/>
    <w:rsid w:val="001B2ADB"/>
    <w:rsid w:val="001B3256"/>
    <w:rsid w:val="001B4A25"/>
    <w:rsid w:val="001B4BE7"/>
    <w:rsid w:val="001C1ACB"/>
    <w:rsid w:val="001C301F"/>
    <w:rsid w:val="001C37DB"/>
    <w:rsid w:val="001C5767"/>
    <w:rsid w:val="001C5F3B"/>
    <w:rsid w:val="001C61F1"/>
    <w:rsid w:val="001C7950"/>
    <w:rsid w:val="001D4230"/>
    <w:rsid w:val="001D4C2B"/>
    <w:rsid w:val="001D5591"/>
    <w:rsid w:val="001D6098"/>
    <w:rsid w:val="001D65C3"/>
    <w:rsid w:val="001E091C"/>
    <w:rsid w:val="001E1819"/>
    <w:rsid w:val="001E1A71"/>
    <w:rsid w:val="001E2DF6"/>
    <w:rsid w:val="001E5594"/>
    <w:rsid w:val="001E588C"/>
    <w:rsid w:val="001E594A"/>
    <w:rsid w:val="001E5BCC"/>
    <w:rsid w:val="001F3DBD"/>
    <w:rsid w:val="001F7A9B"/>
    <w:rsid w:val="00201F86"/>
    <w:rsid w:val="00205050"/>
    <w:rsid w:val="002059CF"/>
    <w:rsid w:val="00205BEE"/>
    <w:rsid w:val="00206BF7"/>
    <w:rsid w:val="002070D9"/>
    <w:rsid w:val="00207654"/>
    <w:rsid w:val="0021027B"/>
    <w:rsid w:val="00210FF7"/>
    <w:rsid w:val="00211DC4"/>
    <w:rsid w:val="00217005"/>
    <w:rsid w:val="00217F16"/>
    <w:rsid w:val="0022335E"/>
    <w:rsid w:val="00224C10"/>
    <w:rsid w:val="002301DB"/>
    <w:rsid w:val="002302F2"/>
    <w:rsid w:val="00233215"/>
    <w:rsid w:val="00234136"/>
    <w:rsid w:val="00236937"/>
    <w:rsid w:val="002378E0"/>
    <w:rsid w:val="00240CFE"/>
    <w:rsid w:val="0024135D"/>
    <w:rsid w:val="002416D1"/>
    <w:rsid w:val="00241C32"/>
    <w:rsid w:val="00241F31"/>
    <w:rsid w:val="002425B6"/>
    <w:rsid w:val="002428CD"/>
    <w:rsid w:val="00243EC0"/>
    <w:rsid w:val="0024438E"/>
    <w:rsid w:val="002449C8"/>
    <w:rsid w:val="002461DA"/>
    <w:rsid w:val="00247D74"/>
    <w:rsid w:val="00251670"/>
    <w:rsid w:val="00251B1A"/>
    <w:rsid w:val="00253570"/>
    <w:rsid w:val="00254D1C"/>
    <w:rsid w:val="00255B56"/>
    <w:rsid w:val="002569DD"/>
    <w:rsid w:val="00260FCB"/>
    <w:rsid w:val="00261143"/>
    <w:rsid w:val="00262E5B"/>
    <w:rsid w:val="00265F7E"/>
    <w:rsid w:val="00265FC1"/>
    <w:rsid w:val="00266E7F"/>
    <w:rsid w:val="002710DB"/>
    <w:rsid w:val="00271CD5"/>
    <w:rsid w:val="002729DC"/>
    <w:rsid w:val="00276C4D"/>
    <w:rsid w:val="00277E25"/>
    <w:rsid w:val="002816E9"/>
    <w:rsid w:val="002818CB"/>
    <w:rsid w:val="00283F7B"/>
    <w:rsid w:val="00285C47"/>
    <w:rsid w:val="0028720D"/>
    <w:rsid w:val="00290639"/>
    <w:rsid w:val="00290A3B"/>
    <w:rsid w:val="00295E2E"/>
    <w:rsid w:val="002A293F"/>
    <w:rsid w:val="002A3768"/>
    <w:rsid w:val="002A61CE"/>
    <w:rsid w:val="002A671F"/>
    <w:rsid w:val="002A788B"/>
    <w:rsid w:val="002B07DE"/>
    <w:rsid w:val="002B0A13"/>
    <w:rsid w:val="002B0A77"/>
    <w:rsid w:val="002B0DE3"/>
    <w:rsid w:val="002B46F1"/>
    <w:rsid w:val="002B4BC7"/>
    <w:rsid w:val="002B59EB"/>
    <w:rsid w:val="002B5C88"/>
    <w:rsid w:val="002B5D2C"/>
    <w:rsid w:val="002C1BBD"/>
    <w:rsid w:val="002C2B3C"/>
    <w:rsid w:val="002C4333"/>
    <w:rsid w:val="002C4C22"/>
    <w:rsid w:val="002C5747"/>
    <w:rsid w:val="002C58A0"/>
    <w:rsid w:val="002D5231"/>
    <w:rsid w:val="002D55CC"/>
    <w:rsid w:val="002D65CE"/>
    <w:rsid w:val="002D7CA1"/>
    <w:rsid w:val="002E0043"/>
    <w:rsid w:val="002E1228"/>
    <w:rsid w:val="002E12C4"/>
    <w:rsid w:val="002E6376"/>
    <w:rsid w:val="002E79AB"/>
    <w:rsid w:val="002F131A"/>
    <w:rsid w:val="002F17B7"/>
    <w:rsid w:val="002F2F8B"/>
    <w:rsid w:val="002F3C6C"/>
    <w:rsid w:val="002F7D3E"/>
    <w:rsid w:val="00302CBD"/>
    <w:rsid w:val="0030375D"/>
    <w:rsid w:val="003045AD"/>
    <w:rsid w:val="00307C51"/>
    <w:rsid w:val="00312F66"/>
    <w:rsid w:val="00313393"/>
    <w:rsid w:val="003142BC"/>
    <w:rsid w:val="00316C96"/>
    <w:rsid w:val="00320891"/>
    <w:rsid w:val="00320E99"/>
    <w:rsid w:val="00321081"/>
    <w:rsid w:val="00321722"/>
    <w:rsid w:val="00321FB7"/>
    <w:rsid w:val="0032243F"/>
    <w:rsid w:val="0032298A"/>
    <w:rsid w:val="00322B0E"/>
    <w:rsid w:val="00322C18"/>
    <w:rsid w:val="003249F4"/>
    <w:rsid w:val="003258F6"/>
    <w:rsid w:val="00326F2B"/>
    <w:rsid w:val="00327F2C"/>
    <w:rsid w:val="0033087D"/>
    <w:rsid w:val="00332046"/>
    <w:rsid w:val="00335E12"/>
    <w:rsid w:val="003402C5"/>
    <w:rsid w:val="003428B9"/>
    <w:rsid w:val="003434C1"/>
    <w:rsid w:val="00343E9C"/>
    <w:rsid w:val="00343F4C"/>
    <w:rsid w:val="00346572"/>
    <w:rsid w:val="00347E9C"/>
    <w:rsid w:val="0035057D"/>
    <w:rsid w:val="00352819"/>
    <w:rsid w:val="003559B1"/>
    <w:rsid w:val="00355A8C"/>
    <w:rsid w:val="00356067"/>
    <w:rsid w:val="003566F9"/>
    <w:rsid w:val="00360339"/>
    <w:rsid w:val="00363268"/>
    <w:rsid w:val="00365B3F"/>
    <w:rsid w:val="00365C09"/>
    <w:rsid w:val="003667BC"/>
    <w:rsid w:val="0036750A"/>
    <w:rsid w:val="003676EB"/>
    <w:rsid w:val="00367905"/>
    <w:rsid w:val="003728CC"/>
    <w:rsid w:val="00373663"/>
    <w:rsid w:val="00373966"/>
    <w:rsid w:val="003750C4"/>
    <w:rsid w:val="00375D14"/>
    <w:rsid w:val="00382F23"/>
    <w:rsid w:val="00383708"/>
    <w:rsid w:val="0038433A"/>
    <w:rsid w:val="0038433C"/>
    <w:rsid w:val="00384C47"/>
    <w:rsid w:val="00387E1A"/>
    <w:rsid w:val="003902FA"/>
    <w:rsid w:val="00392606"/>
    <w:rsid w:val="003A0F88"/>
    <w:rsid w:val="003A3509"/>
    <w:rsid w:val="003A6B29"/>
    <w:rsid w:val="003B0CF2"/>
    <w:rsid w:val="003B1DE7"/>
    <w:rsid w:val="003B2D65"/>
    <w:rsid w:val="003B3767"/>
    <w:rsid w:val="003B3F58"/>
    <w:rsid w:val="003B514B"/>
    <w:rsid w:val="003B550D"/>
    <w:rsid w:val="003B6360"/>
    <w:rsid w:val="003C0749"/>
    <w:rsid w:val="003C0CFC"/>
    <w:rsid w:val="003C1006"/>
    <w:rsid w:val="003C1B5B"/>
    <w:rsid w:val="003C484E"/>
    <w:rsid w:val="003C6A77"/>
    <w:rsid w:val="003D065B"/>
    <w:rsid w:val="003D332F"/>
    <w:rsid w:val="003D48A8"/>
    <w:rsid w:val="003D5AEE"/>
    <w:rsid w:val="003D6B4F"/>
    <w:rsid w:val="003D730B"/>
    <w:rsid w:val="003E1453"/>
    <w:rsid w:val="003E197C"/>
    <w:rsid w:val="003E4E82"/>
    <w:rsid w:val="003E5817"/>
    <w:rsid w:val="003E7810"/>
    <w:rsid w:val="003F0F6D"/>
    <w:rsid w:val="003F121F"/>
    <w:rsid w:val="003F1A3F"/>
    <w:rsid w:val="003F2A34"/>
    <w:rsid w:val="003F65A2"/>
    <w:rsid w:val="003F77B5"/>
    <w:rsid w:val="003F77CF"/>
    <w:rsid w:val="003F781B"/>
    <w:rsid w:val="003F7D78"/>
    <w:rsid w:val="00400258"/>
    <w:rsid w:val="00403524"/>
    <w:rsid w:val="00403BE7"/>
    <w:rsid w:val="004047E5"/>
    <w:rsid w:val="00404CD0"/>
    <w:rsid w:val="00404EFA"/>
    <w:rsid w:val="00405A57"/>
    <w:rsid w:val="00406C1F"/>
    <w:rsid w:val="00406DB0"/>
    <w:rsid w:val="00407077"/>
    <w:rsid w:val="004077DF"/>
    <w:rsid w:val="00407FC3"/>
    <w:rsid w:val="00411AB5"/>
    <w:rsid w:val="00411F75"/>
    <w:rsid w:val="00414B41"/>
    <w:rsid w:val="0041527E"/>
    <w:rsid w:val="0041640E"/>
    <w:rsid w:val="00417B7E"/>
    <w:rsid w:val="0042101F"/>
    <w:rsid w:val="00421979"/>
    <w:rsid w:val="00424615"/>
    <w:rsid w:val="00426F7F"/>
    <w:rsid w:val="00427356"/>
    <w:rsid w:val="004301A6"/>
    <w:rsid w:val="004318B8"/>
    <w:rsid w:val="00431EF7"/>
    <w:rsid w:val="004331EE"/>
    <w:rsid w:val="00437A20"/>
    <w:rsid w:val="00437B58"/>
    <w:rsid w:val="00442DD8"/>
    <w:rsid w:val="00445272"/>
    <w:rsid w:val="00447291"/>
    <w:rsid w:val="00447811"/>
    <w:rsid w:val="004575BC"/>
    <w:rsid w:val="00457E04"/>
    <w:rsid w:val="0046283D"/>
    <w:rsid w:val="004633EC"/>
    <w:rsid w:val="004634E0"/>
    <w:rsid w:val="004639BB"/>
    <w:rsid w:val="0046494F"/>
    <w:rsid w:val="00466D1B"/>
    <w:rsid w:val="00466FF6"/>
    <w:rsid w:val="00473AF0"/>
    <w:rsid w:val="004743FE"/>
    <w:rsid w:val="00475599"/>
    <w:rsid w:val="00475C03"/>
    <w:rsid w:val="00476683"/>
    <w:rsid w:val="00480463"/>
    <w:rsid w:val="004808BA"/>
    <w:rsid w:val="00480FCD"/>
    <w:rsid w:val="00484F28"/>
    <w:rsid w:val="0048542B"/>
    <w:rsid w:val="004861C1"/>
    <w:rsid w:val="00487FAD"/>
    <w:rsid w:val="00490235"/>
    <w:rsid w:val="00494CAE"/>
    <w:rsid w:val="00496293"/>
    <w:rsid w:val="004A2060"/>
    <w:rsid w:val="004A278C"/>
    <w:rsid w:val="004A69CD"/>
    <w:rsid w:val="004A731D"/>
    <w:rsid w:val="004A7447"/>
    <w:rsid w:val="004B0470"/>
    <w:rsid w:val="004B0D08"/>
    <w:rsid w:val="004B0FC1"/>
    <w:rsid w:val="004B15C9"/>
    <w:rsid w:val="004B4EB6"/>
    <w:rsid w:val="004B6964"/>
    <w:rsid w:val="004C0F79"/>
    <w:rsid w:val="004C224A"/>
    <w:rsid w:val="004C45E8"/>
    <w:rsid w:val="004D0802"/>
    <w:rsid w:val="004D1CD1"/>
    <w:rsid w:val="004D3B68"/>
    <w:rsid w:val="004D3CBC"/>
    <w:rsid w:val="004D4C36"/>
    <w:rsid w:val="004D4F04"/>
    <w:rsid w:val="004D67E3"/>
    <w:rsid w:val="004E0A3C"/>
    <w:rsid w:val="004E2D45"/>
    <w:rsid w:val="004E3215"/>
    <w:rsid w:val="004E5677"/>
    <w:rsid w:val="004F22B2"/>
    <w:rsid w:val="004F3C0A"/>
    <w:rsid w:val="004F4115"/>
    <w:rsid w:val="004F53B6"/>
    <w:rsid w:val="004F5EF1"/>
    <w:rsid w:val="00500A0E"/>
    <w:rsid w:val="005049D1"/>
    <w:rsid w:val="00504F65"/>
    <w:rsid w:val="00507710"/>
    <w:rsid w:val="00507C5E"/>
    <w:rsid w:val="00511289"/>
    <w:rsid w:val="00511353"/>
    <w:rsid w:val="00511ABD"/>
    <w:rsid w:val="00511C57"/>
    <w:rsid w:val="005170B8"/>
    <w:rsid w:val="0051734B"/>
    <w:rsid w:val="005209E9"/>
    <w:rsid w:val="00520DE7"/>
    <w:rsid w:val="005221FA"/>
    <w:rsid w:val="0052365C"/>
    <w:rsid w:val="005238E8"/>
    <w:rsid w:val="00523AB4"/>
    <w:rsid w:val="0052557E"/>
    <w:rsid w:val="00525ADA"/>
    <w:rsid w:val="00526326"/>
    <w:rsid w:val="00527885"/>
    <w:rsid w:val="00532DA5"/>
    <w:rsid w:val="00537022"/>
    <w:rsid w:val="00537389"/>
    <w:rsid w:val="00541DEB"/>
    <w:rsid w:val="0054348E"/>
    <w:rsid w:val="0054408C"/>
    <w:rsid w:val="00545A16"/>
    <w:rsid w:val="00545AEA"/>
    <w:rsid w:val="005473DD"/>
    <w:rsid w:val="0055399E"/>
    <w:rsid w:val="00554029"/>
    <w:rsid w:val="0055651D"/>
    <w:rsid w:val="0055676B"/>
    <w:rsid w:val="00556BE2"/>
    <w:rsid w:val="0055778E"/>
    <w:rsid w:val="00557FED"/>
    <w:rsid w:val="00560098"/>
    <w:rsid w:val="00560D8F"/>
    <w:rsid w:val="005648E6"/>
    <w:rsid w:val="00565399"/>
    <w:rsid w:val="00567C0E"/>
    <w:rsid w:val="00571604"/>
    <w:rsid w:val="00572EB2"/>
    <w:rsid w:val="00580CD6"/>
    <w:rsid w:val="0058484F"/>
    <w:rsid w:val="005858A7"/>
    <w:rsid w:val="005923AE"/>
    <w:rsid w:val="00593C5B"/>
    <w:rsid w:val="00593F96"/>
    <w:rsid w:val="005958FA"/>
    <w:rsid w:val="005965D1"/>
    <w:rsid w:val="005A34B0"/>
    <w:rsid w:val="005A532D"/>
    <w:rsid w:val="005A5E75"/>
    <w:rsid w:val="005A6DB4"/>
    <w:rsid w:val="005A704B"/>
    <w:rsid w:val="005B1358"/>
    <w:rsid w:val="005B1FB6"/>
    <w:rsid w:val="005B22F4"/>
    <w:rsid w:val="005B4A72"/>
    <w:rsid w:val="005B61F9"/>
    <w:rsid w:val="005B6E18"/>
    <w:rsid w:val="005B7936"/>
    <w:rsid w:val="005C47D2"/>
    <w:rsid w:val="005C621C"/>
    <w:rsid w:val="005C63E5"/>
    <w:rsid w:val="005C76E1"/>
    <w:rsid w:val="005D034D"/>
    <w:rsid w:val="005D0525"/>
    <w:rsid w:val="005D12FF"/>
    <w:rsid w:val="005D3FA2"/>
    <w:rsid w:val="005D6116"/>
    <w:rsid w:val="005D6FFD"/>
    <w:rsid w:val="005E0FD9"/>
    <w:rsid w:val="005E1413"/>
    <w:rsid w:val="005E7336"/>
    <w:rsid w:val="005E7698"/>
    <w:rsid w:val="005F1429"/>
    <w:rsid w:val="005F1B31"/>
    <w:rsid w:val="005F4FC0"/>
    <w:rsid w:val="005F55C1"/>
    <w:rsid w:val="005F632C"/>
    <w:rsid w:val="005F6997"/>
    <w:rsid w:val="005F7677"/>
    <w:rsid w:val="00605B10"/>
    <w:rsid w:val="00606228"/>
    <w:rsid w:val="0061020F"/>
    <w:rsid w:val="00611676"/>
    <w:rsid w:val="00612231"/>
    <w:rsid w:val="00612B4E"/>
    <w:rsid w:val="0061423C"/>
    <w:rsid w:val="00614B82"/>
    <w:rsid w:val="0061646D"/>
    <w:rsid w:val="00616DFE"/>
    <w:rsid w:val="00617BDA"/>
    <w:rsid w:val="006224DB"/>
    <w:rsid w:val="0062320F"/>
    <w:rsid w:val="00624991"/>
    <w:rsid w:val="00624DF6"/>
    <w:rsid w:val="00625693"/>
    <w:rsid w:val="00626C86"/>
    <w:rsid w:val="00627101"/>
    <w:rsid w:val="00632710"/>
    <w:rsid w:val="00632786"/>
    <w:rsid w:val="00633F6B"/>
    <w:rsid w:val="00636922"/>
    <w:rsid w:val="006370E6"/>
    <w:rsid w:val="006406C9"/>
    <w:rsid w:val="00640766"/>
    <w:rsid w:val="00642901"/>
    <w:rsid w:val="00642C97"/>
    <w:rsid w:val="00644796"/>
    <w:rsid w:val="00646CA1"/>
    <w:rsid w:val="006503F9"/>
    <w:rsid w:val="00650DD3"/>
    <w:rsid w:val="00652377"/>
    <w:rsid w:val="00653449"/>
    <w:rsid w:val="0065794C"/>
    <w:rsid w:val="00657F2B"/>
    <w:rsid w:val="00661AA3"/>
    <w:rsid w:val="0066384B"/>
    <w:rsid w:val="006640B4"/>
    <w:rsid w:val="00666599"/>
    <w:rsid w:val="00666DCC"/>
    <w:rsid w:val="00670E0D"/>
    <w:rsid w:val="00671673"/>
    <w:rsid w:val="00671BEE"/>
    <w:rsid w:val="00672A94"/>
    <w:rsid w:val="00672E64"/>
    <w:rsid w:val="006736AD"/>
    <w:rsid w:val="00674C16"/>
    <w:rsid w:val="00675604"/>
    <w:rsid w:val="00676AFB"/>
    <w:rsid w:val="00684B4C"/>
    <w:rsid w:val="00685BBA"/>
    <w:rsid w:val="00687CCE"/>
    <w:rsid w:val="0069008A"/>
    <w:rsid w:val="00692416"/>
    <w:rsid w:val="006924EA"/>
    <w:rsid w:val="006929B4"/>
    <w:rsid w:val="00692A39"/>
    <w:rsid w:val="00692DE9"/>
    <w:rsid w:val="00693A11"/>
    <w:rsid w:val="00694129"/>
    <w:rsid w:val="00695857"/>
    <w:rsid w:val="006967B8"/>
    <w:rsid w:val="00696CF2"/>
    <w:rsid w:val="0069725D"/>
    <w:rsid w:val="006A0467"/>
    <w:rsid w:val="006A4846"/>
    <w:rsid w:val="006A4954"/>
    <w:rsid w:val="006A729F"/>
    <w:rsid w:val="006B0CA0"/>
    <w:rsid w:val="006B53F7"/>
    <w:rsid w:val="006B7125"/>
    <w:rsid w:val="006C0D76"/>
    <w:rsid w:val="006C2800"/>
    <w:rsid w:val="006C36B0"/>
    <w:rsid w:val="006C4695"/>
    <w:rsid w:val="006C61DE"/>
    <w:rsid w:val="006C6670"/>
    <w:rsid w:val="006C6964"/>
    <w:rsid w:val="006D0CDE"/>
    <w:rsid w:val="006D1615"/>
    <w:rsid w:val="006D2A55"/>
    <w:rsid w:val="006D2F3F"/>
    <w:rsid w:val="006D3A4C"/>
    <w:rsid w:val="006D3F0C"/>
    <w:rsid w:val="006D3F7D"/>
    <w:rsid w:val="006D468F"/>
    <w:rsid w:val="006D4F83"/>
    <w:rsid w:val="006D50E5"/>
    <w:rsid w:val="006D51ED"/>
    <w:rsid w:val="006D6D17"/>
    <w:rsid w:val="006D70B7"/>
    <w:rsid w:val="006D7F68"/>
    <w:rsid w:val="006E23E6"/>
    <w:rsid w:val="006E3368"/>
    <w:rsid w:val="006E46DE"/>
    <w:rsid w:val="006E542C"/>
    <w:rsid w:val="006E54CB"/>
    <w:rsid w:val="006E632F"/>
    <w:rsid w:val="006F08BD"/>
    <w:rsid w:val="006F0F4E"/>
    <w:rsid w:val="006F191A"/>
    <w:rsid w:val="006F4876"/>
    <w:rsid w:val="006F7F7C"/>
    <w:rsid w:val="00701139"/>
    <w:rsid w:val="00702234"/>
    <w:rsid w:val="00703678"/>
    <w:rsid w:val="007037FF"/>
    <w:rsid w:val="007045B8"/>
    <w:rsid w:val="007047FD"/>
    <w:rsid w:val="00704A81"/>
    <w:rsid w:val="00707552"/>
    <w:rsid w:val="00707650"/>
    <w:rsid w:val="00710AAE"/>
    <w:rsid w:val="007116EC"/>
    <w:rsid w:val="0071338D"/>
    <w:rsid w:val="00714E70"/>
    <w:rsid w:val="007164B8"/>
    <w:rsid w:val="00717283"/>
    <w:rsid w:val="00721069"/>
    <w:rsid w:val="00722C35"/>
    <w:rsid w:val="00722E16"/>
    <w:rsid w:val="00723208"/>
    <w:rsid w:val="007255BD"/>
    <w:rsid w:val="00727760"/>
    <w:rsid w:val="007312F6"/>
    <w:rsid w:val="00731433"/>
    <w:rsid w:val="007342F5"/>
    <w:rsid w:val="00735ED9"/>
    <w:rsid w:val="00740A76"/>
    <w:rsid w:val="00740D0B"/>
    <w:rsid w:val="00740DF7"/>
    <w:rsid w:val="00741F16"/>
    <w:rsid w:val="007451BB"/>
    <w:rsid w:val="00745883"/>
    <w:rsid w:val="00747185"/>
    <w:rsid w:val="00747E20"/>
    <w:rsid w:val="0075074D"/>
    <w:rsid w:val="00752532"/>
    <w:rsid w:val="007525C5"/>
    <w:rsid w:val="00756EBD"/>
    <w:rsid w:val="00757979"/>
    <w:rsid w:val="00757A7F"/>
    <w:rsid w:val="007601A7"/>
    <w:rsid w:val="00760301"/>
    <w:rsid w:val="00767EFC"/>
    <w:rsid w:val="00770D87"/>
    <w:rsid w:val="00772E57"/>
    <w:rsid w:val="00773994"/>
    <w:rsid w:val="0078044C"/>
    <w:rsid w:val="00780DA5"/>
    <w:rsid w:val="00780EA6"/>
    <w:rsid w:val="007818C1"/>
    <w:rsid w:val="00781DFF"/>
    <w:rsid w:val="007825B7"/>
    <w:rsid w:val="007846AE"/>
    <w:rsid w:val="007856CE"/>
    <w:rsid w:val="00790957"/>
    <w:rsid w:val="00792967"/>
    <w:rsid w:val="007942FD"/>
    <w:rsid w:val="007958F6"/>
    <w:rsid w:val="007972D5"/>
    <w:rsid w:val="007A0968"/>
    <w:rsid w:val="007A0ACE"/>
    <w:rsid w:val="007A0C12"/>
    <w:rsid w:val="007A186C"/>
    <w:rsid w:val="007A2340"/>
    <w:rsid w:val="007A3EFE"/>
    <w:rsid w:val="007A5CC1"/>
    <w:rsid w:val="007A6461"/>
    <w:rsid w:val="007A759B"/>
    <w:rsid w:val="007B3343"/>
    <w:rsid w:val="007B5D4C"/>
    <w:rsid w:val="007B6AFB"/>
    <w:rsid w:val="007C32D6"/>
    <w:rsid w:val="007C3C4B"/>
    <w:rsid w:val="007C5842"/>
    <w:rsid w:val="007C69C6"/>
    <w:rsid w:val="007C6BE9"/>
    <w:rsid w:val="007D0076"/>
    <w:rsid w:val="007D1B5A"/>
    <w:rsid w:val="007D2100"/>
    <w:rsid w:val="007D45E5"/>
    <w:rsid w:val="007D4F03"/>
    <w:rsid w:val="007E261F"/>
    <w:rsid w:val="007E411A"/>
    <w:rsid w:val="007E4C07"/>
    <w:rsid w:val="007E4E38"/>
    <w:rsid w:val="007E654D"/>
    <w:rsid w:val="007F08D1"/>
    <w:rsid w:val="007F27B3"/>
    <w:rsid w:val="007F2997"/>
    <w:rsid w:val="007F3384"/>
    <w:rsid w:val="007F3E18"/>
    <w:rsid w:val="007F3E20"/>
    <w:rsid w:val="007F4C79"/>
    <w:rsid w:val="007F5046"/>
    <w:rsid w:val="007F6972"/>
    <w:rsid w:val="007F7039"/>
    <w:rsid w:val="007F7E59"/>
    <w:rsid w:val="00800331"/>
    <w:rsid w:val="008005B9"/>
    <w:rsid w:val="00806079"/>
    <w:rsid w:val="00807EEA"/>
    <w:rsid w:val="00811784"/>
    <w:rsid w:val="008119B8"/>
    <w:rsid w:val="00812BE3"/>
    <w:rsid w:val="00813B9A"/>
    <w:rsid w:val="00814A94"/>
    <w:rsid w:val="008177D3"/>
    <w:rsid w:val="008200D0"/>
    <w:rsid w:val="0082229E"/>
    <w:rsid w:val="00822BC1"/>
    <w:rsid w:val="00826783"/>
    <w:rsid w:val="00827DA7"/>
    <w:rsid w:val="00831660"/>
    <w:rsid w:val="00831F04"/>
    <w:rsid w:val="008334CB"/>
    <w:rsid w:val="0083739D"/>
    <w:rsid w:val="0084149C"/>
    <w:rsid w:val="008423CA"/>
    <w:rsid w:val="00847961"/>
    <w:rsid w:val="00847D3F"/>
    <w:rsid w:val="00850A9C"/>
    <w:rsid w:val="00862427"/>
    <w:rsid w:val="008627AE"/>
    <w:rsid w:val="00862988"/>
    <w:rsid w:val="00870391"/>
    <w:rsid w:val="00870E95"/>
    <w:rsid w:val="00871721"/>
    <w:rsid w:val="0087440F"/>
    <w:rsid w:val="008800C2"/>
    <w:rsid w:val="00880982"/>
    <w:rsid w:val="00880C67"/>
    <w:rsid w:val="00880D33"/>
    <w:rsid w:val="00881F0B"/>
    <w:rsid w:val="00882EE0"/>
    <w:rsid w:val="00884D89"/>
    <w:rsid w:val="00885BF1"/>
    <w:rsid w:val="0088760E"/>
    <w:rsid w:val="008908C3"/>
    <w:rsid w:val="00890C40"/>
    <w:rsid w:val="00890D27"/>
    <w:rsid w:val="00891270"/>
    <w:rsid w:val="008916A7"/>
    <w:rsid w:val="00893510"/>
    <w:rsid w:val="0089407F"/>
    <w:rsid w:val="008947C9"/>
    <w:rsid w:val="00896662"/>
    <w:rsid w:val="00896929"/>
    <w:rsid w:val="00896AC7"/>
    <w:rsid w:val="008A0A0F"/>
    <w:rsid w:val="008A0AA8"/>
    <w:rsid w:val="008A128C"/>
    <w:rsid w:val="008A1856"/>
    <w:rsid w:val="008A29CC"/>
    <w:rsid w:val="008A52D3"/>
    <w:rsid w:val="008A57A0"/>
    <w:rsid w:val="008A5881"/>
    <w:rsid w:val="008B33E2"/>
    <w:rsid w:val="008B3747"/>
    <w:rsid w:val="008B3F14"/>
    <w:rsid w:val="008B487E"/>
    <w:rsid w:val="008B5799"/>
    <w:rsid w:val="008B5CB3"/>
    <w:rsid w:val="008B7A80"/>
    <w:rsid w:val="008C1456"/>
    <w:rsid w:val="008C3012"/>
    <w:rsid w:val="008C3CF4"/>
    <w:rsid w:val="008C73FC"/>
    <w:rsid w:val="008C7800"/>
    <w:rsid w:val="008D0B58"/>
    <w:rsid w:val="008D1A55"/>
    <w:rsid w:val="008D38CA"/>
    <w:rsid w:val="008D490B"/>
    <w:rsid w:val="008D7296"/>
    <w:rsid w:val="008E04F4"/>
    <w:rsid w:val="008E2AD3"/>
    <w:rsid w:val="008E31CF"/>
    <w:rsid w:val="008E34AD"/>
    <w:rsid w:val="008E4FF9"/>
    <w:rsid w:val="008E6AE9"/>
    <w:rsid w:val="008E7465"/>
    <w:rsid w:val="008E77A8"/>
    <w:rsid w:val="008F0819"/>
    <w:rsid w:val="008F0A38"/>
    <w:rsid w:val="008F2C90"/>
    <w:rsid w:val="008F519A"/>
    <w:rsid w:val="008F63C6"/>
    <w:rsid w:val="00900C89"/>
    <w:rsid w:val="00901D18"/>
    <w:rsid w:val="00902DAE"/>
    <w:rsid w:val="00903211"/>
    <w:rsid w:val="009035F2"/>
    <w:rsid w:val="00903DD7"/>
    <w:rsid w:val="00906101"/>
    <w:rsid w:val="009112E3"/>
    <w:rsid w:val="009114A0"/>
    <w:rsid w:val="00911B61"/>
    <w:rsid w:val="00912F3A"/>
    <w:rsid w:val="00913D29"/>
    <w:rsid w:val="00915EFE"/>
    <w:rsid w:val="00920AD0"/>
    <w:rsid w:val="00922F4C"/>
    <w:rsid w:val="009268C0"/>
    <w:rsid w:val="0093160F"/>
    <w:rsid w:val="00932769"/>
    <w:rsid w:val="0093450F"/>
    <w:rsid w:val="00934CB8"/>
    <w:rsid w:val="00935D65"/>
    <w:rsid w:val="00937D54"/>
    <w:rsid w:val="00940E60"/>
    <w:rsid w:val="009437FE"/>
    <w:rsid w:val="00943AB6"/>
    <w:rsid w:val="00943E59"/>
    <w:rsid w:val="009449CF"/>
    <w:rsid w:val="00944CF6"/>
    <w:rsid w:val="00950716"/>
    <w:rsid w:val="00950C74"/>
    <w:rsid w:val="00951363"/>
    <w:rsid w:val="009517DE"/>
    <w:rsid w:val="009536B2"/>
    <w:rsid w:val="0095448F"/>
    <w:rsid w:val="0095760B"/>
    <w:rsid w:val="009578C0"/>
    <w:rsid w:val="00957FA5"/>
    <w:rsid w:val="00960FA6"/>
    <w:rsid w:val="009641A2"/>
    <w:rsid w:val="00964C51"/>
    <w:rsid w:val="0096539E"/>
    <w:rsid w:val="00970042"/>
    <w:rsid w:val="00972479"/>
    <w:rsid w:val="00973602"/>
    <w:rsid w:val="00974780"/>
    <w:rsid w:val="00975901"/>
    <w:rsid w:val="009759B6"/>
    <w:rsid w:val="00976E3A"/>
    <w:rsid w:val="009774A1"/>
    <w:rsid w:val="00980815"/>
    <w:rsid w:val="00981378"/>
    <w:rsid w:val="00983DC8"/>
    <w:rsid w:val="00986492"/>
    <w:rsid w:val="009870F5"/>
    <w:rsid w:val="00987850"/>
    <w:rsid w:val="00990A05"/>
    <w:rsid w:val="009917BC"/>
    <w:rsid w:val="00992524"/>
    <w:rsid w:val="00994266"/>
    <w:rsid w:val="00994729"/>
    <w:rsid w:val="009959BB"/>
    <w:rsid w:val="00996A9E"/>
    <w:rsid w:val="009973BB"/>
    <w:rsid w:val="009A0B80"/>
    <w:rsid w:val="009A1B9C"/>
    <w:rsid w:val="009A2701"/>
    <w:rsid w:val="009A702C"/>
    <w:rsid w:val="009A7C91"/>
    <w:rsid w:val="009B0D7B"/>
    <w:rsid w:val="009B0EA6"/>
    <w:rsid w:val="009B1F19"/>
    <w:rsid w:val="009B2612"/>
    <w:rsid w:val="009B68F1"/>
    <w:rsid w:val="009C19CC"/>
    <w:rsid w:val="009C4FB3"/>
    <w:rsid w:val="009C6AF5"/>
    <w:rsid w:val="009C7081"/>
    <w:rsid w:val="009D102C"/>
    <w:rsid w:val="009D31CA"/>
    <w:rsid w:val="009D6333"/>
    <w:rsid w:val="009D7D22"/>
    <w:rsid w:val="009E136F"/>
    <w:rsid w:val="009E1F42"/>
    <w:rsid w:val="009E2555"/>
    <w:rsid w:val="009F177F"/>
    <w:rsid w:val="009F2E7B"/>
    <w:rsid w:val="009F3BDC"/>
    <w:rsid w:val="009F3BF8"/>
    <w:rsid w:val="009F4936"/>
    <w:rsid w:val="009F4BAE"/>
    <w:rsid w:val="009F57F5"/>
    <w:rsid w:val="009F66EB"/>
    <w:rsid w:val="009F6C09"/>
    <w:rsid w:val="00A00511"/>
    <w:rsid w:val="00A03363"/>
    <w:rsid w:val="00A116D4"/>
    <w:rsid w:val="00A12366"/>
    <w:rsid w:val="00A12DD7"/>
    <w:rsid w:val="00A20348"/>
    <w:rsid w:val="00A2127A"/>
    <w:rsid w:val="00A2217E"/>
    <w:rsid w:val="00A24A4D"/>
    <w:rsid w:val="00A31BE5"/>
    <w:rsid w:val="00A320B2"/>
    <w:rsid w:val="00A32776"/>
    <w:rsid w:val="00A3368C"/>
    <w:rsid w:val="00A362B5"/>
    <w:rsid w:val="00A40A02"/>
    <w:rsid w:val="00A4102D"/>
    <w:rsid w:val="00A438D8"/>
    <w:rsid w:val="00A46028"/>
    <w:rsid w:val="00A46C79"/>
    <w:rsid w:val="00A51B54"/>
    <w:rsid w:val="00A54C47"/>
    <w:rsid w:val="00A560FA"/>
    <w:rsid w:val="00A57808"/>
    <w:rsid w:val="00A624FE"/>
    <w:rsid w:val="00A638A2"/>
    <w:rsid w:val="00A63AAE"/>
    <w:rsid w:val="00A63CE7"/>
    <w:rsid w:val="00A65639"/>
    <w:rsid w:val="00A712CE"/>
    <w:rsid w:val="00A73964"/>
    <w:rsid w:val="00A7451A"/>
    <w:rsid w:val="00A775D6"/>
    <w:rsid w:val="00A80FAF"/>
    <w:rsid w:val="00A81733"/>
    <w:rsid w:val="00A82B7E"/>
    <w:rsid w:val="00A832F8"/>
    <w:rsid w:val="00A8363A"/>
    <w:rsid w:val="00A8368B"/>
    <w:rsid w:val="00A97033"/>
    <w:rsid w:val="00AA1AF3"/>
    <w:rsid w:val="00AA2479"/>
    <w:rsid w:val="00AA3528"/>
    <w:rsid w:val="00AA6565"/>
    <w:rsid w:val="00AA7C69"/>
    <w:rsid w:val="00AB4FC4"/>
    <w:rsid w:val="00AB5585"/>
    <w:rsid w:val="00AB5D35"/>
    <w:rsid w:val="00AB637C"/>
    <w:rsid w:val="00AB6F39"/>
    <w:rsid w:val="00AB73C8"/>
    <w:rsid w:val="00AB78D1"/>
    <w:rsid w:val="00AC176D"/>
    <w:rsid w:val="00AC6BAD"/>
    <w:rsid w:val="00AC77C7"/>
    <w:rsid w:val="00AC7D3D"/>
    <w:rsid w:val="00AD159A"/>
    <w:rsid w:val="00AD39AC"/>
    <w:rsid w:val="00AD50FC"/>
    <w:rsid w:val="00AD692D"/>
    <w:rsid w:val="00AE210D"/>
    <w:rsid w:val="00AE2983"/>
    <w:rsid w:val="00AE3C7E"/>
    <w:rsid w:val="00AE554D"/>
    <w:rsid w:val="00AE5A37"/>
    <w:rsid w:val="00AF2DAF"/>
    <w:rsid w:val="00AF37B9"/>
    <w:rsid w:val="00AF56B4"/>
    <w:rsid w:val="00AF7EFA"/>
    <w:rsid w:val="00B02909"/>
    <w:rsid w:val="00B041AC"/>
    <w:rsid w:val="00B04AA3"/>
    <w:rsid w:val="00B05B01"/>
    <w:rsid w:val="00B05EAF"/>
    <w:rsid w:val="00B07464"/>
    <w:rsid w:val="00B10BE9"/>
    <w:rsid w:val="00B12277"/>
    <w:rsid w:val="00B1352A"/>
    <w:rsid w:val="00B13701"/>
    <w:rsid w:val="00B149B2"/>
    <w:rsid w:val="00B15F9E"/>
    <w:rsid w:val="00B204E6"/>
    <w:rsid w:val="00B21521"/>
    <w:rsid w:val="00B2510B"/>
    <w:rsid w:val="00B26346"/>
    <w:rsid w:val="00B30063"/>
    <w:rsid w:val="00B31E4F"/>
    <w:rsid w:val="00B3206D"/>
    <w:rsid w:val="00B3332F"/>
    <w:rsid w:val="00B334DF"/>
    <w:rsid w:val="00B3535A"/>
    <w:rsid w:val="00B35B30"/>
    <w:rsid w:val="00B35E9D"/>
    <w:rsid w:val="00B414DA"/>
    <w:rsid w:val="00B41C7E"/>
    <w:rsid w:val="00B42730"/>
    <w:rsid w:val="00B461BC"/>
    <w:rsid w:val="00B4794E"/>
    <w:rsid w:val="00B5074A"/>
    <w:rsid w:val="00B52044"/>
    <w:rsid w:val="00B520E3"/>
    <w:rsid w:val="00B523BD"/>
    <w:rsid w:val="00B53076"/>
    <w:rsid w:val="00B5315B"/>
    <w:rsid w:val="00B5317D"/>
    <w:rsid w:val="00B53C8E"/>
    <w:rsid w:val="00B54161"/>
    <w:rsid w:val="00B54C90"/>
    <w:rsid w:val="00B57472"/>
    <w:rsid w:val="00B5786E"/>
    <w:rsid w:val="00B60EA3"/>
    <w:rsid w:val="00B63738"/>
    <w:rsid w:val="00B65554"/>
    <w:rsid w:val="00B66713"/>
    <w:rsid w:val="00B700BE"/>
    <w:rsid w:val="00B71ECE"/>
    <w:rsid w:val="00B72721"/>
    <w:rsid w:val="00B74173"/>
    <w:rsid w:val="00B7633B"/>
    <w:rsid w:val="00B76509"/>
    <w:rsid w:val="00B769E4"/>
    <w:rsid w:val="00B829D6"/>
    <w:rsid w:val="00B8346F"/>
    <w:rsid w:val="00B83F54"/>
    <w:rsid w:val="00B84329"/>
    <w:rsid w:val="00B86D40"/>
    <w:rsid w:val="00B86E46"/>
    <w:rsid w:val="00B9254D"/>
    <w:rsid w:val="00B92FD2"/>
    <w:rsid w:val="00B95702"/>
    <w:rsid w:val="00B968CA"/>
    <w:rsid w:val="00BA4281"/>
    <w:rsid w:val="00BA42D1"/>
    <w:rsid w:val="00BA5F80"/>
    <w:rsid w:val="00BA664B"/>
    <w:rsid w:val="00BA7362"/>
    <w:rsid w:val="00BA7B1D"/>
    <w:rsid w:val="00BB0931"/>
    <w:rsid w:val="00BB1B92"/>
    <w:rsid w:val="00BB1D6B"/>
    <w:rsid w:val="00BB1E69"/>
    <w:rsid w:val="00BB3B41"/>
    <w:rsid w:val="00BB78C2"/>
    <w:rsid w:val="00BC0033"/>
    <w:rsid w:val="00BC0A91"/>
    <w:rsid w:val="00BC3CFE"/>
    <w:rsid w:val="00BC45E1"/>
    <w:rsid w:val="00BC4660"/>
    <w:rsid w:val="00BC486B"/>
    <w:rsid w:val="00BC5800"/>
    <w:rsid w:val="00BC6065"/>
    <w:rsid w:val="00BC6E3D"/>
    <w:rsid w:val="00BC7C21"/>
    <w:rsid w:val="00BD10F1"/>
    <w:rsid w:val="00BD16B6"/>
    <w:rsid w:val="00BD24DC"/>
    <w:rsid w:val="00BD3124"/>
    <w:rsid w:val="00BD53AC"/>
    <w:rsid w:val="00BD7FDD"/>
    <w:rsid w:val="00BE35B0"/>
    <w:rsid w:val="00BE37AA"/>
    <w:rsid w:val="00BE49B8"/>
    <w:rsid w:val="00BE581F"/>
    <w:rsid w:val="00BE71B3"/>
    <w:rsid w:val="00BF0CC2"/>
    <w:rsid w:val="00BF265A"/>
    <w:rsid w:val="00BF33AD"/>
    <w:rsid w:val="00BF64FC"/>
    <w:rsid w:val="00BF7EDD"/>
    <w:rsid w:val="00C0145F"/>
    <w:rsid w:val="00C110EA"/>
    <w:rsid w:val="00C111D3"/>
    <w:rsid w:val="00C17EFC"/>
    <w:rsid w:val="00C20F8E"/>
    <w:rsid w:val="00C24C52"/>
    <w:rsid w:val="00C250F4"/>
    <w:rsid w:val="00C25754"/>
    <w:rsid w:val="00C25C15"/>
    <w:rsid w:val="00C26665"/>
    <w:rsid w:val="00C31292"/>
    <w:rsid w:val="00C31547"/>
    <w:rsid w:val="00C32274"/>
    <w:rsid w:val="00C34A4D"/>
    <w:rsid w:val="00C351A4"/>
    <w:rsid w:val="00C35360"/>
    <w:rsid w:val="00C4104F"/>
    <w:rsid w:val="00C41549"/>
    <w:rsid w:val="00C42417"/>
    <w:rsid w:val="00C471DA"/>
    <w:rsid w:val="00C47E93"/>
    <w:rsid w:val="00C52A6B"/>
    <w:rsid w:val="00C558E2"/>
    <w:rsid w:val="00C55A27"/>
    <w:rsid w:val="00C5708A"/>
    <w:rsid w:val="00C57864"/>
    <w:rsid w:val="00C57C43"/>
    <w:rsid w:val="00C610D9"/>
    <w:rsid w:val="00C643F8"/>
    <w:rsid w:val="00C65161"/>
    <w:rsid w:val="00C65956"/>
    <w:rsid w:val="00C67A8B"/>
    <w:rsid w:val="00C67E45"/>
    <w:rsid w:val="00C7331C"/>
    <w:rsid w:val="00C743E4"/>
    <w:rsid w:val="00C74B99"/>
    <w:rsid w:val="00C77270"/>
    <w:rsid w:val="00C81133"/>
    <w:rsid w:val="00C8189D"/>
    <w:rsid w:val="00C82A7E"/>
    <w:rsid w:val="00C82B7A"/>
    <w:rsid w:val="00C85EC1"/>
    <w:rsid w:val="00C87CC4"/>
    <w:rsid w:val="00C91FA9"/>
    <w:rsid w:val="00C922F3"/>
    <w:rsid w:val="00C94667"/>
    <w:rsid w:val="00C96669"/>
    <w:rsid w:val="00C9673E"/>
    <w:rsid w:val="00C96C95"/>
    <w:rsid w:val="00CA62A5"/>
    <w:rsid w:val="00CA6D57"/>
    <w:rsid w:val="00CA7E01"/>
    <w:rsid w:val="00CB032D"/>
    <w:rsid w:val="00CB1C45"/>
    <w:rsid w:val="00CB1ED6"/>
    <w:rsid w:val="00CB3CB1"/>
    <w:rsid w:val="00CB6032"/>
    <w:rsid w:val="00CB605A"/>
    <w:rsid w:val="00CB6439"/>
    <w:rsid w:val="00CB6512"/>
    <w:rsid w:val="00CC0858"/>
    <w:rsid w:val="00CC1671"/>
    <w:rsid w:val="00CC1C6D"/>
    <w:rsid w:val="00CC4AC2"/>
    <w:rsid w:val="00CC4DC4"/>
    <w:rsid w:val="00CC6E73"/>
    <w:rsid w:val="00CC718C"/>
    <w:rsid w:val="00CD232A"/>
    <w:rsid w:val="00CD3FE1"/>
    <w:rsid w:val="00CE1DE8"/>
    <w:rsid w:val="00CE3100"/>
    <w:rsid w:val="00CE3ABE"/>
    <w:rsid w:val="00CE41C1"/>
    <w:rsid w:val="00CE431E"/>
    <w:rsid w:val="00CE4E51"/>
    <w:rsid w:val="00CE4EF3"/>
    <w:rsid w:val="00CE57C5"/>
    <w:rsid w:val="00CE5CAB"/>
    <w:rsid w:val="00CE7E91"/>
    <w:rsid w:val="00CF2198"/>
    <w:rsid w:val="00CF2BA0"/>
    <w:rsid w:val="00CF51E7"/>
    <w:rsid w:val="00CF560A"/>
    <w:rsid w:val="00CF7D62"/>
    <w:rsid w:val="00CF7F23"/>
    <w:rsid w:val="00D044D9"/>
    <w:rsid w:val="00D07A14"/>
    <w:rsid w:val="00D108DA"/>
    <w:rsid w:val="00D141F1"/>
    <w:rsid w:val="00D14BC0"/>
    <w:rsid w:val="00D15F4D"/>
    <w:rsid w:val="00D1693C"/>
    <w:rsid w:val="00D175E2"/>
    <w:rsid w:val="00D20BC0"/>
    <w:rsid w:val="00D21798"/>
    <w:rsid w:val="00D22389"/>
    <w:rsid w:val="00D22C96"/>
    <w:rsid w:val="00D235DD"/>
    <w:rsid w:val="00D237A1"/>
    <w:rsid w:val="00D2661B"/>
    <w:rsid w:val="00D31B00"/>
    <w:rsid w:val="00D325D5"/>
    <w:rsid w:val="00D3565B"/>
    <w:rsid w:val="00D37AC2"/>
    <w:rsid w:val="00D37C09"/>
    <w:rsid w:val="00D401E0"/>
    <w:rsid w:val="00D403D1"/>
    <w:rsid w:val="00D41D4A"/>
    <w:rsid w:val="00D421D5"/>
    <w:rsid w:val="00D433BF"/>
    <w:rsid w:val="00D452ED"/>
    <w:rsid w:val="00D4784B"/>
    <w:rsid w:val="00D50F08"/>
    <w:rsid w:val="00D514FA"/>
    <w:rsid w:val="00D51E30"/>
    <w:rsid w:val="00D53905"/>
    <w:rsid w:val="00D53994"/>
    <w:rsid w:val="00D5721A"/>
    <w:rsid w:val="00D6000B"/>
    <w:rsid w:val="00D600D7"/>
    <w:rsid w:val="00D638D0"/>
    <w:rsid w:val="00D65188"/>
    <w:rsid w:val="00D665E0"/>
    <w:rsid w:val="00D66937"/>
    <w:rsid w:val="00D71198"/>
    <w:rsid w:val="00D71E9A"/>
    <w:rsid w:val="00D73757"/>
    <w:rsid w:val="00D81FD9"/>
    <w:rsid w:val="00D83217"/>
    <w:rsid w:val="00D842D7"/>
    <w:rsid w:val="00D84344"/>
    <w:rsid w:val="00D874C6"/>
    <w:rsid w:val="00D917E6"/>
    <w:rsid w:val="00D91AEA"/>
    <w:rsid w:val="00D9228F"/>
    <w:rsid w:val="00D9240B"/>
    <w:rsid w:val="00D93165"/>
    <w:rsid w:val="00D93485"/>
    <w:rsid w:val="00D934C3"/>
    <w:rsid w:val="00D963A5"/>
    <w:rsid w:val="00D96FA6"/>
    <w:rsid w:val="00D97C4B"/>
    <w:rsid w:val="00DA0CC2"/>
    <w:rsid w:val="00DA0F3B"/>
    <w:rsid w:val="00DA27A2"/>
    <w:rsid w:val="00DA444C"/>
    <w:rsid w:val="00DA4CC9"/>
    <w:rsid w:val="00DA595F"/>
    <w:rsid w:val="00DA6713"/>
    <w:rsid w:val="00DA687D"/>
    <w:rsid w:val="00DB284B"/>
    <w:rsid w:val="00DB2D81"/>
    <w:rsid w:val="00DB57D2"/>
    <w:rsid w:val="00DB61BC"/>
    <w:rsid w:val="00DB624F"/>
    <w:rsid w:val="00DB6985"/>
    <w:rsid w:val="00DC0584"/>
    <w:rsid w:val="00DC07D8"/>
    <w:rsid w:val="00DC0FD9"/>
    <w:rsid w:val="00DC1116"/>
    <w:rsid w:val="00DC2DB6"/>
    <w:rsid w:val="00DC40AF"/>
    <w:rsid w:val="00DD0D1C"/>
    <w:rsid w:val="00DD168B"/>
    <w:rsid w:val="00DD265C"/>
    <w:rsid w:val="00DD34EE"/>
    <w:rsid w:val="00DD58D8"/>
    <w:rsid w:val="00DD745F"/>
    <w:rsid w:val="00DE0912"/>
    <w:rsid w:val="00DE101C"/>
    <w:rsid w:val="00DE2AFB"/>
    <w:rsid w:val="00DE2E80"/>
    <w:rsid w:val="00DE43CF"/>
    <w:rsid w:val="00DE4C81"/>
    <w:rsid w:val="00DE70AE"/>
    <w:rsid w:val="00DE7CC5"/>
    <w:rsid w:val="00DF1D1F"/>
    <w:rsid w:val="00DF26FD"/>
    <w:rsid w:val="00DF6B42"/>
    <w:rsid w:val="00DF72E9"/>
    <w:rsid w:val="00E00368"/>
    <w:rsid w:val="00E01E4F"/>
    <w:rsid w:val="00E0211D"/>
    <w:rsid w:val="00E02187"/>
    <w:rsid w:val="00E02F1B"/>
    <w:rsid w:val="00E03388"/>
    <w:rsid w:val="00E03BA8"/>
    <w:rsid w:val="00E051D8"/>
    <w:rsid w:val="00E059F3"/>
    <w:rsid w:val="00E10CBC"/>
    <w:rsid w:val="00E128AE"/>
    <w:rsid w:val="00E14358"/>
    <w:rsid w:val="00E158DE"/>
    <w:rsid w:val="00E16995"/>
    <w:rsid w:val="00E16A12"/>
    <w:rsid w:val="00E16C89"/>
    <w:rsid w:val="00E206EF"/>
    <w:rsid w:val="00E20855"/>
    <w:rsid w:val="00E21FB9"/>
    <w:rsid w:val="00E238A5"/>
    <w:rsid w:val="00E23AD6"/>
    <w:rsid w:val="00E272B7"/>
    <w:rsid w:val="00E32CF5"/>
    <w:rsid w:val="00E36D49"/>
    <w:rsid w:val="00E40C9F"/>
    <w:rsid w:val="00E41358"/>
    <w:rsid w:val="00E413A9"/>
    <w:rsid w:val="00E42BC4"/>
    <w:rsid w:val="00E46D41"/>
    <w:rsid w:val="00E47F1F"/>
    <w:rsid w:val="00E501F2"/>
    <w:rsid w:val="00E504D9"/>
    <w:rsid w:val="00E514E3"/>
    <w:rsid w:val="00E52776"/>
    <w:rsid w:val="00E555C5"/>
    <w:rsid w:val="00E562E8"/>
    <w:rsid w:val="00E63BDB"/>
    <w:rsid w:val="00E63E04"/>
    <w:rsid w:val="00E65547"/>
    <w:rsid w:val="00E65E3C"/>
    <w:rsid w:val="00E662CA"/>
    <w:rsid w:val="00E67A57"/>
    <w:rsid w:val="00E702A8"/>
    <w:rsid w:val="00E702F2"/>
    <w:rsid w:val="00E712EB"/>
    <w:rsid w:val="00E72669"/>
    <w:rsid w:val="00E72B6A"/>
    <w:rsid w:val="00E7407D"/>
    <w:rsid w:val="00E80BE0"/>
    <w:rsid w:val="00E81B37"/>
    <w:rsid w:val="00E826EB"/>
    <w:rsid w:val="00E84E8D"/>
    <w:rsid w:val="00E851D6"/>
    <w:rsid w:val="00E86722"/>
    <w:rsid w:val="00E86E9C"/>
    <w:rsid w:val="00E87B7E"/>
    <w:rsid w:val="00E94E68"/>
    <w:rsid w:val="00E955CF"/>
    <w:rsid w:val="00E95AFA"/>
    <w:rsid w:val="00E967E3"/>
    <w:rsid w:val="00E97D5E"/>
    <w:rsid w:val="00EA00D4"/>
    <w:rsid w:val="00EA03ED"/>
    <w:rsid w:val="00EA3D8D"/>
    <w:rsid w:val="00EA3E90"/>
    <w:rsid w:val="00EA44F6"/>
    <w:rsid w:val="00EA4998"/>
    <w:rsid w:val="00EA536D"/>
    <w:rsid w:val="00EA61A8"/>
    <w:rsid w:val="00EB0880"/>
    <w:rsid w:val="00EB34E5"/>
    <w:rsid w:val="00EB3E1E"/>
    <w:rsid w:val="00EB4B28"/>
    <w:rsid w:val="00EB75F1"/>
    <w:rsid w:val="00EC03AD"/>
    <w:rsid w:val="00EC06B5"/>
    <w:rsid w:val="00EC06BC"/>
    <w:rsid w:val="00EC1B37"/>
    <w:rsid w:val="00EC21AB"/>
    <w:rsid w:val="00EC29EE"/>
    <w:rsid w:val="00EC7F6C"/>
    <w:rsid w:val="00ED5480"/>
    <w:rsid w:val="00ED5CEA"/>
    <w:rsid w:val="00EE00F0"/>
    <w:rsid w:val="00EE09FF"/>
    <w:rsid w:val="00EE5A90"/>
    <w:rsid w:val="00EE6AD8"/>
    <w:rsid w:val="00EE7721"/>
    <w:rsid w:val="00EF124D"/>
    <w:rsid w:val="00EF270A"/>
    <w:rsid w:val="00EF4DBE"/>
    <w:rsid w:val="00EF5D64"/>
    <w:rsid w:val="00EF7823"/>
    <w:rsid w:val="00EF7D66"/>
    <w:rsid w:val="00F01F04"/>
    <w:rsid w:val="00F03503"/>
    <w:rsid w:val="00F04D60"/>
    <w:rsid w:val="00F072FD"/>
    <w:rsid w:val="00F07A58"/>
    <w:rsid w:val="00F12604"/>
    <w:rsid w:val="00F130BF"/>
    <w:rsid w:val="00F15C27"/>
    <w:rsid w:val="00F17482"/>
    <w:rsid w:val="00F21004"/>
    <w:rsid w:val="00F21920"/>
    <w:rsid w:val="00F21DD5"/>
    <w:rsid w:val="00F2330E"/>
    <w:rsid w:val="00F238F6"/>
    <w:rsid w:val="00F245EC"/>
    <w:rsid w:val="00F24947"/>
    <w:rsid w:val="00F250DE"/>
    <w:rsid w:val="00F26398"/>
    <w:rsid w:val="00F2711A"/>
    <w:rsid w:val="00F275D8"/>
    <w:rsid w:val="00F31B0E"/>
    <w:rsid w:val="00F3393B"/>
    <w:rsid w:val="00F33C5B"/>
    <w:rsid w:val="00F343CD"/>
    <w:rsid w:val="00F374F0"/>
    <w:rsid w:val="00F4262C"/>
    <w:rsid w:val="00F44FBC"/>
    <w:rsid w:val="00F464D6"/>
    <w:rsid w:val="00F47902"/>
    <w:rsid w:val="00F50500"/>
    <w:rsid w:val="00F51049"/>
    <w:rsid w:val="00F52FB1"/>
    <w:rsid w:val="00F53486"/>
    <w:rsid w:val="00F5452F"/>
    <w:rsid w:val="00F5483F"/>
    <w:rsid w:val="00F55599"/>
    <w:rsid w:val="00F56A86"/>
    <w:rsid w:val="00F57939"/>
    <w:rsid w:val="00F61835"/>
    <w:rsid w:val="00F61A3B"/>
    <w:rsid w:val="00F62707"/>
    <w:rsid w:val="00F64101"/>
    <w:rsid w:val="00F65168"/>
    <w:rsid w:val="00F65196"/>
    <w:rsid w:val="00F65DDF"/>
    <w:rsid w:val="00F663B1"/>
    <w:rsid w:val="00F730F8"/>
    <w:rsid w:val="00F73120"/>
    <w:rsid w:val="00F732AB"/>
    <w:rsid w:val="00F739E8"/>
    <w:rsid w:val="00F7432D"/>
    <w:rsid w:val="00F7557A"/>
    <w:rsid w:val="00F77267"/>
    <w:rsid w:val="00F778DC"/>
    <w:rsid w:val="00F82811"/>
    <w:rsid w:val="00F842ED"/>
    <w:rsid w:val="00F84BF8"/>
    <w:rsid w:val="00F84FCC"/>
    <w:rsid w:val="00F861ED"/>
    <w:rsid w:val="00F9299C"/>
    <w:rsid w:val="00F931CC"/>
    <w:rsid w:val="00F94787"/>
    <w:rsid w:val="00F94C7D"/>
    <w:rsid w:val="00F97B94"/>
    <w:rsid w:val="00FA2228"/>
    <w:rsid w:val="00FA50DF"/>
    <w:rsid w:val="00FA68ED"/>
    <w:rsid w:val="00FA7E0E"/>
    <w:rsid w:val="00FB0295"/>
    <w:rsid w:val="00FB077D"/>
    <w:rsid w:val="00FB0E29"/>
    <w:rsid w:val="00FB13C5"/>
    <w:rsid w:val="00FB1C60"/>
    <w:rsid w:val="00FB288D"/>
    <w:rsid w:val="00FB36BE"/>
    <w:rsid w:val="00FB4311"/>
    <w:rsid w:val="00FB6FE9"/>
    <w:rsid w:val="00FC1890"/>
    <w:rsid w:val="00FC3A48"/>
    <w:rsid w:val="00FD00ED"/>
    <w:rsid w:val="00FD1A67"/>
    <w:rsid w:val="00FD33E6"/>
    <w:rsid w:val="00FD41F0"/>
    <w:rsid w:val="00FD65B0"/>
    <w:rsid w:val="00FE010E"/>
    <w:rsid w:val="00FE0238"/>
    <w:rsid w:val="00FE0A4C"/>
    <w:rsid w:val="00FE30CD"/>
    <w:rsid w:val="00FF102A"/>
    <w:rsid w:val="00FF2605"/>
    <w:rsid w:val="00FF2D48"/>
    <w:rsid w:val="00FF6AA4"/>
    <w:rsid w:val="00FF6BD3"/>
    <w:rsid w:val="00FF730C"/>
    <w:rsid w:val="00FF7DE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84FB0"/>
  <w15:chartTrackingRefBased/>
  <w15:docId w15:val="{6ABC1031-E4AF-4E4A-BF36-BB7D1FD49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34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34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34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34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34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34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34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34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34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4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34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34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34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34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34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34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34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34DF"/>
    <w:rPr>
      <w:rFonts w:eastAsiaTheme="majorEastAsia" w:cstheme="majorBidi"/>
      <w:color w:val="272727" w:themeColor="text1" w:themeTint="D8"/>
    </w:rPr>
  </w:style>
  <w:style w:type="paragraph" w:styleId="Title">
    <w:name w:val="Title"/>
    <w:basedOn w:val="Normal"/>
    <w:next w:val="Normal"/>
    <w:link w:val="TitleChar"/>
    <w:uiPriority w:val="10"/>
    <w:qFormat/>
    <w:rsid w:val="00B334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34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34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34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34DF"/>
    <w:pPr>
      <w:spacing w:before="160"/>
      <w:jc w:val="center"/>
    </w:pPr>
    <w:rPr>
      <w:i/>
      <w:iCs/>
      <w:color w:val="404040" w:themeColor="text1" w:themeTint="BF"/>
    </w:rPr>
  </w:style>
  <w:style w:type="character" w:customStyle="1" w:styleId="QuoteChar">
    <w:name w:val="Quote Char"/>
    <w:basedOn w:val="DefaultParagraphFont"/>
    <w:link w:val="Quote"/>
    <w:uiPriority w:val="29"/>
    <w:rsid w:val="00B334DF"/>
    <w:rPr>
      <w:i/>
      <w:iCs/>
      <w:color w:val="404040" w:themeColor="text1" w:themeTint="BF"/>
    </w:rPr>
  </w:style>
  <w:style w:type="paragraph" w:styleId="ListParagraph">
    <w:name w:val="List Paragraph"/>
    <w:basedOn w:val="Normal"/>
    <w:uiPriority w:val="34"/>
    <w:qFormat/>
    <w:rsid w:val="00B334DF"/>
    <w:pPr>
      <w:ind w:left="720"/>
      <w:contextualSpacing/>
    </w:pPr>
  </w:style>
  <w:style w:type="character" w:styleId="IntenseEmphasis">
    <w:name w:val="Intense Emphasis"/>
    <w:basedOn w:val="DefaultParagraphFont"/>
    <w:uiPriority w:val="21"/>
    <w:qFormat/>
    <w:rsid w:val="00B334DF"/>
    <w:rPr>
      <w:i/>
      <w:iCs/>
      <w:color w:val="0F4761" w:themeColor="accent1" w:themeShade="BF"/>
    </w:rPr>
  </w:style>
  <w:style w:type="paragraph" w:styleId="IntenseQuote">
    <w:name w:val="Intense Quote"/>
    <w:basedOn w:val="Normal"/>
    <w:next w:val="Normal"/>
    <w:link w:val="IntenseQuoteChar"/>
    <w:uiPriority w:val="30"/>
    <w:qFormat/>
    <w:rsid w:val="00B33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34DF"/>
    <w:rPr>
      <w:i/>
      <w:iCs/>
      <w:color w:val="0F4761" w:themeColor="accent1" w:themeShade="BF"/>
    </w:rPr>
  </w:style>
  <w:style w:type="character" w:styleId="IntenseReference">
    <w:name w:val="Intense Reference"/>
    <w:basedOn w:val="DefaultParagraphFont"/>
    <w:uiPriority w:val="32"/>
    <w:qFormat/>
    <w:rsid w:val="00B334DF"/>
    <w:rPr>
      <w:b/>
      <w:bCs/>
      <w:smallCaps/>
      <w:color w:val="0F4761" w:themeColor="accent1" w:themeShade="BF"/>
      <w:spacing w:val="5"/>
    </w:rPr>
  </w:style>
  <w:style w:type="paragraph" w:styleId="NormalWeb">
    <w:name w:val="Normal (Web)"/>
    <w:basedOn w:val="Normal"/>
    <w:uiPriority w:val="99"/>
    <w:semiHidden/>
    <w:unhideWhenUsed/>
    <w:rsid w:val="00AD50FC"/>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EA3E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3E90"/>
  </w:style>
  <w:style w:type="paragraph" w:styleId="Footer">
    <w:name w:val="footer"/>
    <w:basedOn w:val="Normal"/>
    <w:link w:val="FooterChar"/>
    <w:uiPriority w:val="99"/>
    <w:unhideWhenUsed/>
    <w:rsid w:val="00EA3E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3E90"/>
  </w:style>
  <w:style w:type="paragraph" w:customStyle="1" w:styleId="FCsubtitle">
    <w:name w:val="FC sub title"/>
    <w:basedOn w:val="Normal"/>
    <w:qFormat/>
    <w:rsid w:val="005965D1"/>
    <w:pPr>
      <w:spacing w:after="120" w:line="240" w:lineRule="auto"/>
    </w:pPr>
    <w:rPr>
      <w:rFonts w:eastAsiaTheme="minorHAnsi"/>
      <w:color w:val="FFFFFF" w:themeColor="background1"/>
      <w:kern w:val="0"/>
      <w:sz w:val="28"/>
      <w:szCs w:val="20"/>
      <w:shd w:val="clear" w:color="auto" w:fill="C5192D"/>
      <w:lang w:val="en-GB" w:eastAsia="en-US"/>
      <w14:ligatures w14:val="none"/>
    </w:rPr>
  </w:style>
  <w:style w:type="character" w:styleId="CommentReference">
    <w:name w:val="annotation reference"/>
    <w:basedOn w:val="DefaultParagraphFont"/>
    <w:uiPriority w:val="99"/>
    <w:semiHidden/>
    <w:unhideWhenUsed/>
    <w:rsid w:val="005D12FF"/>
    <w:rPr>
      <w:sz w:val="16"/>
      <w:szCs w:val="16"/>
    </w:rPr>
  </w:style>
  <w:style w:type="paragraph" w:styleId="CommentText">
    <w:name w:val="annotation text"/>
    <w:basedOn w:val="Normal"/>
    <w:link w:val="CommentTextChar"/>
    <w:uiPriority w:val="99"/>
    <w:unhideWhenUsed/>
    <w:rsid w:val="005D12FF"/>
    <w:pPr>
      <w:spacing w:line="240" w:lineRule="auto"/>
    </w:pPr>
    <w:rPr>
      <w:sz w:val="20"/>
      <w:szCs w:val="20"/>
    </w:rPr>
  </w:style>
  <w:style w:type="character" w:customStyle="1" w:styleId="CommentTextChar">
    <w:name w:val="Comment Text Char"/>
    <w:basedOn w:val="DefaultParagraphFont"/>
    <w:link w:val="CommentText"/>
    <w:uiPriority w:val="99"/>
    <w:rsid w:val="005D12FF"/>
    <w:rPr>
      <w:sz w:val="20"/>
      <w:szCs w:val="20"/>
    </w:rPr>
  </w:style>
  <w:style w:type="paragraph" w:styleId="CommentSubject">
    <w:name w:val="annotation subject"/>
    <w:basedOn w:val="CommentText"/>
    <w:next w:val="CommentText"/>
    <w:link w:val="CommentSubjectChar"/>
    <w:uiPriority w:val="99"/>
    <w:semiHidden/>
    <w:unhideWhenUsed/>
    <w:rsid w:val="005D12FF"/>
    <w:rPr>
      <w:b/>
      <w:bCs/>
    </w:rPr>
  </w:style>
  <w:style w:type="character" w:customStyle="1" w:styleId="CommentSubjectChar">
    <w:name w:val="Comment Subject Char"/>
    <w:basedOn w:val="CommentTextChar"/>
    <w:link w:val="CommentSubject"/>
    <w:uiPriority w:val="99"/>
    <w:semiHidden/>
    <w:rsid w:val="005D12FF"/>
    <w:rPr>
      <w:b/>
      <w:bCs/>
      <w:sz w:val="20"/>
      <w:szCs w:val="20"/>
    </w:rPr>
  </w:style>
  <w:style w:type="paragraph" w:customStyle="1" w:styleId="Marge">
    <w:name w:val="Marge"/>
    <w:basedOn w:val="Normal"/>
    <w:rsid w:val="00740DF7"/>
    <w:pPr>
      <w:tabs>
        <w:tab w:val="left" w:pos="567"/>
      </w:tabs>
      <w:snapToGrid w:val="0"/>
      <w:spacing w:after="240" w:line="240" w:lineRule="auto"/>
      <w:jc w:val="both"/>
    </w:pPr>
    <w:rPr>
      <w:rFonts w:ascii="Arial" w:eastAsia="Times New Roman" w:hAnsi="Arial" w:cs="Times New Roman"/>
      <w:snapToGrid w:val="0"/>
      <w:kern w:val="0"/>
      <w:sz w:val="22"/>
      <w:lang w:eastAsia="en-US"/>
      <w14:ligatures w14:val="none"/>
    </w:rPr>
  </w:style>
  <w:style w:type="character" w:styleId="Hyperlink">
    <w:name w:val="Hyperlink"/>
    <w:rsid w:val="00740DF7"/>
    <w:rPr>
      <w:color w:val="0000FF"/>
      <w:u w:val="single"/>
    </w:r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FB0295"/>
    <w:pPr>
      <w:spacing w:after="0" w:line="240" w:lineRule="auto"/>
    </w:pPr>
    <w:rPr>
      <w:sz w:val="20"/>
      <w:szCs w:val="20"/>
    </w:rPr>
  </w:style>
  <w:style w:type="character" w:customStyle="1" w:styleId="FootnoteTextChar">
    <w:name w:val="Footnote Text Char"/>
    <w:aliases w:val="Fußnote Char,Footnote Text Char Char Char,single space Char,FOOTNOTES Char,fn Char,Footnote Char,Char1 Char Char,Footnote Char1 Char,stile 1 Char,Footnote1 Char,Footnote2 Char,Footnote3 Char,Footnote4 Char,Footnote5 Char"/>
    <w:basedOn w:val="DefaultParagraphFont"/>
    <w:link w:val="FootnoteText"/>
    <w:uiPriority w:val="99"/>
    <w:rsid w:val="00FB0295"/>
    <w:rPr>
      <w:sz w:val="20"/>
      <w:szCs w:val="20"/>
    </w:rPr>
  </w:style>
  <w:style w:type="character" w:styleId="FootnoteReference">
    <w:name w:val="footnote reference"/>
    <w:basedOn w:val="DefaultParagraphFont"/>
    <w:uiPriority w:val="99"/>
    <w:semiHidden/>
    <w:unhideWhenUsed/>
    <w:rsid w:val="00FB0295"/>
    <w:rPr>
      <w:vertAlign w:val="superscript"/>
    </w:rPr>
  </w:style>
  <w:style w:type="character" w:styleId="UnresolvedMention">
    <w:name w:val="Unresolved Mention"/>
    <w:basedOn w:val="DefaultParagraphFont"/>
    <w:uiPriority w:val="99"/>
    <w:semiHidden/>
    <w:unhideWhenUsed/>
    <w:rsid w:val="00611676"/>
    <w:rPr>
      <w:color w:val="605E5C"/>
      <w:shd w:val="clear" w:color="auto" w:fill="E1DFDD"/>
    </w:rPr>
  </w:style>
  <w:style w:type="table" w:styleId="TableGrid">
    <w:name w:val="Table Grid"/>
    <w:basedOn w:val="TableNormal"/>
    <w:uiPriority w:val="39"/>
    <w:rsid w:val="00624991"/>
    <w:pPr>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41C7E"/>
    <w:pPr>
      <w:spacing w:after="0" w:line="240" w:lineRule="auto"/>
    </w:pPr>
  </w:style>
  <w:style w:type="paragraph" w:customStyle="1" w:styleId="paragraph">
    <w:name w:val="paragraph"/>
    <w:basedOn w:val="Normal"/>
    <w:rsid w:val="00B41C7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B41C7E"/>
  </w:style>
  <w:style w:type="character" w:customStyle="1" w:styleId="eop">
    <w:name w:val="eop"/>
    <w:basedOn w:val="DefaultParagraphFont"/>
    <w:rsid w:val="00B41C7E"/>
  </w:style>
  <w:style w:type="table" w:styleId="GridTable4-Accent3">
    <w:name w:val="Grid Table 4 Accent 3"/>
    <w:basedOn w:val="TableNormal"/>
    <w:uiPriority w:val="49"/>
    <w:rsid w:val="00C610D9"/>
    <w:pPr>
      <w:spacing w:after="0" w:line="240" w:lineRule="auto"/>
    </w:pPr>
    <w:rPr>
      <w:rFonts w:eastAsiaTheme="minorHAnsi"/>
      <w:kern w:val="0"/>
      <w:sz w:val="22"/>
      <w:szCs w:val="22"/>
      <w:lang w:val="en-US" w:eastAsia="en-US"/>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leGridLight">
    <w:name w:val="Grid Table Light"/>
    <w:basedOn w:val="TableNormal"/>
    <w:uiPriority w:val="40"/>
    <w:rsid w:val="00C610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dnoteText">
    <w:name w:val="endnote text"/>
    <w:basedOn w:val="Normal"/>
    <w:link w:val="EndnoteTextChar"/>
    <w:uiPriority w:val="99"/>
    <w:semiHidden/>
    <w:unhideWhenUsed/>
    <w:rsid w:val="0071338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1338D"/>
    <w:rPr>
      <w:sz w:val="20"/>
      <w:szCs w:val="20"/>
    </w:rPr>
  </w:style>
  <w:style w:type="character" w:styleId="EndnoteReference">
    <w:name w:val="endnote reference"/>
    <w:basedOn w:val="DefaultParagraphFont"/>
    <w:uiPriority w:val="99"/>
    <w:semiHidden/>
    <w:unhideWhenUsed/>
    <w:rsid w:val="0071338D"/>
    <w:rPr>
      <w:vertAlign w:val="superscript"/>
    </w:rPr>
  </w:style>
  <w:style w:type="table" w:styleId="GridTable5Dark-Accent3">
    <w:name w:val="Grid Table 5 Dark Accent 3"/>
    <w:basedOn w:val="TableNormal"/>
    <w:uiPriority w:val="50"/>
    <w:rsid w:val="00EF4DBE"/>
    <w:pPr>
      <w:spacing w:after="0" w:line="240" w:lineRule="auto"/>
    </w:pPr>
    <w:rPr>
      <w:rFonts w:eastAsiaTheme="minorHAnsi"/>
      <w:kern w:val="0"/>
      <w:sz w:val="22"/>
      <w:szCs w:val="22"/>
      <w:lang w:val="en-US" w:eastAsia="en-US"/>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47238">
      <w:bodyDiv w:val="1"/>
      <w:marLeft w:val="0"/>
      <w:marRight w:val="0"/>
      <w:marTop w:val="0"/>
      <w:marBottom w:val="0"/>
      <w:divBdr>
        <w:top w:val="none" w:sz="0" w:space="0" w:color="auto"/>
        <w:left w:val="none" w:sz="0" w:space="0" w:color="auto"/>
        <w:bottom w:val="none" w:sz="0" w:space="0" w:color="auto"/>
        <w:right w:val="none" w:sz="0" w:space="0" w:color="auto"/>
      </w:divBdr>
    </w:div>
    <w:div w:id="982782386">
      <w:bodyDiv w:val="1"/>
      <w:marLeft w:val="0"/>
      <w:marRight w:val="0"/>
      <w:marTop w:val="0"/>
      <w:marBottom w:val="0"/>
      <w:divBdr>
        <w:top w:val="none" w:sz="0" w:space="0" w:color="auto"/>
        <w:left w:val="none" w:sz="0" w:space="0" w:color="auto"/>
        <w:bottom w:val="none" w:sz="0" w:space="0" w:color="auto"/>
        <w:right w:val="none" w:sz="0" w:space="0" w:color="auto"/>
      </w:divBdr>
    </w:div>
    <w:div w:id="163502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esco.org/fr/multi-donor-programme-freedom-expression-and-safety-journalists" TargetMode="External"/><Relationship Id="rId18" Type="http://schemas.openxmlformats.org/officeDocument/2006/relationships/hyperlink" Target="https://www.unesco.org/fr/international-programme-development-communication" TargetMode="External"/><Relationship Id="rId26" Type="http://schemas.openxmlformats.org/officeDocument/2006/relationships/hyperlink" Target="https://www.unesco.org/fr/world-media-trends/notes-synthese"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unesco.org/fr/gender-equality" TargetMode="External"/><Relationship Id="rId34"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hyperlink" Target="https://www.unesco.org/sites/default/files/medias/fichiers/2024/07/Global%20Media%20Defence%20Fund%20report%20%282020-2024%29.pdf?hub=67808" TargetMode="External"/><Relationship Id="rId17" Type="http://schemas.openxmlformats.org/officeDocument/2006/relationships/hyperlink" Target="https://main.un.org/securitycouncil/fr/content/un-sc-consolidated-list" TargetMode="External"/><Relationship Id="rId25" Type="http://schemas.openxmlformats.org/officeDocument/2006/relationships/hyperlink" Target="https://unesdoc.unesco.org/ark:/48223/pf0000383337" TargetMode="External"/><Relationship Id="rId33" Type="http://schemas.openxmlformats.org/officeDocument/2006/relationships/diagramQuickStyle" Target="diagrams/quickStyle1.xm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gmdf@unesco.org" TargetMode="External"/><Relationship Id="rId20" Type="http://schemas.openxmlformats.org/officeDocument/2006/relationships/hyperlink" Target="https://www.unesco.org/fr/africa" TargetMode="External"/><Relationship Id="rId29" Type="http://schemas.openxmlformats.org/officeDocument/2006/relationships/hyperlink" Target="https://unesdoc.unesco.org/ark:/48223/pf0000382049_f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sco.org/fr/global-media-defence-fund?hub=67808" TargetMode="External"/><Relationship Id="rId24" Type="http://schemas.openxmlformats.org/officeDocument/2006/relationships/hyperlink" Target="https://www.unesco.org/en/indigenous-peoples" TargetMode="External"/><Relationship Id="rId32" Type="http://schemas.openxmlformats.org/officeDocument/2006/relationships/diagramLayout" Target="diagrams/layout1.xm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unesdoc.unesco.org/ark:/48223/pf0000389501" TargetMode="External"/><Relationship Id="rId23" Type="http://schemas.openxmlformats.org/officeDocument/2006/relationships/hyperlink" Target="https://www.unesco.org/fr/sids" TargetMode="External"/><Relationship Id="rId28" Type="http://schemas.openxmlformats.org/officeDocument/2006/relationships/hyperlink" Target="https://unesdoc.unesco.org/ark:/48223/pf0000377223" TargetMode="External"/><Relationship Id="rId36" Type="http://schemas.openxmlformats.org/officeDocument/2006/relationships/hyperlink" Target="mailto:gmdf@unesco.org" TargetMode="External"/><Relationship Id="rId10" Type="http://schemas.openxmlformats.org/officeDocument/2006/relationships/hyperlink" Target="https://unesdoc.unesco.org/ark:/48223/pf0000384828?posInSet=5&amp;queryId=e5f6ce81-6447-4acc-992c-bd78ff30a68b" TargetMode="External"/><Relationship Id="rId19" Type="http://schemas.openxmlformats.org/officeDocument/2006/relationships/hyperlink" Target="https://www.unesco.org/fr/multi-donor-programme-freedom-expression-and-safety-journalists" TargetMode="External"/><Relationship Id="rId31"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https://www.unesco.org/fr/safety-journalists/un-plan-action" TargetMode="External"/><Relationship Id="rId14" Type="http://schemas.openxmlformats.org/officeDocument/2006/relationships/hyperlink" Target="https://www.unesco.org/fr/international-programme-development-communication" TargetMode="External"/><Relationship Id="rId22" Type="http://schemas.openxmlformats.org/officeDocument/2006/relationships/hyperlink" Target="https://www.unesco.org/en/ldcs" TargetMode="External"/><Relationship Id="rId27" Type="http://schemas.openxmlformats.org/officeDocument/2006/relationships/hyperlink" Target="https://unesdoc.unesco.org/ark:/48223/pf0000383921?posInSet=1&amp;queryId=5cef0198-03e9-440a-b1f9-70d2fdba690f" TargetMode="External"/><Relationship Id="rId30" Type="http://schemas.openxmlformats.org/officeDocument/2006/relationships/hyperlink" Target="https://treasury.un.org/operationalrates/OperationalRates.php" TargetMode="External"/><Relationship Id="rId35"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5_3">
  <dgm:title val=""/>
  <dgm:desc val=""/>
  <dgm:catLst>
    <dgm:cat type="accent5" pri="11300"/>
  </dgm:catLst>
  <dgm:styleLbl name="node0">
    <dgm:fillClrLst meth="repeat">
      <a:schemeClr val="accent5">
        <a:shade val="80000"/>
      </a:schemeClr>
    </dgm:fillClrLst>
    <dgm:linClrLst meth="repeat">
      <a:schemeClr val="lt1"/>
    </dgm:linClrLst>
    <dgm:effectClrLst/>
    <dgm:txLinClrLst/>
    <dgm:txFillClrLst/>
    <dgm:txEffectClrLst/>
  </dgm:styleLbl>
  <dgm:styleLbl name="node1">
    <dgm:fillClrLst>
      <a:schemeClr val="accent5">
        <a:shade val="80000"/>
      </a:schemeClr>
      <a:schemeClr val="accent5">
        <a:tint val="70000"/>
      </a:schemeClr>
    </dgm:fillClrLst>
    <dgm:linClrLst meth="repeat">
      <a:schemeClr val="lt1"/>
    </dgm:linClrLst>
    <dgm:effectClrLst/>
    <dgm:txLinClrLst/>
    <dgm:txFillClrLst/>
    <dgm:txEffectClrLst/>
  </dgm:styleLbl>
  <dgm:styleLbl name="alignNode1">
    <dgm:fillClrLst>
      <a:schemeClr val="accent5">
        <a:shade val="80000"/>
      </a:schemeClr>
      <a:schemeClr val="accent5">
        <a:tint val="70000"/>
      </a:schemeClr>
    </dgm:fillClrLst>
    <dgm:linClrLst>
      <a:schemeClr val="accent5">
        <a:shade val="80000"/>
      </a:schemeClr>
      <a:schemeClr val="accent5">
        <a:tint val="70000"/>
      </a:schemeClr>
    </dgm:linClrLst>
    <dgm:effectClrLst/>
    <dgm:txLinClrLst/>
    <dgm:txFillClrLst/>
    <dgm:txEffectClrLst/>
  </dgm:styleLbl>
  <dgm:styleLbl name="lnNode1">
    <dgm:fillClrLst>
      <a:schemeClr val="accent5">
        <a:shade val="80000"/>
      </a:schemeClr>
      <a:schemeClr val="accent5">
        <a:tint val="7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tint val="70000"/>
        <a:alpha val="50000"/>
      </a:schemeClr>
    </dgm:fillClrLst>
    <dgm:linClrLst meth="repeat">
      <a:schemeClr val="lt1"/>
    </dgm:linClrLst>
    <dgm:effectClrLst/>
    <dgm:txLinClrLst/>
    <dgm:txFillClrLst/>
    <dgm:txEffectClrLst/>
  </dgm:styleLbl>
  <dgm:styleLbl name="node2">
    <dgm:fillClrLst>
      <a:schemeClr val="accent5">
        <a:tint val="99000"/>
      </a:schemeClr>
    </dgm:fillClrLst>
    <dgm:linClrLst meth="repeat">
      <a:schemeClr val="lt1"/>
    </dgm:linClrLst>
    <dgm:effectClrLst/>
    <dgm:txLinClrLst/>
    <dgm:txFillClrLst/>
    <dgm:txEffectClrLst/>
  </dgm:styleLbl>
  <dgm:styleLbl name="node3">
    <dgm:fillClrLst>
      <a:schemeClr val="accent5">
        <a:tint val="80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dgm:txEffectClrLst/>
  </dgm:styleLbl>
  <dgm:styleLbl name="f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b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sibTrans1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9000"/>
      </a:schemeClr>
    </dgm:fillClrLst>
    <dgm:linClrLst meth="repeat">
      <a:schemeClr val="lt1"/>
    </dgm:linClrLst>
    <dgm:effectClrLst/>
    <dgm:txLinClrLst/>
    <dgm:txFillClrLst/>
    <dgm:txEffectClrLst/>
  </dgm:styleLbl>
  <dgm:styleLbl name="asst3">
    <dgm:fillClrLst>
      <a:schemeClr val="accent5">
        <a:tint val="80000"/>
      </a:schemeClr>
    </dgm:fillClrLst>
    <dgm:linClrLst meth="repeat">
      <a:schemeClr val="lt1"/>
    </dgm:linClrLst>
    <dgm:effectClrLst/>
    <dgm:txLinClrLst/>
    <dgm:txFillClrLst/>
    <dgm:txEffectClrLst/>
  </dgm:styleLbl>
  <dgm:styleLbl name="asst4">
    <dgm:fillClrLst>
      <a:schemeClr val="accent5">
        <a:tint val="7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lt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9000"/>
      </a:schemeClr>
    </dgm:fillClrLst>
    <dgm:linClrLst meth="repeat">
      <a:schemeClr val="accent5">
        <a:tint val="99000"/>
      </a:schemeClr>
    </dgm:linClrLst>
    <dgm:effectClrLst/>
    <dgm:txLinClrLst/>
    <dgm:txFillClrLst meth="repeat">
      <a:schemeClr val="tx1"/>
    </dgm:txFillClrLst>
    <dgm:txEffectClrLst/>
  </dgm:styleLbl>
  <dgm:styleLbl name="parChTrans1D3">
    <dgm:fillClrLst meth="repeat">
      <a:schemeClr val="accent5">
        <a:tint val="80000"/>
      </a:schemeClr>
    </dgm:fillClrLst>
    <dgm:linClrLst meth="repeat">
      <a:schemeClr val="accent5">
        <a:tint val="80000"/>
      </a:schemeClr>
    </dgm:linClrLst>
    <dgm:effectClrLst/>
    <dgm:txLinClrLst/>
    <dgm:txFillClrLst meth="repeat">
      <a:schemeClr val="tx1"/>
    </dgm:txFillClrLst>
    <dgm:txEffectClrLst/>
  </dgm:styleLbl>
  <dgm:styleLbl name="parChTrans1D4">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A6E338-1875-47DB-AD93-E51A94F79C92}" type="doc">
      <dgm:prSet loTypeId="urn:microsoft.com/office/officeart/2005/8/layout/hChevron3" loCatId="process" qsTypeId="urn:microsoft.com/office/officeart/2005/8/quickstyle/simple1" qsCatId="simple" csTypeId="urn:microsoft.com/office/officeart/2005/8/colors/accent5_3" csCatId="accent5" phldr="1"/>
      <dgm:spPr/>
    </dgm:pt>
    <dgm:pt modelId="{201758B1-56E5-4DB8-A2CD-E70A4E625A5E}">
      <dgm:prSet phldrT="[Text]" custT="1"/>
      <dgm:spPr/>
      <dgm:t>
        <a:bodyPr/>
        <a:lstStyle/>
        <a:p>
          <a:r>
            <a:rPr lang="fr-FR" sz="1100" b="1"/>
            <a:t>Contrôle d'Admissibilité et d'Éligibilité</a:t>
          </a:r>
          <a:endParaRPr lang="en-US" sz="1100" b="1"/>
        </a:p>
      </dgm:t>
    </dgm:pt>
    <dgm:pt modelId="{5FE74163-9BF4-4C2F-A991-1D8462D24420}" type="parTrans" cxnId="{6BFE98BA-7835-4853-BD53-AE2FC16A1690}">
      <dgm:prSet/>
      <dgm:spPr/>
      <dgm:t>
        <a:bodyPr/>
        <a:lstStyle/>
        <a:p>
          <a:endParaRPr lang="en-US"/>
        </a:p>
      </dgm:t>
    </dgm:pt>
    <dgm:pt modelId="{DA7A1F4A-2460-4004-8804-9BE4732DCEB5}" type="sibTrans" cxnId="{6BFE98BA-7835-4853-BD53-AE2FC16A1690}">
      <dgm:prSet/>
      <dgm:spPr/>
      <dgm:t>
        <a:bodyPr/>
        <a:lstStyle/>
        <a:p>
          <a:endParaRPr lang="en-US"/>
        </a:p>
      </dgm:t>
    </dgm:pt>
    <dgm:pt modelId="{21676D7F-5BE3-4491-B475-5B8F3F262FD2}">
      <dgm:prSet phldrT="[Text]" custT="1"/>
      <dgm:spPr/>
      <dgm:t>
        <a:bodyPr/>
        <a:lstStyle/>
        <a:p>
          <a:r>
            <a:rPr lang="fr-FR" sz="1100" b="1"/>
            <a:t>Évaluation &amp; Sélection de Propositions</a:t>
          </a:r>
          <a:endParaRPr lang="en-US" sz="1100" b="1"/>
        </a:p>
      </dgm:t>
    </dgm:pt>
    <dgm:pt modelId="{B508C91E-0E67-4707-B1AD-5E42A2D0849D}" type="parTrans" cxnId="{3338C34A-276B-40CF-8698-8FA9042155E6}">
      <dgm:prSet/>
      <dgm:spPr/>
      <dgm:t>
        <a:bodyPr/>
        <a:lstStyle/>
        <a:p>
          <a:endParaRPr lang="en-US"/>
        </a:p>
      </dgm:t>
    </dgm:pt>
    <dgm:pt modelId="{B28E9B56-E3AB-4E70-A978-5A4F829C8E7D}" type="sibTrans" cxnId="{3338C34A-276B-40CF-8698-8FA9042155E6}">
      <dgm:prSet/>
      <dgm:spPr/>
      <dgm:t>
        <a:bodyPr/>
        <a:lstStyle/>
        <a:p>
          <a:endParaRPr lang="en-US"/>
        </a:p>
      </dgm:t>
    </dgm:pt>
    <dgm:pt modelId="{F6010EE7-C06F-4137-B11F-45563B4E6012}">
      <dgm:prSet phldrT="[Text]" custT="1"/>
      <dgm:spPr/>
      <dgm:t>
        <a:bodyPr/>
        <a:lstStyle/>
        <a:p>
          <a:r>
            <a:rPr lang="fr-FR" sz="1100" b="1"/>
            <a:t>Rationalisation &amp; Définition des TDR</a:t>
          </a:r>
          <a:endParaRPr lang="en-US" sz="1100" b="1"/>
        </a:p>
      </dgm:t>
    </dgm:pt>
    <dgm:pt modelId="{D97AF13A-405F-4A11-B047-3C77656A9F33}" type="parTrans" cxnId="{8A3A7BBC-B3A5-44DB-901C-A481A2DC31DD}">
      <dgm:prSet/>
      <dgm:spPr/>
      <dgm:t>
        <a:bodyPr/>
        <a:lstStyle/>
        <a:p>
          <a:endParaRPr lang="en-US"/>
        </a:p>
      </dgm:t>
    </dgm:pt>
    <dgm:pt modelId="{E1A3AF1B-6159-4CE7-8D4A-2CF7495966B3}" type="sibTrans" cxnId="{8A3A7BBC-B3A5-44DB-901C-A481A2DC31DD}">
      <dgm:prSet/>
      <dgm:spPr/>
      <dgm:t>
        <a:bodyPr/>
        <a:lstStyle/>
        <a:p>
          <a:endParaRPr lang="en-US"/>
        </a:p>
      </dgm:t>
    </dgm:pt>
    <dgm:pt modelId="{CEDA9B5C-8DEE-445E-B2A0-49880CB51D1D}">
      <dgm:prSet custT="1"/>
      <dgm:spPr/>
      <dgm:t>
        <a:bodyPr/>
        <a:lstStyle/>
        <a:p>
          <a:r>
            <a:rPr lang="en-US" sz="1100" b="1"/>
            <a:t>Approbation finale et </a:t>
          </a:r>
          <a:r>
            <a:rPr lang="fr-FR" sz="1100" b="1"/>
            <a:t>Signature de l'IPA</a:t>
          </a:r>
          <a:endParaRPr lang="en-US" sz="1100" b="1"/>
        </a:p>
      </dgm:t>
    </dgm:pt>
    <dgm:pt modelId="{6CAF7CD1-F2C0-4891-989A-8DD725A8612D}" type="parTrans" cxnId="{44F599CE-99E0-4DA4-AEBA-F834FB719184}">
      <dgm:prSet/>
      <dgm:spPr/>
      <dgm:t>
        <a:bodyPr/>
        <a:lstStyle/>
        <a:p>
          <a:endParaRPr lang="en-US"/>
        </a:p>
      </dgm:t>
    </dgm:pt>
    <dgm:pt modelId="{A8C04D83-9587-46D9-9F57-2B73F80EBEF8}" type="sibTrans" cxnId="{44F599CE-99E0-4DA4-AEBA-F834FB719184}">
      <dgm:prSet/>
      <dgm:spPr/>
      <dgm:t>
        <a:bodyPr/>
        <a:lstStyle/>
        <a:p>
          <a:endParaRPr lang="en-US"/>
        </a:p>
      </dgm:t>
    </dgm:pt>
    <dgm:pt modelId="{11F36403-5ED8-48A0-8918-20EDA407C0C7}" type="pres">
      <dgm:prSet presAssocID="{70A6E338-1875-47DB-AD93-E51A94F79C92}" presName="Name0" presStyleCnt="0">
        <dgm:presLayoutVars>
          <dgm:dir/>
          <dgm:resizeHandles val="exact"/>
        </dgm:presLayoutVars>
      </dgm:prSet>
      <dgm:spPr/>
    </dgm:pt>
    <dgm:pt modelId="{BC69ED14-6B2C-4C09-AF0B-30B3EBD802E1}" type="pres">
      <dgm:prSet presAssocID="{201758B1-56E5-4DB8-A2CD-E70A4E625A5E}" presName="parTxOnly" presStyleLbl="node1" presStyleIdx="0" presStyleCnt="4">
        <dgm:presLayoutVars>
          <dgm:bulletEnabled val="1"/>
        </dgm:presLayoutVars>
      </dgm:prSet>
      <dgm:spPr/>
    </dgm:pt>
    <dgm:pt modelId="{308E327A-1366-4B6A-9B02-232B558BC0BA}" type="pres">
      <dgm:prSet presAssocID="{DA7A1F4A-2460-4004-8804-9BE4732DCEB5}" presName="parSpace" presStyleCnt="0"/>
      <dgm:spPr/>
    </dgm:pt>
    <dgm:pt modelId="{BF5846AA-74FE-47EA-8D64-004EF04718B0}" type="pres">
      <dgm:prSet presAssocID="{21676D7F-5BE3-4491-B475-5B8F3F262FD2}" presName="parTxOnly" presStyleLbl="node1" presStyleIdx="1" presStyleCnt="4">
        <dgm:presLayoutVars>
          <dgm:bulletEnabled val="1"/>
        </dgm:presLayoutVars>
      </dgm:prSet>
      <dgm:spPr/>
    </dgm:pt>
    <dgm:pt modelId="{0A39D585-D721-44E2-8B60-5B613274A26A}" type="pres">
      <dgm:prSet presAssocID="{B28E9B56-E3AB-4E70-A978-5A4F829C8E7D}" presName="parSpace" presStyleCnt="0"/>
      <dgm:spPr/>
    </dgm:pt>
    <dgm:pt modelId="{293BBFAC-4C2C-40B0-B93F-6B71E17DE7DF}" type="pres">
      <dgm:prSet presAssocID="{F6010EE7-C06F-4137-B11F-45563B4E6012}" presName="parTxOnly" presStyleLbl="node1" presStyleIdx="2" presStyleCnt="4">
        <dgm:presLayoutVars>
          <dgm:bulletEnabled val="1"/>
        </dgm:presLayoutVars>
      </dgm:prSet>
      <dgm:spPr/>
    </dgm:pt>
    <dgm:pt modelId="{EBEDD1F5-C355-4528-BF63-A59D8E85BEA6}" type="pres">
      <dgm:prSet presAssocID="{E1A3AF1B-6159-4CE7-8D4A-2CF7495966B3}" presName="parSpace" presStyleCnt="0"/>
      <dgm:spPr/>
    </dgm:pt>
    <dgm:pt modelId="{D7059087-0F55-45EE-A7EB-21564ED601DE}" type="pres">
      <dgm:prSet presAssocID="{CEDA9B5C-8DEE-445E-B2A0-49880CB51D1D}" presName="parTxOnly" presStyleLbl="node1" presStyleIdx="3" presStyleCnt="4">
        <dgm:presLayoutVars>
          <dgm:bulletEnabled val="1"/>
        </dgm:presLayoutVars>
      </dgm:prSet>
      <dgm:spPr/>
    </dgm:pt>
  </dgm:ptLst>
  <dgm:cxnLst>
    <dgm:cxn modelId="{4DF70126-EC72-46CA-ACF9-04949D237D32}" type="presOf" srcId="{201758B1-56E5-4DB8-A2CD-E70A4E625A5E}" destId="{BC69ED14-6B2C-4C09-AF0B-30B3EBD802E1}" srcOrd="0" destOrd="0" presId="urn:microsoft.com/office/officeart/2005/8/layout/hChevron3"/>
    <dgm:cxn modelId="{FDBA0D34-04AB-43B5-B6F6-86894068C805}" type="presOf" srcId="{F6010EE7-C06F-4137-B11F-45563B4E6012}" destId="{293BBFAC-4C2C-40B0-B93F-6B71E17DE7DF}" srcOrd="0" destOrd="0" presId="urn:microsoft.com/office/officeart/2005/8/layout/hChevron3"/>
    <dgm:cxn modelId="{73694D64-322C-4B5B-B6FA-8B0A3635A797}" type="presOf" srcId="{CEDA9B5C-8DEE-445E-B2A0-49880CB51D1D}" destId="{D7059087-0F55-45EE-A7EB-21564ED601DE}" srcOrd="0" destOrd="0" presId="urn:microsoft.com/office/officeart/2005/8/layout/hChevron3"/>
    <dgm:cxn modelId="{3338C34A-276B-40CF-8698-8FA9042155E6}" srcId="{70A6E338-1875-47DB-AD93-E51A94F79C92}" destId="{21676D7F-5BE3-4491-B475-5B8F3F262FD2}" srcOrd="1" destOrd="0" parTransId="{B508C91E-0E67-4707-B1AD-5E42A2D0849D}" sibTransId="{B28E9B56-E3AB-4E70-A978-5A4F829C8E7D}"/>
    <dgm:cxn modelId="{5B6E7694-52D0-4082-95BB-940EB0E70096}" type="presOf" srcId="{21676D7F-5BE3-4491-B475-5B8F3F262FD2}" destId="{BF5846AA-74FE-47EA-8D64-004EF04718B0}" srcOrd="0" destOrd="0" presId="urn:microsoft.com/office/officeart/2005/8/layout/hChevron3"/>
    <dgm:cxn modelId="{6BFE98BA-7835-4853-BD53-AE2FC16A1690}" srcId="{70A6E338-1875-47DB-AD93-E51A94F79C92}" destId="{201758B1-56E5-4DB8-A2CD-E70A4E625A5E}" srcOrd="0" destOrd="0" parTransId="{5FE74163-9BF4-4C2F-A991-1D8462D24420}" sibTransId="{DA7A1F4A-2460-4004-8804-9BE4732DCEB5}"/>
    <dgm:cxn modelId="{8A3A7BBC-B3A5-44DB-901C-A481A2DC31DD}" srcId="{70A6E338-1875-47DB-AD93-E51A94F79C92}" destId="{F6010EE7-C06F-4137-B11F-45563B4E6012}" srcOrd="2" destOrd="0" parTransId="{D97AF13A-405F-4A11-B047-3C77656A9F33}" sibTransId="{E1A3AF1B-6159-4CE7-8D4A-2CF7495966B3}"/>
    <dgm:cxn modelId="{44F599CE-99E0-4DA4-AEBA-F834FB719184}" srcId="{70A6E338-1875-47DB-AD93-E51A94F79C92}" destId="{CEDA9B5C-8DEE-445E-B2A0-49880CB51D1D}" srcOrd="3" destOrd="0" parTransId="{6CAF7CD1-F2C0-4891-989A-8DD725A8612D}" sibTransId="{A8C04D83-9587-46D9-9F57-2B73F80EBEF8}"/>
    <dgm:cxn modelId="{315D40EA-84E2-45FA-BBFC-EF9F9B195F02}" type="presOf" srcId="{70A6E338-1875-47DB-AD93-E51A94F79C92}" destId="{11F36403-5ED8-48A0-8918-20EDA407C0C7}" srcOrd="0" destOrd="0" presId="urn:microsoft.com/office/officeart/2005/8/layout/hChevron3"/>
    <dgm:cxn modelId="{EA31EAF0-8F49-4C51-A0BE-52276F44175E}" type="presParOf" srcId="{11F36403-5ED8-48A0-8918-20EDA407C0C7}" destId="{BC69ED14-6B2C-4C09-AF0B-30B3EBD802E1}" srcOrd="0" destOrd="0" presId="urn:microsoft.com/office/officeart/2005/8/layout/hChevron3"/>
    <dgm:cxn modelId="{0539F154-5B73-4F0D-B685-F1122C318D48}" type="presParOf" srcId="{11F36403-5ED8-48A0-8918-20EDA407C0C7}" destId="{308E327A-1366-4B6A-9B02-232B558BC0BA}" srcOrd="1" destOrd="0" presId="urn:microsoft.com/office/officeart/2005/8/layout/hChevron3"/>
    <dgm:cxn modelId="{EFF1A301-58C3-4012-8797-22FF2DFBD956}" type="presParOf" srcId="{11F36403-5ED8-48A0-8918-20EDA407C0C7}" destId="{BF5846AA-74FE-47EA-8D64-004EF04718B0}" srcOrd="2" destOrd="0" presId="urn:microsoft.com/office/officeart/2005/8/layout/hChevron3"/>
    <dgm:cxn modelId="{98EA9A9D-79B8-4435-8843-85CC4A2A3C1E}" type="presParOf" srcId="{11F36403-5ED8-48A0-8918-20EDA407C0C7}" destId="{0A39D585-D721-44E2-8B60-5B613274A26A}" srcOrd="3" destOrd="0" presId="urn:microsoft.com/office/officeart/2005/8/layout/hChevron3"/>
    <dgm:cxn modelId="{63013D58-6567-4588-ADDA-B404170EBB15}" type="presParOf" srcId="{11F36403-5ED8-48A0-8918-20EDA407C0C7}" destId="{293BBFAC-4C2C-40B0-B93F-6B71E17DE7DF}" srcOrd="4" destOrd="0" presId="urn:microsoft.com/office/officeart/2005/8/layout/hChevron3"/>
    <dgm:cxn modelId="{1D876612-9F4C-4C20-B2B3-CCBB125C4A1C}" type="presParOf" srcId="{11F36403-5ED8-48A0-8918-20EDA407C0C7}" destId="{EBEDD1F5-C355-4528-BF63-A59D8E85BEA6}" srcOrd="5" destOrd="0" presId="urn:microsoft.com/office/officeart/2005/8/layout/hChevron3"/>
    <dgm:cxn modelId="{5F3AF13E-BFBB-4D1C-84DE-03121F9FB8E6}" type="presParOf" srcId="{11F36403-5ED8-48A0-8918-20EDA407C0C7}" destId="{D7059087-0F55-45EE-A7EB-21564ED601DE}" srcOrd="6" destOrd="0" presId="urn:microsoft.com/office/officeart/2005/8/layout/hChevron3"/>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69ED14-6B2C-4C09-AF0B-30B3EBD802E1}">
      <dsp:nvSpPr>
        <dsp:cNvPr id="0" name=""/>
        <dsp:cNvSpPr/>
      </dsp:nvSpPr>
      <dsp:spPr>
        <a:xfrm>
          <a:off x="1590" y="161831"/>
          <a:ext cx="1595902" cy="638361"/>
        </a:xfrm>
        <a:prstGeom prst="homePlate">
          <a:avLst/>
        </a:prstGeom>
        <a:solidFill>
          <a:schemeClr val="accent5">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674" tIns="29337" rIns="14669" bIns="29337" numCol="1" spcCol="1270" anchor="ctr" anchorCtr="0">
          <a:noAutofit/>
        </a:bodyPr>
        <a:lstStyle/>
        <a:p>
          <a:pPr marL="0" lvl="0" indent="0" algn="ctr" defTabSz="488950">
            <a:lnSpc>
              <a:spcPct val="90000"/>
            </a:lnSpc>
            <a:spcBef>
              <a:spcPct val="0"/>
            </a:spcBef>
            <a:spcAft>
              <a:spcPct val="35000"/>
            </a:spcAft>
            <a:buNone/>
          </a:pPr>
          <a:r>
            <a:rPr lang="fr-FR" sz="1100" b="1" kern="1200"/>
            <a:t>Contrôle d'Admissibilité et d'Éligibilité</a:t>
          </a:r>
          <a:endParaRPr lang="en-US" sz="1100" b="1" kern="1200"/>
        </a:p>
      </dsp:txBody>
      <dsp:txXfrm>
        <a:off x="1590" y="161831"/>
        <a:ext cx="1436312" cy="638361"/>
      </dsp:txXfrm>
    </dsp:sp>
    <dsp:sp modelId="{BF5846AA-74FE-47EA-8D64-004EF04718B0}">
      <dsp:nvSpPr>
        <dsp:cNvPr id="0" name=""/>
        <dsp:cNvSpPr/>
      </dsp:nvSpPr>
      <dsp:spPr>
        <a:xfrm>
          <a:off x="1278312" y="161831"/>
          <a:ext cx="1595902" cy="638361"/>
        </a:xfrm>
        <a:prstGeom prst="chevron">
          <a:avLst/>
        </a:prstGeom>
        <a:solidFill>
          <a:schemeClr val="accent5">
            <a:shade val="80000"/>
            <a:hueOff val="59891"/>
            <a:satOff val="-10762"/>
            <a:lumOff val="1079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marL="0" lvl="0" indent="0" algn="ctr" defTabSz="488950">
            <a:lnSpc>
              <a:spcPct val="90000"/>
            </a:lnSpc>
            <a:spcBef>
              <a:spcPct val="0"/>
            </a:spcBef>
            <a:spcAft>
              <a:spcPct val="35000"/>
            </a:spcAft>
            <a:buNone/>
          </a:pPr>
          <a:r>
            <a:rPr lang="fr-FR" sz="1100" b="1" kern="1200"/>
            <a:t>Évaluation &amp; Sélection de Propositions</a:t>
          </a:r>
          <a:endParaRPr lang="en-US" sz="1100" b="1" kern="1200"/>
        </a:p>
      </dsp:txBody>
      <dsp:txXfrm>
        <a:off x="1597493" y="161831"/>
        <a:ext cx="957541" cy="638361"/>
      </dsp:txXfrm>
    </dsp:sp>
    <dsp:sp modelId="{293BBFAC-4C2C-40B0-B93F-6B71E17DE7DF}">
      <dsp:nvSpPr>
        <dsp:cNvPr id="0" name=""/>
        <dsp:cNvSpPr/>
      </dsp:nvSpPr>
      <dsp:spPr>
        <a:xfrm>
          <a:off x="2555034" y="161831"/>
          <a:ext cx="1595902" cy="638361"/>
        </a:xfrm>
        <a:prstGeom prst="chevron">
          <a:avLst/>
        </a:prstGeom>
        <a:solidFill>
          <a:schemeClr val="accent5">
            <a:shade val="80000"/>
            <a:hueOff val="119783"/>
            <a:satOff val="-21524"/>
            <a:lumOff val="215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marL="0" lvl="0" indent="0" algn="ctr" defTabSz="488950">
            <a:lnSpc>
              <a:spcPct val="90000"/>
            </a:lnSpc>
            <a:spcBef>
              <a:spcPct val="0"/>
            </a:spcBef>
            <a:spcAft>
              <a:spcPct val="35000"/>
            </a:spcAft>
            <a:buNone/>
          </a:pPr>
          <a:r>
            <a:rPr lang="fr-FR" sz="1100" b="1" kern="1200"/>
            <a:t>Rationalisation &amp; Définition des TDR</a:t>
          </a:r>
          <a:endParaRPr lang="en-US" sz="1100" b="1" kern="1200"/>
        </a:p>
      </dsp:txBody>
      <dsp:txXfrm>
        <a:off x="2874215" y="161831"/>
        <a:ext cx="957541" cy="638361"/>
      </dsp:txXfrm>
    </dsp:sp>
    <dsp:sp modelId="{D7059087-0F55-45EE-A7EB-21564ED601DE}">
      <dsp:nvSpPr>
        <dsp:cNvPr id="0" name=""/>
        <dsp:cNvSpPr/>
      </dsp:nvSpPr>
      <dsp:spPr>
        <a:xfrm>
          <a:off x="3831756" y="161831"/>
          <a:ext cx="1595902" cy="638361"/>
        </a:xfrm>
        <a:prstGeom prst="chevron">
          <a:avLst/>
        </a:prstGeom>
        <a:solidFill>
          <a:schemeClr val="accent5">
            <a:shade val="80000"/>
            <a:hueOff val="179674"/>
            <a:satOff val="-32286"/>
            <a:lumOff val="3239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marL="0" lvl="0" indent="0" algn="ctr" defTabSz="488950">
            <a:lnSpc>
              <a:spcPct val="90000"/>
            </a:lnSpc>
            <a:spcBef>
              <a:spcPct val="0"/>
            </a:spcBef>
            <a:spcAft>
              <a:spcPct val="35000"/>
            </a:spcAft>
            <a:buNone/>
          </a:pPr>
          <a:r>
            <a:rPr lang="en-US" sz="1100" b="1" kern="1200"/>
            <a:t>Approbation finale et </a:t>
          </a:r>
          <a:r>
            <a:rPr lang="fr-FR" sz="1100" b="1" kern="1200"/>
            <a:t>Signature de l'IPA</a:t>
          </a:r>
          <a:endParaRPr lang="en-US" sz="1100" b="1" kern="1200"/>
        </a:p>
      </dsp:txBody>
      <dsp:txXfrm>
        <a:off x="4150937" y="161831"/>
        <a:ext cx="957541" cy="638361"/>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AD70C-5BEE-4C57-9737-CC97FB25E511}">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Template>
  <TotalTime>3</TotalTime>
  <Pages>23</Pages>
  <Words>7887</Words>
  <Characters>44958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52740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Rivera Lam, Macarena</dc:creator>
  <cp:keywords/>
  <dc:description/>
  <cp:lastModifiedBy>Mandl, Nadia Anna</cp:lastModifiedBy>
  <cp:revision>8</cp:revision>
  <dcterms:created xsi:type="dcterms:W3CDTF">2024-08-12T15:20:00Z</dcterms:created>
  <dcterms:modified xsi:type="dcterms:W3CDTF">2024-09-02T08:49:00Z</dcterms:modified>
</cp:coreProperties>
</file>