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rFonts w:ascii="Open Sans" w:cs="Open Sans" w:eastAsia="Open Sans" w:hAnsi="Open Sans"/>
          <w:color w:val="14c2cc"/>
          <w:sz w:val="30"/>
          <w:szCs w:val="30"/>
        </w:rPr>
      </w:pPr>
      <w:bookmarkStart w:colFirst="0" w:colLast="0" w:name="_heading=h.wj30cvsz97b1" w:id="1"/>
      <w:bookmarkEnd w:id="1"/>
      <w:r w:rsidDel="00000000" w:rsidR="00000000" w:rsidRPr="00000000">
        <w:rPr>
          <w:b w:val="1"/>
          <w:sz w:val="24"/>
          <w:szCs w:val="24"/>
          <w:rtl w:val="0"/>
        </w:rPr>
        <w:t xml:space="preserve">Request for Proposal (RFP) - Integrating Battery Energy Storage System (BESS) into the Grid for Energy Transition </w:t>
      </w:r>
      <w:r w:rsidDel="00000000" w:rsidR="00000000" w:rsidRPr="00000000">
        <w:rPr>
          <w:sz w:val="24"/>
          <w:szCs w:val="24"/>
          <w:rtl w:val="0"/>
        </w:rPr>
        <w:t xml:space="preserve">(Indonesia)</w:t>
      </w:r>
      <w:r w:rsidDel="00000000" w:rsidR="00000000" w:rsidRPr="00000000">
        <w:rPr>
          <w:rtl w:val="0"/>
        </w:rPr>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RFP/2024/53298</w:t>
      </w:r>
      <w:r w:rsidDel="00000000" w:rsidR="00000000" w:rsidRPr="00000000">
        <w:rPr>
          <w:rtl w:val="0"/>
        </w:rPr>
      </w:r>
    </w:p>
    <w:p w:rsidR="00000000" w:rsidDel="00000000" w:rsidP="00000000" w:rsidRDefault="00000000" w:rsidRPr="00000000" w14:paraId="00000005">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9">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C">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1">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2">
      <w:pPr>
        <w:ind w:left="720" w:hanging="720"/>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8">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9">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C">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E">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4">
      <w:pPr>
        <w:spacing w:line="240" w:lineRule="auto"/>
        <w:jc w:val="both"/>
        <w:rPr/>
      </w:pPr>
      <w:r w:rsidDel="00000000" w:rsidR="00000000" w:rsidRPr="00000000">
        <w:rPr>
          <w:rtl w:val="0"/>
        </w:rPr>
      </w:r>
    </w:p>
    <w:p w:rsidR="00000000" w:rsidDel="00000000" w:rsidP="00000000" w:rsidRDefault="00000000" w:rsidRPr="00000000" w14:paraId="00000025">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7">
      <w:pPr>
        <w:rPr>
          <w:rFonts w:ascii="Cambria" w:cs="Cambria" w:eastAsia="Cambria" w:hAnsi="Cambria"/>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9">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rtl w:val="0"/>
        </w:rPr>
        <w:t xml:space="preserve">RFP/2024/53298</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rtl w:val="0"/>
        </w:rPr>
      </w:r>
    </w:p>
    <w:p w:rsidR="00000000" w:rsidDel="00000000" w:rsidP="00000000" w:rsidRDefault="00000000" w:rsidRPr="00000000" w14:paraId="00000041">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4">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5">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6">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7">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8">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9">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A">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B">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C">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D">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4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1">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3">
      <w:pPr>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7">
      <w:pPr>
        <w:rPr>
          <w:color w:val="000000"/>
        </w:rPr>
      </w:pPr>
      <w:r w:rsidDel="00000000" w:rsidR="00000000" w:rsidRPr="00000000">
        <w:rPr>
          <w:rtl w:val="0"/>
        </w:rPr>
      </w:r>
    </w:p>
    <w:p w:rsidR="00000000" w:rsidDel="00000000" w:rsidP="00000000" w:rsidRDefault="00000000" w:rsidRPr="00000000" w14:paraId="00000058">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4">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spacing w:line="276" w:lineRule="auto"/>
              <w:jc w:val="both"/>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Brief description of the consultant (organisation), including the year and country of incorporation, and types of activities undertaken, including relevance of specialised knowledge and experience on similar engagements done in the past.</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A">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Bidders partnering up with a local entity to provide for the strategic consultation, translations; as well as the engagement expertise is considered a valuable asset.</w:t>
            </w:r>
          </w:p>
          <w:p w:rsidR="00000000" w:rsidDel="00000000" w:rsidP="00000000" w:rsidRDefault="00000000" w:rsidRPr="00000000" w14:paraId="0000006B">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6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D">
            <w:pPr>
              <w:rPr>
                <w:i w:val="1"/>
                <w:color w:val="0000ff"/>
              </w:rPr>
            </w:pPr>
            <w:r w:rsidDel="00000000" w:rsidR="00000000" w:rsidRPr="00000000">
              <w:rPr>
                <w:rtl w:val="0"/>
              </w:rPr>
            </w:r>
          </w:p>
          <w:p w:rsidR="00000000" w:rsidDel="00000000" w:rsidP="00000000" w:rsidRDefault="00000000" w:rsidRPr="00000000" w14:paraId="0000006E">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Experience in projects of comparable size, type, complexity and technical specialty </w:t>
            </w:r>
            <w:r w:rsidDel="00000000" w:rsidR="00000000" w:rsidRPr="00000000">
              <w:rPr>
                <w:i w:val="1"/>
                <w:color w:val="0000ff"/>
                <w:rtl w:val="0"/>
              </w:rPr>
              <w:t xml:space="preserve"> (6)</w:t>
            </w:r>
            <w:r w:rsidDel="00000000" w:rsidR="00000000" w:rsidRPr="00000000">
              <w:rPr>
                <w:rtl w:val="0"/>
              </w:rPr>
            </w:r>
          </w:p>
          <w:p w:rsidR="00000000" w:rsidDel="00000000" w:rsidP="00000000" w:rsidRDefault="00000000" w:rsidRPr="00000000" w14:paraId="0000006F">
            <w:pPr>
              <w:numPr>
                <w:ilvl w:val="0"/>
                <w:numId w:val="4"/>
              </w:numPr>
              <w:ind w:left="720" w:hanging="360"/>
              <w:rPr>
                <w:i w:val="1"/>
                <w:color w:val="0000ff"/>
              </w:rPr>
            </w:pPr>
            <w:r w:rsidDel="00000000" w:rsidR="00000000" w:rsidRPr="00000000">
              <w:rPr>
                <w:rFonts w:ascii="Open Sans" w:cs="Open Sans" w:eastAsia="Open Sans" w:hAnsi="Open Sans"/>
                <w:sz w:val="18"/>
                <w:szCs w:val="18"/>
                <w:rtl w:val="0"/>
              </w:rPr>
              <w:t xml:space="preserve">Demonstrates an understanding of the local context with regards key stakeholders, legal, regulatory and policy landscape especially that related to the project </w:t>
            </w:r>
            <w:r w:rsidDel="00000000" w:rsidR="00000000" w:rsidRPr="00000000">
              <w:rPr>
                <w:i w:val="1"/>
                <w:color w:val="0000ff"/>
                <w:rtl w:val="0"/>
              </w:rPr>
              <w:t xml:space="preserve">(6)</w:t>
            </w:r>
          </w:p>
          <w:p w:rsidR="00000000" w:rsidDel="00000000" w:rsidP="00000000" w:rsidRDefault="00000000" w:rsidRPr="00000000" w14:paraId="00000070">
            <w:pPr>
              <w:numPr>
                <w:ilvl w:val="0"/>
                <w:numId w:val="4"/>
              </w:numPr>
              <w:ind w:left="720" w:hanging="360"/>
              <w:rPr>
                <w:i w:val="1"/>
                <w:color w:val="0000ff"/>
                <w:u w:val="none"/>
              </w:rPr>
            </w:pPr>
            <w:r w:rsidDel="00000000" w:rsidR="00000000" w:rsidRPr="00000000">
              <w:rPr>
                <w:rFonts w:ascii="Open Sans" w:cs="Open Sans" w:eastAsia="Open Sans" w:hAnsi="Open Sans"/>
                <w:sz w:val="18"/>
                <w:szCs w:val="18"/>
                <w:rtl w:val="0"/>
              </w:rPr>
              <w:t xml:space="preserve">Demonstrates an ability to engage with local stakeholders for effective data collection, information gathering and dissemination</w:t>
            </w:r>
            <w:r w:rsidDel="00000000" w:rsidR="00000000" w:rsidRPr="00000000">
              <w:rPr>
                <w:i w:val="1"/>
                <w:color w:val="0000ff"/>
                <w:rtl w:val="0"/>
              </w:rPr>
              <w:t xml:space="preserve"> (5)</w:t>
            </w: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rtl w:val="0"/>
              </w:rPr>
            </w:r>
          </w:p>
          <w:p w:rsidR="00000000" w:rsidDel="00000000" w:rsidP="00000000" w:rsidRDefault="00000000" w:rsidRPr="00000000" w14:paraId="00000072">
            <w:pPr>
              <w:rPr>
                <w:i w:val="1"/>
                <w:color w:val="0000ff"/>
              </w:rPr>
            </w:pPr>
            <w:r w:rsidDel="00000000" w:rsidR="00000000" w:rsidRPr="00000000">
              <w:rPr>
                <w:i w:val="1"/>
                <w:color w:val="0000ff"/>
                <w:rtl w:val="0"/>
              </w:rPr>
              <w:t xml:space="preserve">Total Point 17</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75">
            <w:pPr>
              <w:rPr>
                <w:highlight w:val="cyan"/>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General organisational capability which is likely to affect implementation: management structure, and project management controls.</w:t>
            </w:r>
          </w:p>
          <w:p w:rsidR="00000000" w:rsidDel="00000000" w:rsidP="00000000" w:rsidRDefault="00000000" w:rsidRPr="00000000" w14:paraId="0000007A">
            <w:pPr>
              <w:spacing w:line="276" w:lineRule="auto"/>
              <w:jc w:val="both"/>
              <w:rPr>
                <w:rFonts w:ascii="Open Sans" w:cs="Open Sans" w:eastAsia="Open Sans" w:hAnsi="Open Sans"/>
              </w:rPr>
            </w:pPr>
            <w:r w:rsidDel="00000000" w:rsidR="00000000" w:rsidRPr="00000000">
              <w:rPr>
                <w:rFonts w:ascii="Open Sans" w:cs="Open Sans" w:eastAsia="Open Sans" w:hAnsi="Open Sans"/>
                <w:sz w:val="18"/>
                <w:szCs w:val="18"/>
                <w:rtl w:val="0"/>
              </w:rPr>
              <w:t xml:space="preserve">(Max 4 pages written text)</w:t>
            </w: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ind w:left="0" w:firstLine="0"/>
              <w:rPr>
                <w:i w:val="1"/>
                <w:color w:val="0000ff"/>
              </w:rPr>
            </w:pPr>
            <w:r w:rsidDel="00000000" w:rsidR="00000000" w:rsidRPr="00000000">
              <w:rPr>
                <w:i w:val="1"/>
                <w:color w:val="0000ff"/>
                <w:rtl w:val="0"/>
              </w:rPr>
              <w:t xml:space="preserve">Management structure, management controls, and the extent to which any part would be subcontracted (3)</w:t>
            </w:r>
          </w:p>
          <w:p w:rsidR="00000000" w:rsidDel="00000000" w:rsidP="00000000" w:rsidRDefault="00000000" w:rsidRPr="00000000" w14:paraId="0000007F">
            <w:pPr>
              <w:rPr>
                <w:i w:val="1"/>
                <w:color w:val="0000ff"/>
              </w:rPr>
            </w:pPr>
            <w:r w:rsidDel="00000000" w:rsidR="00000000" w:rsidRPr="00000000">
              <w:rPr>
                <w:rtl w:val="0"/>
              </w:rPr>
            </w:r>
          </w:p>
          <w:p w:rsidR="00000000" w:rsidDel="00000000" w:rsidP="00000000" w:rsidRDefault="00000000" w:rsidRPr="00000000" w14:paraId="00000080">
            <w:pPr>
              <w:spacing w:line="276" w:lineRule="auto"/>
              <w:ind w:left="0" w:firstLine="0"/>
              <w:rPr>
                <w:i w:val="1"/>
                <w:color w:val="0000ff"/>
              </w:rPr>
            </w:pPr>
            <w:r w:rsidDel="00000000" w:rsidR="00000000" w:rsidRPr="00000000">
              <w:rPr>
                <w:rFonts w:ascii="Open Sans" w:cs="Open Sans" w:eastAsia="Open Sans" w:hAnsi="Open Sans"/>
                <w:sz w:val="18"/>
                <w:szCs w:val="18"/>
                <w:rtl w:val="0"/>
              </w:rPr>
              <w:t xml:space="preserve">In the case of a JV, there is a clear designation of roles and responsibilities between the JV members.</w:t>
            </w: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 (</w:t>
            </w:r>
            <w:r w:rsidDel="00000000" w:rsidR="00000000" w:rsidRPr="00000000">
              <w:rPr>
                <w:b w:val="1"/>
                <w:highlight w:val="yellow"/>
                <w:rtl w:val="0"/>
              </w:rPr>
              <w:t xml:space="preserve">30</w:t>
            </w:r>
            <w:r w:rsidDel="00000000" w:rsidR="00000000" w:rsidRPr="00000000">
              <w:rPr>
                <w:b w:val="1"/>
                <w:rtl w:val="0"/>
              </w:rPr>
              <w:t xml:space="preserve">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after="200"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rPr>
                <w:i w:val="1"/>
                <w:color w:val="0000ff"/>
              </w:rPr>
            </w:pPr>
            <w:r w:rsidDel="00000000" w:rsidR="00000000" w:rsidRPr="00000000">
              <w:rPr>
                <w:rtl w:val="0"/>
              </w:rPr>
            </w:r>
          </w:p>
          <w:p w:rsidR="00000000" w:rsidDel="00000000" w:rsidP="00000000" w:rsidRDefault="00000000" w:rsidRPr="00000000" w14:paraId="0000008F">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identification </w:t>
            </w:r>
            <w:r w:rsidDel="00000000" w:rsidR="00000000" w:rsidRPr="00000000">
              <w:rPr>
                <w:rFonts w:ascii="Open Sans" w:cs="Open Sans" w:eastAsia="Open Sans" w:hAnsi="Open Sans"/>
                <w:sz w:val="18"/>
                <w:szCs w:val="18"/>
                <w:highlight w:val="white"/>
                <w:rtl w:val="0"/>
              </w:rPr>
              <w:t xml:space="preserve">of data sources, scenarios, issues for the deep-dive in the analysis and providing guidance to the government policy makers. </w:t>
            </w:r>
            <w:r w:rsidDel="00000000" w:rsidR="00000000" w:rsidRPr="00000000">
              <w:rPr>
                <w:i w:val="1"/>
                <w:color w:val="0000ff"/>
                <w:rtl w:val="0"/>
              </w:rPr>
              <w:t xml:space="preserve"> (4)</w:t>
            </w:r>
            <w:r w:rsidDel="00000000" w:rsidR="00000000" w:rsidRPr="00000000">
              <w:rPr>
                <w:rtl w:val="0"/>
              </w:rPr>
            </w:r>
          </w:p>
          <w:p w:rsidR="00000000" w:rsidDel="00000000" w:rsidP="00000000" w:rsidRDefault="00000000" w:rsidRPr="00000000" w14:paraId="00000090">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w:t>
            </w:r>
            <w:r w:rsidDel="00000000" w:rsidR="00000000" w:rsidRPr="00000000">
              <w:rPr>
                <w:rFonts w:ascii="Open Sans" w:cs="Open Sans" w:eastAsia="Open Sans" w:hAnsi="Open Sans"/>
                <w:sz w:val="18"/>
                <w:szCs w:val="18"/>
                <w:highlight w:val="white"/>
                <w:rtl w:val="0"/>
              </w:rPr>
              <w:t xml:space="preserve">assessment of </w:t>
            </w:r>
            <w:r w:rsidDel="00000000" w:rsidR="00000000" w:rsidRPr="00000000">
              <w:rPr>
                <w:rFonts w:ascii="Open Sans" w:cs="Open Sans" w:eastAsia="Open Sans" w:hAnsi="Open Sans"/>
                <w:color w:val="0000ff"/>
                <w:sz w:val="18"/>
                <w:szCs w:val="18"/>
                <w:highlight w:val="white"/>
                <w:rtl w:val="0"/>
              </w:rPr>
              <w:t xml:space="preserve">assessment and model-based analysis of BESS integration for enhanced grid stability, reliability, and efficiency.</w:t>
            </w:r>
            <w:r w:rsidDel="00000000" w:rsidR="00000000" w:rsidRPr="00000000">
              <w:rPr>
                <w:rFonts w:ascii="Open Sans" w:cs="Open Sans" w:eastAsia="Open Sans" w:hAnsi="Open Sans"/>
                <w:rtl w:val="0"/>
              </w:rPr>
              <w:t xml:space="preserve"> </w:t>
            </w:r>
            <w:r w:rsidDel="00000000" w:rsidR="00000000" w:rsidRPr="00000000">
              <w:rPr>
                <w:i w:val="1"/>
                <w:color w:val="0000ff"/>
                <w:rtl w:val="0"/>
              </w:rPr>
              <w:t xml:space="preserve">(7)</w:t>
            </w:r>
            <w:r w:rsidDel="00000000" w:rsidR="00000000" w:rsidRPr="00000000">
              <w:rPr>
                <w:rtl w:val="0"/>
              </w:rPr>
            </w:r>
          </w:p>
          <w:p w:rsidR="00000000" w:rsidDel="00000000" w:rsidP="00000000" w:rsidRDefault="00000000" w:rsidRPr="00000000" w14:paraId="00000091">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w:t>
            </w:r>
            <w:r w:rsidDel="00000000" w:rsidR="00000000" w:rsidRPr="00000000">
              <w:rPr>
                <w:rFonts w:ascii="Open Sans" w:cs="Open Sans" w:eastAsia="Open Sans" w:hAnsi="Open Sans"/>
                <w:color w:val="0000ff"/>
                <w:sz w:val="18"/>
                <w:szCs w:val="18"/>
                <w:highlight w:val="white"/>
                <w:rtl w:val="0"/>
              </w:rPr>
              <w:t xml:space="preserve"> to the creation of BESS deployment and operation business model tailored to fit the Indonesian national context.</w:t>
            </w:r>
            <w:r w:rsidDel="00000000" w:rsidR="00000000" w:rsidRPr="00000000">
              <w:rPr>
                <w:i w:val="1"/>
                <w:color w:val="0000ff"/>
                <w:rtl w:val="0"/>
              </w:rPr>
              <w:t xml:space="preserve"> (5) </w:t>
            </w:r>
            <w:r w:rsidDel="00000000" w:rsidR="00000000" w:rsidRPr="00000000">
              <w:rPr>
                <w:rtl w:val="0"/>
              </w:rPr>
            </w:r>
          </w:p>
          <w:p w:rsidR="00000000" w:rsidDel="00000000" w:rsidP="00000000" w:rsidRDefault="00000000" w:rsidRPr="00000000" w14:paraId="00000092">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provide</w:t>
            </w:r>
            <w:r w:rsidDel="00000000" w:rsidR="00000000" w:rsidRPr="00000000">
              <w:rPr>
                <w:rFonts w:ascii="Open Sans" w:cs="Open Sans" w:eastAsia="Open Sans" w:hAnsi="Open Sans"/>
                <w:color w:val="0000ff"/>
                <w:sz w:val="18"/>
                <w:szCs w:val="18"/>
                <w:highlight w:val="white"/>
                <w:rtl w:val="0"/>
              </w:rPr>
              <w:t xml:space="preserve"> analysis for the </w:t>
            </w:r>
            <w:r w:rsidDel="00000000" w:rsidR="00000000" w:rsidRPr="00000000">
              <w:rPr>
                <w:rFonts w:ascii="Open Sans" w:cs="Open Sans" w:eastAsia="Open Sans" w:hAnsi="Open Sans"/>
                <w:color w:val="0000ff"/>
                <w:sz w:val="18"/>
                <w:szCs w:val="18"/>
                <w:rtl w:val="0"/>
              </w:rPr>
              <w:t xml:space="preserve"> integrated policy framework and roadmap for BESS.</w:t>
            </w:r>
            <w:r w:rsidDel="00000000" w:rsidR="00000000" w:rsidRPr="00000000">
              <w:rPr>
                <w:i w:val="1"/>
                <w:color w:val="0000ff"/>
                <w:rtl w:val="0"/>
              </w:rPr>
              <w:t xml:space="preserve"> (5)</w:t>
            </w:r>
            <w:r w:rsidDel="00000000" w:rsidR="00000000" w:rsidRPr="00000000">
              <w:rPr>
                <w:rtl w:val="0"/>
              </w:rPr>
            </w:r>
          </w:p>
          <w:p w:rsidR="00000000" w:rsidDel="00000000" w:rsidP="00000000" w:rsidRDefault="00000000" w:rsidRPr="00000000" w14:paraId="00000093">
            <w:pPr>
              <w:numPr>
                <w:ilvl w:val="0"/>
                <w:numId w:val="1"/>
              </w:numPr>
              <w:ind w:left="720" w:hanging="360"/>
              <w:rPr>
                <w:i w:val="1"/>
                <w:color w:val="0000ff"/>
                <w:u w:val="none"/>
              </w:rPr>
            </w:pPr>
            <w:r w:rsidDel="00000000" w:rsidR="00000000" w:rsidRPr="00000000">
              <w:rPr>
                <w:rFonts w:ascii="Open Sans" w:cs="Open Sans" w:eastAsia="Open Sans" w:hAnsi="Open Sans"/>
                <w:sz w:val="18"/>
                <w:szCs w:val="18"/>
                <w:rtl w:val="0"/>
              </w:rPr>
              <w:t xml:space="preserve">Description of the offeror’s approach to </w:t>
            </w:r>
            <w:r w:rsidDel="00000000" w:rsidR="00000000" w:rsidRPr="00000000">
              <w:rPr>
                <w:rFonts w:ascii="Open Sans" w:cs="Open Sans" w:eastAsia="Open Sans" w:hAnsi="Open Sans"/>
                <w:color w:val="0000ff"/>
                <w:sz w:val="18"/>
                <w:szCs w:val="18"/>
                <w:rtl w:val="0"/>
              </w:rPr>
              <w:t xml:space="preserve">provide capacity building related to BESS Management and draft of national standards (SNI) specifically for BESS.</w:t>
            </w:r>
            <w:r w:rsidDel="00000000" w:rsidR="00000000" w:rsidRPr="00000000">
              <w:rPr>
                <w:rFonts w:ascii="Open Sans" w:cs="Open Sans" w:eastAsia="Open Sans" w:hAnsi="Open Sans"/>
                <w:b w:val="1"/>
                <w:rtl w:val="0"/>
              </w:rPr>
              <w:t xml:space="preserve"> </w:t>
            </w:r>
            <w:r w:rsidDel="00000000" w:rsidR="00000000" w:rsidRPr="00000000">
              <w:rPr>
                <w:i w:val="1"/>
                <w:color w:val="0000ff"/>
                <w:rtl w:val="0"/>
              </w:rPr>
              <w:t xml:space="preserve">(4)</w:t>
            </w:r>
            <w:r w:rsidDel="00000000" w:rsidR="00000000" w:rsidRPr="00000000">
              <w:rPr>
                <w:rtl w:val="0"/>
              </w:rPr>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25</w:t>
            </w:r>
          </w:p>
          <w:p w:rsidR="00000000" w:rsidDel="00000000" w:rsidP="00000000" w:rsidRDefault="00000000" w:rsidRPr="00000000" w14:paraId="00000096">
            <w:pPr>
              <w:rPr>
                <w:i w:val="1"/>
                <w:color w:val="0000ff"/>
              </w:rPr>
            </w:pP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Quality Assurance Plan</w:t>
            </w:r>
          </w:p>
          <w:p w:rsidR="00000000" w:rsidDel="00000000" w:rsidP="00000000" w:rsidRDefault="00000000" w:rsidRPr="00000000" w14:paraId="0000009D">
            <w:pPr>
              <w:widowControl w:val="0"/>
              <w:spacing w:after="200"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F">
            <w:pPr>
              <w:widowControl w:val="0"/>
              <w:spacing w:after="200" w:line="276" w:lineRule="auto"/>
              <w:rPr>
                <w:rFonts w:ascii="Open Sans" w:cs="Open Sans" w:eastAsia="Open Sans" w:hAnsi="Open Sans"/>
                <w:sz w:val="18"/>
                <w:szCs w:val="18"/>
              </w:rPr>
            </w:pPr>
            <w:r w:rsidDel="00000000" w:rsidR="00000000" w:rsidRPr="00000000">
              <w:rPr>
                <w:i w:val="1"/>
                <w:color w:val="0000ff"/>
                <w:rtl w:val="0"/>
              </w:rPr>
              <w:t xml:space="preserve">A plan outlining how the bidder intends to ensure oversight and quality assurance throughout the assignment, including clear process flow between the experts and JV members (if relevant). Quality Assurance plan should include discussion on risk-assessment and its mitigation plan. (7) </w:t>
            </w: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3</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4">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Implementation Timeline</w:t>
            </w:r>
          </w:p>
          <w:p w:rsidR="00000000" w:rsidDel="00000000" w:rsidP="00000000" w:rsidRDefault="00000000" w:rsidRPr="00000000" w14:paraId="000000A6">
            <w:pPr>
              <w:spacing w:line="276" w:lineRule="auto"/>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0A7">
            <w:pPr>
              <w:widowControl w:val="0"/>
              <w:spacing w:after="200" w:line="276" w:lineRule="auto"/>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A8">
            <w:pPr>
              <w:widowControl w:val="0"/>
              <w:spacing w:after="200" w:line="276" w:lineRule="auto"/>
              <w:rPr>
                <w:rFonts w:ascii="Open Sans" w:cs="Open Sans" w:eastAsia="Open Sans" w:hAnsi="Open Sans"/>
              </w:rPr>
            </w:pPr>
            <w:r w:rsidDel="00000000" w:rsidR="00000000" w:rsidRPr="00000000">
              <w:rPr>
                <w:i w:val="1"/>
                <w:color w:val="0000ff"/>
                <w:rtl w:val="0"/>
              </w:rPr>
              <w:t xml:space="preserve">Bidder submits a detailed implementation timeline which includes detailed activities to be undertaken during this assignment, and is completed with gantt chart. (2)</w:t>
            </w:r>
            <w:r w:rsidDel="00000000" w:rsidR="00000000" w:rsidRPr="00000000">
              <w:rPr>
                <w:rtl w:val="0"/>
              </w:rPr>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AB">
            <w:pPr>
              <w:rPr>
                <w:i w:val="1"/>
                <w:color w:val="0000ff"/>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highlight w:val="lightGray"/>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and Sustainability Criteria  </w:t>
            </w:r>
            <w:r w:rsidDel="00000000" w:rsidR="00000000" w:rsidRPr="00000000">
              <w:rPr>
                <w:b w:val="1"/>
                <w:highlight w:val="yellow"/>
                <w:rtl w:val="0"/>
              </w:rPr>
              <w:t xml:space="preserve">(30 points</w:t>
            </w:r>
            <w:r w:rsidDel="00000000" w:rsidR="00000000" w:rsidRPr="00000000">
              <w:rPr>
                <w:b w:val="1"/>
                <w:rtl w:val="0"/>
              </w:rPr>
              <w:t xml:space="preserve">)</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79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55"/>
              <w:gridCol w:w="2475"/>
              <w:gridCol w:w="2805"/>
              <w:gridCol w:w="2355"/>
              <w:tblGridChange w:id="0">
                <w:tblGrid>
                  <w:gridCol w:w="1155"/>
                  <w:gridCol w:w="2475"/>
                  <w:gridCol w:w="2805"/>
                  <w:gridCol w:w="2355"/>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Requirements as per Terms of reference</w:t>
                  </w:r>
                </w:p>
              </w:tc>
              <w:tc>
                <w:tcPr>
                  <w:shd w:fill="d9d9d9" w:val="clear"/>
                </w:tcPr>
                <w:p w:rsidR="00000000" w:rsidDel="00000000" w:rsidP="00000000" w:rsidRDefault="00000000" w:rsidRPr="00000000" w14:paraId="000000BD">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The Personnel Education and Experience highlight, aligning with the 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Team Lead</w:t>
                  </w:r>
                </w:p>
              </w:tc>
              <w:tc>
                <w:tcPr>
                  <w:vAlign w:val="center"/>
                </w:tcPr>
                <w:p w:rsidR="00000000" w:rsidDel="00000000" w:rsidP="00000000" w:rsidRDefault="00000000" w:rsidRPr="00000000" w14:paraId="000000C0">
                  <w:pPr>
                    <w:jc w:val="both"/>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c>
                <w:tcPr>
                  <w:vAlign w:val="center"/>
                </w:tcPr>
                <w:p w:rsidR="00000000" w:rsidDel="00000000" w:rsidP="00000000" w:rsidRDefault="00000000" w:rsidRPr="00000000" w14:paraId="000000C1">
                  <w:pPr>
                    <w:jc w:val="both"/>
                    <w:rPr>
                      <w:rFonts w:ascii="Arial" w:cs="Arial" w:eastAsia="Arial" w:hAnsi="Arial"/>
                      <w:sz w:val="18"/>
                      <w:szCs w:val="18"/>
                      <w:highlight w:val="cyan"/>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2">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3">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BESS Technical Specialist </w:t>
                  </w:r>
                </w:p>
              </w:tc>
              <w:tc>
                <w:tcPr>
                  <w:vAlign w:val="center"/>
                </w:tcPr>
                <w:p w:rsidR="00000000" w:rsidDel="00000000" w:rsidP="00000000" w:rsidRDefault="00000000" w:rsidRPr="00000000" w14:paraId="000000C4">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widowControl w:val="0"/>
                    <w:spacing w:after="200"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Energy Market Specialist </w:t>
                  </w:r>
                </w:p>
              </w:tc>
              <w:tc>
                <w:tcPr>
                  <w:vAlign w:val="center"/>
                </w:tcPr>
                <w:p w:rsidR="00000000" w:rsidDel="00000000" w:rsidP="00000000" w:rsidRDefault="00000000" w:rsidRPr="00000000" w14:paraId="000000C8">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9">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widowControl w:val="0"/>
                    <w:spacing w:after="200" w:line="276" w:lineRule="auto"/>
                    <w:rPr>
                      <w:sz w:val="18"/>
                      <w:szCs w:val="18"/>
                    </w:rPr>
                  </w:pPr>
                  <w:r w:rsidDel="00000000" w:rsidR="00000000" w:rsidRPr="00000000">
                    <w:rPr>
                      <w:rFonts w:ascii="Open Sans" w:cs="Open Sans" w:eastAsia="Open Sans" w:hAnsi="Open Sans"/>
                      <w:sz w:val="16"/>
                      <w:szCs w:val="16"/>
                      <w:rtl w:val="0"/>
                    </w:rPr>
                    <w:t xml:space="preserve">Energy Policy Specialist </w:t>
                  </w:r>
                  <w:r w:rsidDel="00000000" w:rsidR="00000000" w:rsidRPr="00000000">
                    <w:rPr>
                      <w:rtl w:val="0"/>
                    </w:rPr>
                  </w:r>
                </w:p>
              </w:tc>
              <w:tc>
                <w:tcPr>
                  <w:vAlign w:val="center"/>
                </w:tcPr>
                <w:p w:rsidR="00000000" w:rsidDel="00000000" w:rsidP="00000000" w:rsidRDefault="00000000" w:rsidRPr="00000000" w14:paraId="000000CC">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CD">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E">
                  <w:pPr>
                    <w:jc w:val="center"/>
                    <w:rPr>
                      <w:rFonts w:ascii="Arial" w:cs="Arial" w:eastAsia="Arial" w:hAnsi="Arial"/>
                      <w:sz w:val="18"/>
                      <w:szCs w:val="18"/>
                      <w:highlight w:val="cyan"/>
                    </w:rPr>
                  </w:pPr>
                  <w:r w:rsidDel="00000000" w:rsidR="00000000" w:rsidRPr="00000000">
                    <w:rPr>
                      <w:rFonts w:ascii="Arial" w:cs="Arial" w:eastAsia="Arial" w:hAnsi="Arial"/>
                      <w:sz w:val="18"/>
                      <w:szCs w:val="18"/>
                      <w:highlight w:val="cyan"/>
                      <w:rtl w:val="0"/>
                    </w:rPr>
                    <w:t xml:space="preserve">[Insert]</w:t>
                  </w:r>
                </w:p>
              </w:tc>
              <w:tc>
                <w:tcPr>
                  <w:vAlign w:val="center"/>
                </w:tcPr>
                <w:p w:rsidR="00000000" w:rsidDel="00000000" w:rsidP="00000000" w:rsidRDefault="00000000" w:rsidRPr="00000000" w14:paraId="000000CF">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Energy Modeller </w:t>
                  </w:r>
                </w:p>
              </w:tc>
              <w:tc>
                <w:tcPr>
                  <w:vAlign w:val="center"/>
                </w:tcPr>
                <w:p w:rsidR="00000000" w:rsidDel="00000000" w:rsidP="00000000" w:rsidRDefault="00000000" w:rsidRPr="00000000" w14:paraId="000000D0">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2">
                  <w:pPr>
                    <w:jc w:val="center"/>
                    <w:rPr>
                      <w:rFonts w:ascii="Arial" w:cs="Arial" w:eastAsia="Arial" w:hAnsi="Arial"/>
                      <w:sz w:val="18"/>
                      <w:szCs w:val="18"/>
                      <w:highlight w:val="cyan"/>
                    </w:rPr>
                  </w:pPr>
                  <w:r w:rsidDel="00000000" w:rsidR="00000000" w:rsidRPr="00000000">
                    <w:rPr>
                      <w:rtl w:val="0"/>
                    </w:rPr>
                  </w:r>
                </w:p>
              </w:tc>
              <w:tc>
                <w:tcPr>
                  <w:vAlign w:val="center"/>
                </w:tcPr>
                <w:p w:rsidR="00000000" w:rsidDel="00000000" w:rsidP="00000000" w:rsidRDefault="00000000" w:rsidRPr="00000000" w14:paraId="000000D3">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Additional positions</w:t>
                  </w:r>
                </w:p>
                <w:p w:rsidR="00000000" w:rsidDel="00000000" w:rsidP="00000000" w:rsidRDefault="00000000" w:rsidRPr="00000000" w14:paraId="000000D4">
                  <w:pP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(if applicable)</w:t>
                  </w:r>
                </w:p>
              </w:tc>
              <w:tc>
                <w:tcPr>
                  <w:vAlign w:val="center"/>
                </w:tcPr>
                <w:p w:rsidR="00000000" w:rsidDel="00000000" w:rsidP="00000000" w:rsidRDefault="00000000" w:rsidRPr="00000000" w14:paraId="000000D5">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6">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7">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8">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9">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A">
                  <w:pPr>
                    <w:jc w:val="center"/>
                    <w:rPr>
                      <w:rFonts w:ascii="Arial" w:cs="Arial" w:eastAsia="Arial" w:hAnsi="Arial"/>
                      <w:sz w:val="18"/>
                      <w:szCs w:val="18"/>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DB">
                  <w:pPr>
                    <w:jc w:val="center"/>
                    <w:rPr>
                      <w:rFonts w:ascii="Arial" w:cs="Arial" w:eastAsia="Arial" w:hAnsi="Arial"/>
                      <w:sz w:val="18"/>
                      <w:szCs w:val="18"/>
                    </w:rPr>
                  </w:pPr>
                  <w:r w:rsidDel="00000000" w:rsidR="00000000" w:rsidRPr="00000000">
                    <w:rPr>
                      <w:rFonts w:ascii="Arial" w:cs="Arial" w:eastAsia="Arial" w:hAnsi="Arial"/>
                      <w:sz w:val="18"/>
                      <w:szCs w:val="18"/>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C">
                  <w:pPr>
                    <w:spacing w:line="276" w:lineRule="auto"/>
                    <w:ind w:left="0" w:firstLine="0"/>
                    <w:rPr/>
                  </w:pPr>
                  <w:r w:rsidDel="00000000" w:rsidR="00000000" w:rsidRPr="00000000">
                    <w:rPr>
                      <w:rtl w:val="0"/>
                    </w:rPr>
                  </w:r>
                </w:p>
              </w:tc>
              <w:tc>
                <w:tcPr>
                  <w:vAlign w:val="center"/>
                </w:tcPr>
                <w:p w:rsidR="00000000" w:rsidDel="00000000" w:rsidP="00000000" w:rsidRDefault="00000000" w:rsidRPr="00000000" w14:paraId="000000DD">
                  <w:pPr>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DE">
                  <w:pPr>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DF">
            <w:pPr>
              <w:rPr>
                <w:i w:val="1"/>
                <w:color w:val="0000ff"/>
              </w:rPr>
            </w:pPr>
            <w:r w:rsidDel="00000000" w:rsidR="00000000" w:rsidRPr="00000000">
              <w:rPr>
                <w:rtl w:val="0"/>
              </w:rPr>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E1">
            <w:pPr>
              <w:rPr>
                <w:i w:val="1"/>
                <w:color w:val="0000ff"/>
              </w:rPr>
            </w:pPr>
            <w:r w:rsidDel="00000000" w:rsidR="00000000" w:rsidRPr="00000000">
              <w:rPr>
                <w:rtl w:val="0"/>
              </w:rPr>
            </w:r>
          </w:p>
          <w:p w:rsidR="00000000" w:rsidDel="00000000" w:rsidP="00000000" w:rsidRDefault="00000000" w:rsidRPr="00000000" w14:paraId="000000E2">
            <w:pPr>
              <w:rPr>
                <w:i w:val="1"/>
                <w:color w:val="0000ff"/>
                <w:highlight w:val="white"/>
              </w:rPr>
            </w:pPr>
            <w:r w:rsidDel="00000000" w:rsidR="00000000" w:rsidRPr="00000000">
              <w:rPr>
                <w:i w:val="1"/>
                <w:color w:val="0000ff"/>
                <w:highlight w:val="white"/>
                <w:rtl w:val="0"/>
              </w:rPr>
              <w:t xml:space="preserve">1. </w:t>
            </w:r>
            <w:r w:rsidDel="00000000" w:rsidR="00000000" w:rsidRPr="00000000">
              <w:rPr>
                <w:rFonts w:ascii="Open Sans" w:cs="Open Sans" w:eastAsia="Open Sans" w:hAnsi="Open Sans"/>
                <w:sz w:val="16"/>
                <w:szCs w:val="16"/>
                <w:rtl w:val="0"/>
              </w:rPr>
              <w:t xml:space="preserve">Team Lead</w:t>
            </w:r>
            <w:r w:rsidDel="00000000" w:rsidR="00000000" w:rsidRPr="00000000">
              <w:rPr>
                <w:i w:val="1"/>
                <w:color w:val="0000ff"/>
                <w:highlight w:val="white"/>
                <w:rtl w:val="0"/>
              </w:rPr>
              <w:t xml:space="preserve"> (7)</w:t>
            </w:r>
          </w:p>
          <w:p w:rsidR="00000000" w:rsidDel="00000000" w:rsidP="00000000" w:rsidRDefault="00000000" w:rsidRPr="00000000" w14:paraId="000000E3">
            <w:pPr>
              <w:rPr>
                <w:i w:val="1"/>
                <w:color w:val="0000ff"/>
                <w:highlight w:val="white"/>
              </w:rPr>
            </w:pPr>
            <w:r w:rsidDel="00000000" w:rsidR="00000000" w:rsidRPr="00000000">
              <w:rPr>
                <w:i w:val="1"/>
                <w:color w:val="0000ff"/>
                <w:highlight w:val="white"/>
                <w:rtl w:val="0"/>
              </w:rPr>
              <w:t xml:space="preserve">2. </w:t>
            </w:r>
            <w:r w:rsidDel="00000000" w:rsidR="00000000" w:rsidRPr="00000000">
              <w:rPr>
                <w:rFonts w:ascii="Open Sans" w:cs="Open Sans" w:eastAsia="Open Sans" w:hAnsi="Open Sans"/>
                <w:sz w:val="16"/>
                <w:szCs w:val="16"/>
                <w:rtl w:val="0"/>
              </w:rPr>
              <w:t xml:space="preserve">BESS Technical Specialist </w:t>
            </w:r>
            <w:r w:rsidDel="00000000" w:rsidR="00000000" w:rsidRPr="00000000">
              <w:rPr>
                <w:i w:val="1"/>
                <w:color w:val="0000ff"/>
                <w:highlight w:val="white"/>
                <w:rtl w:val="0"/>
              </w:rPr>
              <w:t xml:space="preserve"> (6)</w:t>
            </w:r>
          </w:p>
          <w:p w:rsidR="00000000" w:rsidDel="00000000" w:rsidP="00000000" w:rsidRDefault="00000000" w:rsidRPr="00000000" w14:paraId="000000E4">
            <w:pPr>
              <w:rPr>
                <w:i w:val="1"/>
                <w:color w:val="0000ff"/>
                <w:highlight w:val="white"/>
              </w:rPr>
            </w:pPr>
            <w:r w:rsidDel="00000000" w:rsidR="00000000" w:rsidRPr="00000000">
              <w:rPr>
                <w:i w:val="1"/>
                <w:color w:val="0000ff"/>
                <w:highlight w:val="white"/>
                <w:rtl w:val="0"/>
              </w:rPr>
              <w:t xml:space="preserve">3. </w:t>
            </w:r>
            <w:r w:rsidDel="00000000" w:rsidR="00000000" w:rsidRPr="00000000">
              <w:rPr>
                <w:rFonts w:ascii="Open Sans" w:cs="Open Sans" w:eastAsia="Open Sans" w:hAnsi="Open Sans"/>
                <w:sz w:val="16"/>
                <w:szCs w:val="16"/>
                <w:rtl w:val="0"/>
              </w:rPr>
              <w:t xml:space="preserve">Energy Market Specialist</w:t>
            </w:r>
            <w:r w:rsidDel="00000000" w:rsidR="00000000" w:rsidRPr="00000000">
              <w:rPr>
                <w:i w:val="1"/>
                <w:color w:val="0000ff"/>
                <w:highlight w:val="white"/>
                <w:rtl w:val="0"/>
              </w:rPr>
              <w:t xml:space="preserve"> (5)</w:t>
            </w:r>
          </w:p>
          <w:p w:rsidR="00000000" w:rsidDel="00000000" w:rsidP="00000000" w:rsidRDefault="00000000" w:rsidRPr="00000000" w14:paraId="000000E5">
            <w:pPr>
              <w:rPr>
                <w:i w:val="1"/>
                <w:color w:val="0000ff"/>
                <w:highlight w:val="white"/>
              </w:rPr>
            </w:pPr>
            <w:r w:rsidDel="00000000" w:rsidR="00000000" w:rsidRPr="00000000">
              <w:rPr>
                <w:i w:val="1"/>
                <w:color w:val="0000ff"/>
                <w:highlight w:val="white"/>
                <w:rtl w:val="0"/>
              </w:rPr>
              <w:t xml:space="preserve">4.</w:t>
            </w:r>
            <w:r w:rsidDel="00000000" w:rsidR="00000000" w:rsidRPr="00000000">
              <w:rPr>
                <w:rFonts w:ascii="Open Sans" w:cs="Open Sans" w:eastAsia="Open Sans" w:hAnsi="Open Sans"/>
                <w:sz w:val="16"/>
                <w:szCs w:val="16"/>
                <w:rtl w:val="0"/>
              </w:rPr>
              <w:t xml:space="preserve">Energy Policy Specialist </w:t>
            </w:r>
            <w:r w:rsidDel="00000000" w:rsidR="00000000" w:rsidRPr="00000000">
              <w:rPr>
                <w:i w:val="1"/>
                <w:color w:val="0000ff"/>
                <w:highlight w:val="white"/>
                <w:rtl w:val="0"/>
              </w:rPr>
              <w:t xml:space="preserve"> (4)</w:t>
            </w:r>
          </w:p>
          <w:p w:rsidR="00000000" w:rsidDel="00000000" w:rsidP="00000000" w:rsidRDefault="00000000" w:rsidRPr="00000000" w14:paraId="000000E6">
            <w:pPr>
              <w:rPr>
                <w:i w:val="1"/>
                <w:color w:val="0000ff"/>
                <w:highlight w:val="white"/>
              </w:rPr>
            </w:pPr>
            <w:r w:rsidDel="00000000" w:rsidR="00000000" w:rsidRPr="00000000">
              <w:rPr>
                <w:i w:val="1"/>
                <w:color w:val="0000ff"/>
                <w:highlight w:val="white"/>
                <w:rtl w:val="0"/>
              </w:rPr>
              <w:t xml:space="preserve">5. </w:t>
            </w:r>
            <w:r w:rsidDel="00000000" w:rsidR="00000000" w:rsidRPr="00000000">
              <w:rPr>
                <w:rFonts w:ascii="Open Sans" w:cs="Open Sans" w:eastAsia="Open Sans" w:hAnsi="Open Sans"/>
                <w:sz w:val="16"/>
                <w:szCs w:val="16"/>
                <w:rtl w:val="0"/>
              </w:rPr>
              <w:t xml:space="preserve">Energy Modeller</w:t>
            </w:r>
            <w:r w:rsidDel="00000000" w:rsidR="00000000" w:rsidRPr="00000000">
              <w:rPr>
                <w:i w:val="1"/>
                <w:color w:val="0000ff"/>
                <w:highlight w:val="white"/>
                <w:rtl w:val="0"/>
              </w:rPr>
              <w:t xml:space="preserve"> (6)</w:t>
            </w:r>
          </w:p>
          <w:p w:rsidR="00000000" w:rsidDel="00000000" w:rsidP="00000000" w:rsidRDefault="00000000" w:rsidRPr="00000000" w14:paraId="000000E7">
            <w:pPr>
              <w:rPr>
                <w:i w:val="1"/>
                <w:color w:val="0000ff"/>
                <w:highlight w:val="white"/>
              </w:rPr>
            </w:pPr>
            <w:r w:rsidDel="00000000" w:rsidR="00000000" w:rsidRPr="00000000">
              <w:rPr>
                <w:rtl w:val="0"/>
              </w:rPr>
            </w:r>
          </w:p>
          <w:p w:rsidR="00000000" w:rsidDel="00000000" w:rsidP="00000000" w:rsidRDefault="00000000" w:rsidRPr="00000000" w14:paraId="000000E8">
            <w:pPr>
              <w:rPr>
                <w:rFonts w:ascii="Open Sans" w:cs="Open Sans" w:eastAsia="Open Sans" w:hAnsi="Open Sans"/>
                <w:sz w:val="16"/>
                <w:szCs w:val="16"/>
              </w:rPr>
            </w:pPr>
            <w:r w:rsidDel="00000000" w:rsidR="00000000" w:rsidRPr="00000000">
              <w:rPr>
                <w:i w:val="1"/>
                <w:color w:val="0000ff"/>
                <w:rtl w:val="0"/>
              </w:rPr>
              <w:t xml:space="preserve">Total point: 28</w:t>
            </w:r>
            <w:r w:rsidDel="00000000" w:rsidR="00000000" w:rsidRPr="00000000">
              <w:rPr>
                <w:rtl w:val="0"/>
              </w:rPr>
            </w:r>
          </w:p>
          <w:p w:rsidR="00000000" w:rsidDel="00000000" w:rsidP="00000000" w:rsidRDefault="00000000" w:rsidRPr="00000000" w14:paraId="000000E9">
            <w:pPr>
              <w:rPr/>
            </w:pPr>
            <w:r w:rsidDel="00000000" w:rsidR="00000000" w:rsidRPr="00000000">
              <w:rPr>
                <w:rtl w:val="0"/>
              </w:rPr>
            </w:r>
          </w:p>
          <w:p w:rsidR="00000000" w:rsidDel="00000000" w:rsidP="00000000" w:rsidRDefault="00000000" w:rsidRPr="00000000" w14:paraId="000000EA">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B">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C">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D">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EE">
            <w:pPr>
              <w:widowControl w:val="0"/>
              <w:spacing w:line="276" w:lineRule="auto"/>
              <w:jc w:val="both"/>
              <w:rPr>
                <w:rFonts w:ascii="Open Sans" w:cs="Open Sans" w:eastAsia="Open Sans" w:hAnsi="Open Sans"/>
                <w:sz w:val="16"/>
                <w:szCs w:val="16"/>
                <w:highlight w:val="yellow"/>
              </w:rPr>
            </w:pPr>
            <w:r w:rsidDel="00000000" w:rsidR="00000000" w:rsidRPr="00000000">
              <w:rPr>
                <w:rFonts w:ascii="Open Sans" w:cs="Open Sans" w:eastAsia="Open Sans" w:hAnsi="Open Sans"/>
                <w:sz w:val="18"/>
                <w:szCs w:val="18"/>
                <w:rtl w:val="0"/>
              </w:rPr>
              <w:t xml:space="preserve">The bidder shall provide a clear statement, approach and methodology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EF">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0">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F1">
            <w:pPr>
              <w:rPr>
                <w:i w:val="1"/>
                <w:color w:val="0000ff"/>
              </w:rPr>
            </w:pPr>
            <w:r w:rsidDel="00000000" w:rsidR="00000000" w:rsidRPr="00000000">
              <w:rPr>
                <w:rtl w:val="0"/>
              </w:rPr>
            </w:r>
          </w:p>
          <w:p w:rsidR="00000000" w:rsidDel="00000000" w:rsidP="00000000" w:rsidRDefault="00000000" w:rsidRPr="00000000" w14:paraId="000000F2">
            <w:pPr>
              <w:rPr>
                <w:i w:val="1"/>
                <w:color w:val="0000ff"/>
              </w:rPr>
            </w:pPr>
            <w:r w:rsidDel="00000000" w:rsidR="00000000" w:rsidRPr="00000000">
              <w:rPr>
                <w:rFonts w:ascii="Roboto" w:cs="Roboto" w:eastAsia="Roboto" w:hAnsi="Roboto"/>
                <w:color w:val="444746"/>
                <w:rtl w:val="0"/>
              </w:rPr>
              <w:t xml:space="preserve">Demonstrating commitments to mainstreaming gender equality and social inclusion as well as provide a practical plan (or demonstrate experience) for implementing gender mainstreaming (and/or social inclusion) activities during the execution of the contract</w:t>
            </w:r>
            <w:r w:rsidDel="00000000" w:rsidR="00000000" w:rsidRPr="00000000">
              <w:rPr>
                <w:i w:val="1"/>
                <w:color w:val="0000ff"/>
                <w:rtl w:val="0"/>
              </w:rPr>
              <w:t xml:space="preserve">.(2)</w:t>
            </w:r>
          </w:p>
          <w:p w:rsidR="00000000" w:rsidDel="00000000" w:rsidP="00000000" w:rsidRDefault="00000000" w:rsidRPr="00000000" w14:paraId="000000F3">
            <w:pPr>
              <w:rPr>
                <w:i w:val="1"/>
                <w:color w:val="0000ff"/>
              </w:rPr>
            </w:pPr>
            <w:r w:rsidDel="00000000" w:rsidR="00000000" w:rsidRPr="00000000">
              <w:rPr>
                <w:rtl w:val="0"/>
              </w:rPr>
            </w:r>
          </w:p>
          <w:p w:rsidR="00000000" w:rsidDel="00000000" w:rsidP="00000000" w:rsidRDefault="00000000" w:rsidRPr="00000000" w14:paraId="000000F4">
            <w:pPr>
              <w:rPr>
                <w:i w:val="1"/>
                <w:color w:val="0000ff"/>
              </w:rPr>
            </w:pPr>
            <w:r w:rsidDel="00000000" w:rsidR="00000000" w:rsidRPr="00000000">
              <w:rPr>
                <w:i w:val="1"/>
                <w:color w:val="0000ff"/>
                <w:rtl w:val="0"/>
              </w:rPr>
              <w:t xml:space="preserve">Total Point 2</w:t>
            </w:r>
          </w:p>
          <w:p w:rsidR="00000000" w:rsidDel="00000000" w:rsidP="00000000" w:rsidRDefault="00000000" w:rsidRPr="00000000" w14:paraId="000000F5">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6">
            <w:pPr>
              <w:spacing w:line="276" w:lineRule="auto"/>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F7">
            <w:pPr>
              <w:widowControl w:val="0"/>
              <w:rPr/>
            </w:pPr>
            <w:r w:rsidDel="00000000" w:rsidR="00000000" w:rsidRPr="00000000">
              <w:rPr>
                <w:rtl w:val="0"/>
              </w:rPr>
            </w:r>
          </w:p>
        </w:tc>
      </w:tr>
    </w:tbl>
    <w:p w:rsidR="00000000" w:rsidDel="00000000" w:rsidP="00000000" w:rsidRDefault="00000000" w:rsidRPr="00000000" w14:paraId="000000F8">
      <w:pPr>
        <w:rPr>
          <w:highlight w:val="lightGray"/>
        </w:rPr>
      </w:pPr>
      <w:r w:rsidDel="00000000" w:rsidR="00000000" w:rsidRPr="00000000">
        <w:rPr>
          <w:rtl w:val="0"/>
        </w:rPr>
      </w:r>
    </w:p>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C">
      <w:pPr>
        <w:tabs>
          <w:tab w:val="left" w:leader="none" w:pos="720"/>
        </w:tabs>
        <w:rPr>
          <w:color w:val="000000"/>
        </w:rPr>
      </w:pPr>
      <w:r w:rsidDel="00000000" w:rsidR="00000000" w:rsidRPr="00000000">
        <w:rPr>
          <w:rtl w:val="0"/>
        </w:rPr>
      </w:r>
    </w:p>
    <w:p w:rsidR="00000000" w:rsidDel="00000000" w:rsidP="00000000" w:rsidRDefault="00000000" w:rsidRPr="00000000" w14:paraId="000000F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E">
      <w:pPr>
        <w:rPr>
          <w:color w:val="000000"/>
        </w:rPr>
      </w:pPr>
      <w:r w:rsidDel="00000000" w:rsidR="00000000" w:rsidRPr="00000000">
        <w:rPr>
          <w:rtl w:val="0"/>
        </w:rPr>
      </w:r>
    </w:p>
    <w:p w:rsidR="00000000" w:rsidDel="00000000" w:rsidP="00000000" w:rsidRDefault="00000000" w:rsidRPr="00000000" w14:paraId="000000F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0">
      <w:pPr>
        <w:rPr>
          <w:color w:val="000000"/>
        </w:rPr>
      </w:pPr>
      <w:r w:rsidDel="00000000" w:rsidR="00000000" w:rsidRPr="00000000">
        <w:rPr>
          <w:rtl w:val="0"/>
        </w:rPr>
      </w:r>
    </w:p>
    <w:p w:rsidR="00000000" w:rsidDel="00000000" w:rsidP="00000000" w:rsidRDefault="00000000" w:rsidRPr="00000000" w14:paraId="0000010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2">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B">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C">
            <w:pPr>
              <w:pStyle w:val="Subtitle"/>
              <w:numPr>
                <w:ilvl w:val="0"/>
                <w:numId w:val="2"/>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0">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services in the last 05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B">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E">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4">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r>
      <w:tr>
        <w:trPr>
          <w:cantSplit w:val="0"/>
          <w:tblHeader w:val="0"/>
        </w:trPr>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blHeader w:val="0"/>
        </w:trPr>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r>
      <w:tr>
        <w:trPr>
          <w:cantSplit w:val="0"/>
          <w:tblHeader w:val="0"/>
        </w:trPr>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r>
    </w:tbl>
    <w:p w:rsidR="00000000" w:rsidDel="00000000" w:rsidP="00000000" w:rsidRDefault="00000000" w:rsidRPr="00000000" w14:paraId="00000168">
      <w:pPr>
        <w:ind w:left="1598" w:hanging="1598"/>
        <w:jc w:val="both"/>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C">
      <w:pPr>
        <w:tabs>
          <w:tab w:val="left" w:leader="none" w:pos="720"/>
        </w:tabs>
        <w:rPr>
          <w:color w:val="000000"/>
        </w:rPr>
      </w:pPr>
      <w:r w:rsidDel="00000000" w:rsidR="00000000" w:rsidRPr="00000000">
        <w:rPr>
          <w:rtl w:val="0"/>
        </w:rPr>
      </w:r>
    </w:p>
    <w:p w:rsidR="00000000" w:rsidDel="00000000" w:rsidP="00000000" w:rsidRDefault="00000000" w:rsidRPr="00000000" w14:paraId="0000016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E">
      <w:pPr>
        <w:rPr>
          <w:color w:val="000000"/>
        </w:rPr>
      </w:pPr>
      <w:r w:rsidDel="00000000" w:rsidR="00000000" w:rsidRPr="00000000">
        <w:rPr>
          <w:rtl w:val="0"/>
        </w:rPr>
      </w:r>
    </w:p>
    <w:p w:rsidR="00000000" w:rsidDel="00000000" w:rsidP="00000000" w:rsidRDefault="00000000" w:rsidRPr="00000000" w14:paraId="0000016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0">
      <w:pPr>
        <w:rPr>
          <w:color w:val="000000"/>
        </w:rPr>
      </w:pPr>
      <w:r w:rsidDel="00000000" w:rsidR="00000000" w:rsidRPr="00000000">
        <w:rPr>
          <w:rtl w:val="0"/>
        </w:rPr>
      </w:r>
    </w:p>
    <w:p w:rsidR="00000000" w:rsidDel="00000000" w:rsidP="00000000" w:rsidRDefault="00000000" w:rsidRPr="00000000" w14:paraId="0000017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2">
      <w:pPr>
        <w:rPr>
          <w:sz w:val="22"/>
          <w:szCs w:val="22"/>
        </w:rPr>
      </w:pPr>
      <w:r w:rsidDel="00000000" w:rsidR="00000000" w:rsidRPr="00000000">
        <w:rPr>
          <w:rtl w:val="0"/>
        </w:rPr>
      </w:r>
    </w:p>
    <w:p w:rsidR="00000000" w:rsidDel="00000000" w:rsidP="00000000" w:rsidRDefault="00000000" w:rsidRPr="00000000" w14:paraId="00000173">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9">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C">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-79358</wp:posOffset>
                </wp:positionV>
                <wp:extent cx="1477645" cy="215900"/>
                <wp:effectExtent b="0" l="0" r="0" t="0"/>
                <wp:wrapNone/>
                <wp:docPr id="7"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43DtMCM9OAel65NV/lcKBOz0gSg==">CgMxLjAyDmguYnEzbW1nMmlsZ3VkMg5oLndqMzBjdnN6OTdiMTIOaC5yeWp3M3N2cWs4N2E4AGonChRzdWdnZXN0LmxmN3A2eG1ybnZ5aBIPTmFkaXlhaCBOQURJWUFIaicKFHN1Z2dlc3QuZ2duODNyanlxY2c5Eg9OYWRpeWFoIE5BRElZQUhqKwoUc3VnZ2VzdC5tMjR3bGZtdW9mOTQSE05hdHRoaWRhIFNJVkFZQVBSQU1qJwoUc3VnZ2VzdC40ajJpOTJ1dWN4b3ASD05hZGl5YWggTkFESVlBSGonChRzdWdnZXN0LjV1bHNiOWNzdWkzaBIPTmFkaXlhaCBOQURJWUFIciExRUZsX2R4YUx1NVZCSmVmYXVpalY3SXhqZ2VwajNOT1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