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OTI-19 - Kit vaginal speculum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Kit of vaginal speculums for performing pelvic examinations, pap smears, and examining the cervix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540"/>
        </w:tabs>
        <w:spacing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540"/>
        </w:tabs>
        <w:spacing w:before="240"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2751447" cy="2795588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3500" l="5000" r="4628" t="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51447" cy="27955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540"/>
        </w:tabs>
        <w:spacing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675.7095942625"/>
        <w:tblGridChange w:id="0">
          <w:tblGrid>
            <w:gridCol w:w="417.42089372586395"/>
            <w:gridCol w:w="4051.438086162797"/>
            <w:gridCol w:w="1215.431425848839"/>
            <w:gridCol w:w="3675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C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jc w:val="center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E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3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4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Made of high grade medical Stainless Steel AISI 316 grade, clearly identifying the grade of steel used in the manufacture of the instruments, in accordance with ISO 7153-1: 2016, DIN 58298, ASTM F899 or an equivalent standard.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6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7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8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Non-sterile, reusable instruments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B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C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Can be autoclaved at 134ºC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F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0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Vaginal speculum, GRAVE type, small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3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4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Vaginal speculum, GRAVE type, medium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7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8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Vaginal speculum, GRAVE type, large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</w:t>
                </w:r>
                <w:r w:rsidDel="00000000" w:rsidR="00000000" w:rsidRPr="00000000">
                  <w:rPr>
                    <w:i w:val="1"/>
                    <w:sz w:val="20"/>
                    <w:szCs w:val="20"/>
                    <w:rtl w:val="0"/>
                  </w:rPr>
                  <w:t xml:space="preserve">OT-PS Type I post sales requirements for Medical Devices</w:t>
                </w: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6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tabs>
                    <w:tab w:val="left" w:leader="none" w:pos="540"/>
                  </w:tabs>
                  <w:spacing w:before="24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Detailed step-by-step instructions for cleaning and disinfection, preferably using pictograms and lubricating agents where necessary for maintenance.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A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B">
                <w:pPr>
                  <w:widowControl w:val="0"/>
                  <w:jc w:val="center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widowControl w:val="0"/>
                  <w:spacing w:line="276" w:lineRule="auto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Zywt3pk6J9elIsa23ydUj+o61A==">CgMxLjAaHwoBMBIaChgICVIUChJ0YWJsZS54cTBkMG52YzZyN284AHIhMW5fdlNkdm43X09Ud0w3RTJDbkFibGJqa0JQcWNUQlJJ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