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="240" w:lineRule="auto"/>
        <w:jc w:val="center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OTS-30 - Defibrillator</w:t>
      </w:r>
    </w:p>
    <w:p w:rsidR="00000000" w:rsidDel="00000000" w:rsidP="00000000" w:rsidRDefault="00000000" w:rsidRPr="00000000" w14:paraId="00000002">
      <w:pPr>
        <w:spacing w:after="0" w:line="240" w:lineRule="auto"/>
        <w:jc w:val="center"/>
        <w:rPr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40" w:lineRule="auto"/>
        <w:jc w:val="both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Description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leader="none" w:pos="540"/>
          <w:tab w:val="left" w:leader="none" w:pos="709"/>
        </w:tabs>
        <w:spacing w:after="0" w:line="240" w:lineRule="auto"/>
        <w:jc w:val="both"/>
        <w:rPr>
          <w:i w:val="1"/>
          <w:sz w:val="24"/>
          <w:szCs w:val="24"/>
        </w:rPr>
      </w:pPr>
      <w:r w:rsidDel="00000000" w:rsidR="00000000" w:rsidRPr="00000000">
        <w:rPr>
          <w:i w:val="1"/>
          <w:sz w:val="24"/>
          <w:szCs w:val="24"/>
          <w:rtl w:val="0"/>
        </w:rPr>
        <w:t xml:space="preserve">Mobile unit, used to restore normal rhythm and contractile function of the heart in patients experiencing ventricular fibrillation or ventricular tachycardia.</w:t>
      </w:r>
    </w:p>
    <w:p w:rsidR="00000000" w:rsidDel="00000000" w:rsidP="00000000" w:rsidRDefault="00000000" w:rsidRPr="00000000" w14:paraId="00000005">
      <w:pPr>
        <w:spacing w:after="0"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tabs>
          <w:tab w:val="left" w:leader="none" w:pos="540"/>
        </w:tabs>
        <w:spacing w:after="0" w:before="240" w:line="24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Reference Picture</w:t>
      </w:r>
    </w:p>
    <w:p w:rsidR="00000000" w:rsidDel="00000000" w:rsidP="00000000" w:rsidRDefault="00000000" w:rsidRPr="00000000" w14:paraId="00000007">
      <w:pPr>
        <w:widowControl w:val="0"/>
        <w:tabs>
          <w:tab w:val="left" w:leader="none" w:pos="540"/>
        </w:tabs>
        <w:spacing w:after="0" w:line="240" w:lineRule="auto"/>
        <w:rPr>
          <w:b w:val="1"/>
          <w:sz w:val="24"/>
          <w:szCs w:val="24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Note: The images below are intended solely as a guiding support and should be considered as purely indicative and not restrictive of the expected item characteristics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2820387" cy="2820387"/>
            <wp:effectExtent b="0" l="0" r="0" t="0"/>
            <wp:docPr id="103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20387" cy="28203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line="240" w:lineRule="auto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0" w:line="240" w:lineRule="auto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638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417.42089372586395"/>
        <w:gridCol w:w="4051.438086162797"/>
        <w:gridCol w:w="1215.431425848839"/>
        <w:gridCol w:w="3953.7095942625"/>
        <w:tblGridChange w:id="0">
          <w:tblGrid>
            <w:gridCol w:w="417.42089372586395"/>
            <w:gridCol w:w="4051.438086162797"/>
            <w:gridCol w:w="1215.431425848839"/>
            <w:gridCol w:w="3953.7095942625"/>
          </w:tblGrid>
        </w:tblGridChange>
      </w:tblGrid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Brand / Marque</w:t>
            </w:r>
          </w:p>
        </w:tc>
        <w:tc>
          <w:tcPr>
            <w:gridSpan w:val="2"/>
            <w:tcBorders>
              <w:top w:color="000000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0E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Model / Modèle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2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Model code as per manufacturer classification / Numéro de référence du produit fournisseur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6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Manufacturer name / Nom du Fabricant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A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Manufacturing site / Site du Fabricant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E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Country of manufacturing / Pays de fabrication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22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Country of origin / Pays d'origine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26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8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="240" w:lineRule="auto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sdt>
      <w:sdtPr>
        <w:lock w:val="contentLocked"/>
        <w:tag w:val="goog_rdk_0"/>
      </w:sdtPr>
      <w:sdtContent>
        <w:tbl>
          <w:tblPr>
            <w:tblStyle w:val="Table2"/>
            <w:tblW w:w="9637.511811023622" w:type="dxa"/>
            <w:jc w:val="left"/>
            <w:tblLayout w:type="fixed"/>
            <w:tblLook w:val="0600"/>
          </w:tblPr>
          <w:tblGrid>
            <w:gridCol w:w="417.42089372586395"/>
            <w:gridCol w:w="4051.438086162797"/>
            <w:gridCol w:w="1215.431425848839"/>
            <w:gridCol w:w="3953.2214052861227"/>
            <w:tblGridChange w:id="0">
              <w:tblGrid>
                <w:gridCol w:w="417.42089372586395"/>
                <w:gridCol w:w="4051.438086162797"/>
                <w:gridCol w:w="1215.431425848839"/>
                <w:gridCol w:w="3953.2214052861227"/>
              </w:tblGrid>
            </w:tblGridChange>
          </w:tblGrid>
          <w:tr>
            <w:trPr>
              <w:cantSplit w:val="0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2A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2B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UNOPS Minimum technical requirements // Exigences techniques minimales de l'UNOPS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2C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Complies (Yes/No) // Conforme (Oui/Non)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2D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b w:val="1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Comments/ Technical data //</w:t>
                </w:r>
              </w:p>
              <w:p w:rsidR="00000000" w:rsidDel="00000000" w:rsidP="00000000" w:rsidRDefault="00000000" w:rsidRPr="00000000" w14:paraId="0000002E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Commentaires/Données techniques</w:t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2F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A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0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Functionality and Performance / Fonctionnalité et performances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31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2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33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34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Electrical requirements: power source 220V+/- 10%, 50/60 Hz, single phase, connection type F plug.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35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6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37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2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38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Protections against over-voltage and over-current line conditions.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39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A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3B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3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3C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Rechargeable batteries with at least the following characteristics:</w:t>
                </w:r>
              </w:p>
              <w:p w:rsidR="00000000" w:rsidDel="00000000" w:rsidP="00000000" w:rsidRDefault="00000000" w:rsidRPr="00000000" w14:paraId="0000003D">
                <w:pPr>
                  <w:widowControl w:val="0"/>
                  <w:numPr>
                    <w:ilvl w:val="0"/>
                    <w:numId w:val="1"/>
                  </w:numPr>
                  <w:spacing w:after="0" w:line="276" w:lineRule="auto"/>
                  <w:ind w:left="720" w:hanging="360"/>
                  <w:rPr>
                    <w:rFonts w:ascii="Arial" w:cs="Arial" w:eastAsia="Arial" w:hAnsi="Arial"/>
                    <w:sz w:val="20"/>
                    <w:szCs w:val="20"/>
                    <w:u w:val="none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Automatic switch from electric-line mode to battery operating mode</w:t>
                </w:r>
              </w:p>
              <w:p w:rsidR="00000000" w:rsidDel="00000000" w:rsidP="00000000" w:rsidRDefault="00000000" w:rsidRPr="00000000" w14:paraId="0000003E">
                <w:pPr>
                  <w:widowControl w:val="0"/>
                  <w:numPr>
                    <w:ilvl w:val="0"/>
                    <w:numId w:val="1"/>
                  </w:numPr>
                  <w:spacing w:after="0" w:line="276" w:lineRule="auto"/>
                  <w:ind w:left="720" w:hanging="360"/>
                  <w:rPr>
                    <w:rFonts w:ascii="Arial" w:cs="Arial" w:eastAsia="Arial" w:hAnsi="Arial"/>
                    <w:sz w:val="20"/>
                    <w:szCs w:val="20"/>
                    <w:u w:val="none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Number of discharges with maximal energy in battery operating mode not less than 15. </w:t>
                </w:r>
              </w:p>
              <w:p w:rsidR="00000000" w:rsidDel="00000000" w:rsidP="00000000" w:rsidRDefault="00000000" w:rsidRPr="00000000" w14:paraId="0000003F">
                <w:pPr>
                  <w:widowControl w:val="0"/>
                  <w:numPr>
                    <w:ilvl w:val="0"/>
                    <w:numId w:val="1"/>
                  </w:numPr>
                  <w:spacing w:after="0" w:line="276" w:lineRule="auto"/>
                  <w:ind w:left="720" w:hanging="360"/>
                  <w:rPr>
                    <w:rFonts w:ascii="Arial" w:cs="Arial" w:eastAsia="Arial" w:hAnsi="Arial"/>
                    <w:sz w:val="20"/>
                    <w:szCs w:val="20"/>
                    <w:u w:val="none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Continuous monitoring working time in battery operating mode not less than 2 hours. </w:t>
                </w:r>
              </w:p>
              <w:p w:rsidR="00000000" w:rsidDel="00000000" w:rsidP="00000000" w:rsidRDefault="00000000" w:rsidRPr="00000000" w14:paraId="00000040">
                <w:pPr>
                  <w:widowControl w:val="0"/>
                  <w:numPr>
                    <w:ilvl w:val="0"/>
                    <w:numId w:val="1"/>
                  </w:numPr>
                  <w:spacing w:after="0" w:line="276" w:lineRule="auto"/>
                  <w:ind w:left="720" w:hanging="360"/>
                  <w:rPr>
                    <w:rFonts w:ascii="Arial" w:cs="Arial" w:eastAsia="Arial" w:hAnsi="Arial"/>
                    <w:sz w:val="20"/>
                    <w:szCs w:val="20"/>
                    <w:u w:val="none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Integrated batteries charger. </w:t>
                </w:r>
              </w:p>
              <w:p w:rsidR="00000000" w:rsidDel="00000000" w:rsidP="00000000" w:rsidRDefault="00000000" w:rsidRPr="00000000" w14:paraId="00000041">
                <w:pPr>
                  <w:widowControl w:val="0"/>
                  <w:numPr>
                    <w:ilvl w:val="0"/>
                    <w:numId w:val="1"/>
                  </w:numPr>
                  <w:spacing w:after="0" w:line="276" w:lineRule="auto"/>
                  <w:ind w:left="720" w:hanging="360"/>
                  <w:rPr>
                    <w:rFonts w:ascii="Arial" w:cs="Arial" w:eastAsia="Arial" w:hAnsi="Arial"/>
                    <w:sz w:val="20"/>
                    <w:szCs w:val="20"/>
                    <w:u w:val="none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Low battery visual alarm. </w:t>
                </w:r>
              </w:p>
              <w:p w:rsidR="00000000" w:rsidDel="00000000" w:rsidP="00000000" w:rsidRDefault="00000000" w:rsidRPr="00000000" w14:paraId="00000042">
                <w:pPr>
                  <w:widowControl w:val="0"/>
                  <w:numPr>
                    <w:ilvl w:val="0"/>
                    <w:numId w:val="1"/>
                  </w:numPr>
                  <w:spacing w:after="0" w:line="276" w:lineRule="auto"/>
                  <w:ind w:left="720" w:hanging="360"/>
                  <w:rPr>
                    <w:rFonts w:ascii="Arial" w:cs="Arial" w:eastAsia="Arial" w:hAnsi="Arial"/>
                    <w:sz w:val="20"/>
                    <w:szCs w:val="20"/>
                    <w:u w:val="none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100% high capacity batteries with re-charging time not greater than 10 hours. 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43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45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4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46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Manual and semi-automated operating modes.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47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8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49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5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4A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ECG monitoring function mode, with standard alarms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4B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C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4D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6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4E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Display for visualization of ECG curve and data.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4F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0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51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7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52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Charging time for defibrillation at maximum energy not greater than 10 sec.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53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55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8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56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Bi-phase and possibly mono-phase defibrillation waves.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57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8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59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9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5A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Discharge energy adjustable settings with mono-phase and bi-phase waves.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5B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C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5D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10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5E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Maximum discharge energy setting with mono-phase wave not less than 360 Joules.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5F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60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61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11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62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Maximum discharge energy setting with bi-phase wave not less than 220 Joules.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63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6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65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12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66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Discharge energy adjustable settings with multi step selector, from defibrillator body and paddle Settable ECG synchronized discharges for cardioversion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67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68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69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13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6A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Automatic impedance compensation.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6B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6C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6D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14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6E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Built in print recorder, manual activation and with automatic start for defibrillation, including time and clinical data annotations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6F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0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71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15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72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External defibrillation discharging start control just only by pressing both buttons on the external paddles.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73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75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16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76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Equipment weight not greater than 10kg.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77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8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9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A">
                <w:pPr>
                  <w:spacing w:after="0" w:line="24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b w:val="1"/>
                    <w:sz w:val="24"/>
                    <w:szCs w:val="24"/>
                    <w:rtl w:val="0"/>
                  </w:rPr>
                  <w:t xml:space="preserve">Accessories 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7B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7C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7D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7E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Crash resistant and washable carry-case.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7F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80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81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2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82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Set of 100 disposable ECG adhesive electrodes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83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8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85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3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86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5 complete set of disposable electrodes patches for semiautomatic mode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87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88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89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4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8A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5 Tube of conductive gel (500ml each)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8B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8C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8D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5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8E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Set of 20 rolls of thermal paper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8F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90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91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6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92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One set of reusable adult external paddles (apex-sternum) and related pediatric adaptors compatible with the equipment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93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9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95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B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96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Certifications and post sales included in the offered price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97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98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99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9A">
                <w:pPr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The Supplier, included in the offered price, will provide the post sales services described in the document “OT-PS Type II post sales requirements for Medical Devices”.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9B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9C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9D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C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9E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Supplied with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9F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A0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A1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A2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Detailed step-by-step instructions for assembly, use and cleaning in pictograms, user and technical manuals.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A3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A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40.0" w:type="dxa"/>
                  <w:bottom w:w="4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A5">
                <w:pPr>
                  <w:widowControl w:val="0"/>
                  <w:spacing w:after="0" w:line="276" w:lineRule="auto"/>
                  <w:jc w:val="right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2</w:t>
                </w:r>
              </w:p>
            </w:tc>
            <w:tc>
              <w:tcPr>
                <w:tcBorders>
                  <w:top w:color="000000" w:space="0" w:sz="8" w:val="single"/>
                  <w:left w:color="000000" w:space="0" w:sz="8" w:val="single"/>
                  <w:bottom w:color="000000" w:space="0" w:sz="8" w:val="single"/>
                  <w:right w:color="000000" w:space="0" w:sz="8" w:val="single"/>
                </w:tcBorders>
                <w:tcMar>
                  <w:top w:w="40.0" w:type="dxa"/>
                  <w:left w:w="0.0" w:type="dxa"/>
                  <w:bottom w:w="40.0" w:type="dxa"/>
                  <w:right w:w="0.0" w:type="dxa"/>
                </w:tcMar>
                <w:vAlign w:val="bottom"/>
              </w:tcPr>
              <w:p w:rsidR="00000000" w:rsidDel="00000000" w:rsidP="00000000" w:rsidRDefault="00000000" w:rsidRPr="00000000" w14:paraId="000000A6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Tools required for assembly.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A7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A8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vMerge w:val="restart"/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A9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b w:val="1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D</w:t>
                </w:r>
              </w:p>
            </w:tc>
            <w:tc>
              <w:tcPr>
                <w:gridSpan w:val="3"/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AA">
                <w:pPr>
                  <w:widowControl w:val="0"/>
                  <w:spacing w:after="0" w:lineRule="auto"/>
                  <w:rPr>
                    <w:rFonts w:ascii="Arial" w:cs="Arial" w:eastAsia="Arial" w:hAnsi="Arial"/>
                    <w:b w:val="1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ANY DEVIATIONS OR SUPERIOR CHARACTERISTICS MUST BE INDICATED BELOW // TOUTE DÉVIATION OU CARACTÉRISTIQUE SUPÉRIEURE DOIT ÊTRE INDIQUÉE CI-DESSOUS* :</w:t>
                </w:r>
              </w:p>
            </w:tc>
          </w:tr>
          <w:tr>
            <w:trPr>
              <w:cantSplit w:val="0"/>
              <w:tblHeader w:val="0"/>
            </w:trPr>
            <w:tc>
              <w:tcPr>
                <w:vMerge w:val="continue"/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AD">
                <w:pPr>
                  <w:widowControl w:val="0"/>
                  <w:spacing w:after="0" w:line="276" w:lineRule="auto"/>
                  <w:rPr>
                    <w:rFonts w:ascii="Arial" w:cs="Arial" w:eastAsia="Arial" w:hAnsi="Arial"/>
                    <w:b w:val="1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3"/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AE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AF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B0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  <w:p w:rsidR="00000000" w:rsidDel="00000000" w:rsidP="00000000" w:rsidRDefault="00000000" w:rsidRPr="00000000" w14:paraId="000000B1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0B4">
      <w:pPr>
        <w:spacing w:after="0" w:lineRule="auto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spacing w:after="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1134" w:top="1417" w:left="1134" w:right="1134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>
    <w:name w:val="Normal"/>
    <w:next w:val="Normal"/>
    <w:autoRedefine w:val="0"/>
    <w:hidden w:val="0"/>
    <w:qFormat w:val="0"/>
    <w:pPr>
      <w:suppressAutoHyphens w:val="1"/>
      <w:spacing w:after="200" w:line="276" w:lineRule="auto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2"/>
      <w:szCs w:val="22"/>
      <w:effect w:val="none"/>
      <w:vertAlign w:val="baseline"/>
      <w:cs w:val="0"/>
      <w:em w:val="none"/>
      <w:lang w:bidi="ar-SA" w:eastAsia="en-US" w:val="en-US"/>
    </w:rPr>
  </w:style>
  <w:style w:type="character" w:styleId="Fuentedepárrafopredeter.">
    <w:name w:val="Fuente de párrafo predeter."/>
    <w:next w:val="Fuentedepárrafopredeter.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Tablanormal">
    <w:name w:val="Tabla normal"/>
    <w:next w:val="Tablanormal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>
    <w:name w:val="Sin lista"/>
    <w:next w:val="Sinlista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Textodeglobo">
    <w:name w:val="Texto de globo"/>
    <w:basedOn w:val="Normal"/>
    <w:next w:val="Textodeglobo"/>
    <w:autoRedefine w:val="0"/>
    <w:hidden w:val="0"/>
    <w:qFormat w:val="1"/>
    <w:pPr>
      <w:suppressAutoHyphens w:val="1"/>
      <w:spacing w:after="0" w:line="240" w:lineRule="auto"/>
      <w:ind w:leftChars="-1" w:rightChars="0" w:firstLineChars="-1"/>
      <w:textDirection w:val="btLr"/>
      <w:textAlignment w:val="top"/>
      <w:outlineLvl w:val="0"/>
    </w:pPr>
    <w:rPr>
      <w:rFonts w:ascii="Tahoma" w:cs="Tahoma" w:eastAsia="Times New Roman" w:hAnsi="Tahoma"/>
      <w:w w:val="100"/>
      <w:position w:val="-1"/>
      <w:sz w:val="16"/>
      <w:szCs w:val="16"/>
      <w:effect w:val="none"/>
      <w:vertAlign w:val="baseline"/>
      <w:cs w:val="0"/>
      <w:em w:val="none"/>
      <w:lang w:bidi="ar-SA" w:eastAsia="en-US" w:val="en-US"/>
    </w:rPr>
  </w:style>
  <w:style w:type="character" w:styleId="TextodegloboCar">
    <w:name w:val="Texto de globo Car"/>
    <w:next w:val="TextodegloboCar"/>
    <w:autoRedefine w:val="0"/>
    <w:hidden w:val="0"/>
    <w:qFormat w:val="0"/>
    <w:rPr>
      <w:rFonts w:ascii="Tahoma" w:cs="Tahoma" w:eastAsia="Times New Roman" w:hAnsi="Tahoma"/>
      <w:w w:val="100"/>
      <w:position w:val="-1"/>
      <w:sz w:val="16"/>
      <w:szCs w:val="16"/>
      <w:effect w:val="none"/>
      <w:vertAlign w:val="baseline"/>
      <w:cs w:val="0"/>
      <w:em w:val="none"/>
      <w:lang w:eastAsia="en-US" w:val="en-US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SuB7uV4gbDWLlOxA38jiMCCF/nw==">CgMxLjAaHwoBMBIaChgICVIUChJ0YWJsZS54cTBkMG52YzZyN284AHIhMVQtZXcyYnl3dTJFbzlIVEVfazBCVEdOX3dwS2JxVEc2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2013-04-25T17:39:00Z</dcterms:created>
  <dc:creator>Valerio</dc:creator>
</cp:coreProperties>
</file>