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40" w:lineRule="auto"/>
        <w:ind w:left="142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-1440"/>
          <w:tab w:val="left" w:leader="none" w:pos="7200"/>
        </w:tabs>
        <w:spacing w:after="20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In the event of a Contract, the following General Conditions of Contract will apply: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UNOPS General Conditions of Contract for the provision of Goods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The conditions are available at: </w:t>
      </w:r>
      <w:hyperlink r:id="rId7">
        <w:r w:rsidDel="00000000" w:rsidR="00000000" w:rsidRPr="00000000">
          <w:rPr>
            <w:rFonts w:ascii="Open Sans" w:cs="Open Sans" w:eastAsia="Open Sans" w:hAnsi="Open Sans"/>
            <w:color w:val="1155cc"/>
            <w:u w:val="single"/>
            <w:rtl w:val="0"/>
          </w:rPr>
          <w:t xml:space="preserve">https://www.unops.org/business-opportunities/how-we-procure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tabs>
          <w:tab w:val="left" w:leader="none" w:pos="-1440"/>
          <w:tab w:val="left" w:leader="none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6839" w:w="11907" w:orient="portrait"/>
      <w:pgMar w:bottom="1440" w:top="1440" w:left="1077" w:right="1077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889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sz w:val="18"/>
              <w:szCs w:val="18"/>
              <w:rtl w:val="0"/>
            </w:rPr>
            <w:t xml:space="preserve">UNOPS 2021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4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9889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944.5"/>
      <w:gridCol w:w="4944.5"/>
      <w:tblGridChange w:id="0">
        <w:tblGrid>
          <w:gridCol w:w="4944.5"/>
          <w:gridCol w:w="4944.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0C">
          <w:pPr>
            <w:tabs>
              <w:tab w:val="center" w:leader="none" w:pos="4320"/>
              <w:tab w:val="right" w:leader="none" w:pos="8640"/>
            </w:tabs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</w:rPr>
            <w:drawing>
              <wp:inline distB="0" distT="0" distL="114300" distR="114300">
                <wp:extent cx="1477645" cy="215900"/>
                <wp:effectExtent b="0" l="0" r="0" t="0"/>
                <wp:docPr id="1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7645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0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ITB Ref No: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highlight w:val="yellow"/>
              <w:u w:val="none"/>
              <w:vertAlign w:val="baseline"/>
              <w:rtl w:val="0"/>
            </w:rPr>
            <w:t xml:space="preserve">xxx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0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156845</wp:posOffset>
          </wp:positionH>
          <wp:positionV relativeFrom="paragraph">
            <wp:posOffset>-7812</wp:posOffset>
          </wp:positionV>
          <wp:extent cx="1477645" cy="215900"/>
          <wp:effectExtent b="0" l="0" r="0" t="0"/>
          <wp:wrapNone/>
          <wp:docPr id="1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7.0" w:type="dxa"/>
        <w:bottom w:w="0.0" w:type="dxa"/>
        <w:right w:w="107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8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9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pageBreakBefore w:val="0"/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business-opportunities/how-we-procure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79ZMWWoKNWSNZGolASk29JwpFA==">CgMxLjA4AHIhMTZnTDB0Z1NoTk1iSFFZNFgxZ0tjUEpaQTNxYkJvME9n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