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PS-09 - Infant s</w:t>
      </w:r>
      <w:r w:rsidDel="00000000" w:rsidR="00000000" w:rsidRPr="00000000">
        <w:rPr>
          <w:sz w:val="32"/>
          <w:szCs w:val="32"/>
          <w:vertAlign w:val="baseline"/>
          <w:rtl w:val="0"/>
        </w:rPr>
        <w:t xml:space="preserve">cale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Mechanical infant clinical scale. Beam type.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Reference Picture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</w:rPr>
        <w:drawing>
          <wp:inline distB="0" distT="0" distL="114300" distR="114300">
            <wp:extent cx="3417570" cy="2562225"/>
            <wp:effectExtent b="0" l="0" r="0" t="0"/>
            <wp:docPr descr="http://www.atlasresell.com/sites/default/files/imagecache/product_full/uploads/21402_(10).jpg" id="1" name="image1.jpg"/>
            <a:graphic>
              <a:graphicData uri="http://schemas.openxmlformats.org/drawingml/2006/picture">
                <pic:pic>
                  <pic:nvPicPr>
                    <pic:cNvPr descr="http://www.atlasresell.com/sites/default/files/imagecache/product_full/uploads/21402_(10).jp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2562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7.5118110236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2214052861227"/>
        <w:tblGridChange w:id="0">
          <w:tblGrid>
            <w:gridCol w:w="417.42089372586395"/>
            <w:gridCol w:w="4051.438086162797"/>
            <w:gridCol w:w="1215.431425848839"/>
            <w:gridCol w:w="3953.2214052861227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Brand / Marque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/ Modèle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Manufacturer name / Nom du Fabricant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Manufacturing site / Site du Fabricant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manufacturing / Pays de fabrication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origin / Pays d'origine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UNOPS Minimum technical requirements // Exigences techniques minimales de l'UNOPS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Complies (Yes/No) // Conforme (Oui/Non)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Comments/ Technical data //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Commentaires/Données techniques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Functionality and Performance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Mechanical scale, no electronics.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Curved tray.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Tray material: Stainless steel epoxy powder coated.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Structure material: powder-coated steel.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Measurement unit: at least kilograms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Capacity: at least 15 kg.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Graduation: at least 10 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Tray surface of at least 1200 cm2.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Function: reset to zero function.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Certifications and post sales included in the offered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the requirements included in the document “Certification, technical documentation and related services requirements: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type II for medical devices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” are applicable.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Supplied with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Instructions for assembly, use, reset to zero and cleaning in pictograms.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Tools necessary for assembly.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Accessories included in the price offered.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Consumables included in the price offered.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ANY DEVIATIONS OR SUPERIOR CHARACTERISTICS MUST BE INDICATED BELOW // TOUTE DÉVIATION OU CARACTÉRISTIQUE SUPÉRIEURE DOIT ÊTRE INDIQUÉE CI-DESSOUS 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