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rtl w:val="0"/>
        </w:rPr>
        <w:t xml:space="preserve">ITB/2023/50014 </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6">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0C">
      <w:pPr>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rFonts w:ascii="Arial" w:cs="Arial" w:eastAsia="Arial" w:hAnsi="Arial"/>
          <w:b w:val="1"/>
          <w:i w:val="0"/>
          <w:smallCaps w:val="0"/>
          <w:strike w:val="0"/>
          <w:color w:val="0092d1"/>
          <w:sz w:val="28"/>
          <w:szCs w:val="28"/>
          <w:u w:val="none"/>
          <w:vertAlign w:val="baseline"/>
          <w:rtl w:val="0"/>
        </w:rPr>
        <w:t xml:space="preserve">[</w:t>
      </w:r>
      <w:r w:rsidDel="00000000" w:rsidR="00000000" w:rsidRPr="00000000">
        <w:rPr>
          <w:b w:val="1"/>
          <w:color w:val="0092d1"/>
          <w:sz w:val="28"/>
          <w:szCs w:val="28"/>
          <w:rtl w:val="0"/>
        </w:rPr>
        <w:t xml:space="preserve">Purchase Order</w:t>
      </w:r>
      <w:r w:rsidDel="00000000" w:rsidR="00000000" w:rsidRPr="00000000">
        <w:rPr>
          <w:rFonts w:ascii="Arial" w:cs="Arial" w:eastAsia="Arial" w:hAnsi="Arial"/>
          <w:b w:val="1"/>
          <w:i w:val="0"/>
          <w:smallCaps w:val="0"/>
          <w:strike w:val="0"/>
          <w:color w:val="0092d1"/>
          <w:sz w:val="28"/>
          <w:szCs w:val="28"/>
          <w:u w:val="none"/>
          <w:vertAlign w:val="baseline"/>
          <w:rtl w:val="0"/>
        </w:rPr>
        <w:t xml:space="preserve">]</w:t>
      </w:r>
    </w:p>
    <w:p w:rsidR="00000000" w:rsidDel="00000000" w:rsidP="00000000" w:rsidRDefault="00000000" w:rsidRPr="00000000" w14:paraId="0000000E">
      <w:pPr>
        <w:rPr/>
      </w:pPr>
      <w:r w:rsidDel="00000000" w:rsidR="00000000" w:rsidRPr="00000000">
        <w:rPr>
          <w:rtl w:val="0"/>
        </w:rPr>
        <w:t xml:space="preserve">The sample [Purchase Order] template is included in this ITB by this reference and is attached as a separate Pdf document.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highlight w:val="lightGray"/>
        </w:rPr>
      </w:pPr>
      <w:r w:rsidDel="00000000" w:rsidR="00000000" w:rsidRPr="00000000">
        <w:rPr>
          <w:highlight w:val="yellow"/>
        </w:rPr>
        <w:drawing>
          <wp:inline distB="0" distT="0" distL="0" distR="0">
            <wp:extent cx="5444776" cy="7632409"/>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444776" cy="7632409"/>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highlight w:val="yellow"/>
        </w:rPr>
      </w:pPr>
      <w:bookmarkStart w:colFirst="0" w:colLast="0" w:name="_heading=h.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7">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B">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E">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F">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20">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1">
      <w:pPr>
        <w:rPr/>
      </w:pPr>
      <w:r w:rsidDel="00000000" w:rsidR="00000000" w:rsidRPr="00000000">
        <w:rPr>
          <w:rtl w:val="0"/>
        </w:rPr>
        <w:t xml:space="preserve">_________________________________________________</w:t>
      </w:r>
    </w:p>
    <w:p w:rsidR="00000000" w:rsidDel="00000000" w:rsidP="00000000" w:rsidRDefault="00000000" w:rsidRPr="00000000" w14:paraId="00000022">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23">
      <w:pPr>
        <w:rPr>
          <w:sz w:val="22"/>
          <w:szCs w:val="22"/>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headerReference r:id="rId10" w:type="default"/>
      <w:footerReference r:id="rId11"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D">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QznrcMy08lJGSJpxlO52jqcQvQ==">CgMxLjAyCWguMzBqMHpsbDgAciExVHBWTWZHU3g3ZVlCcDJoNUpPaENWaVJpY1VyWU9WRjY=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