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Consulting Services - A Study to Develop a Proposed Methodology and Guidelines for ASEAN-wide Integrated Resource and Resilience Planning (IRRP) - Regional</w:t>
      </w:r>
      <w:r w:rsidDel="00000000" w:rsidR="00000000" w:rsidRPr="00000000">
        <w:rPr>
          <w:rtl w:val="0"/>
        </w:rPr>
      </w:r>
    </w:p>
    <w:p w:rsidR="00000000" w:rsidDel="00000000" w:rsidP="00000000" w:rsidRDefault="00000000" w:rsidRPr="00000000" w14:paraId="00000004">
      <w:pPr>
        <w:spacing w:after="200" w:line="276" w:lineRule="auto"/>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b w:val="1"/>
          <w:sz w:val="24"/>
          <w:szCs w:val="24"/>
          <w:rtl w:val="0"/>
        </w:rPr>
        <w:t xml:space="preserve">eSourcing reference: RFP/2024/52616</w:t>
      </w:r>
      <w:r w:rsidDel="00000000" w:rsidR="00000000" w:rsidRPr="00000000">
        <w:rPr>
          <w:rtl w:val="0"/>
        </w:rPr>
      </w:r>
    </w:p>
    <w:p w:rsidR="00000000" w:rsidDel="00000000" w:rsidP="00000000" w:rsidRDefault="00000000" w:rsidRPr="00000000" w14:paraId="00000005">
      <w:pPr>
        <w:spacing w:after="200" w:line="276" w:lineRule="auto"/>
        <w:rPr>
          <w:b w:val="1"/>
        </w:rPr>
      </w:pPr>
      <w:bookmarkStart w:colFirst="0" w:colLast="0" w:name="_heading=h.1mdth14i5iuw" w:id="3"/>
      <w:bookmarkEnd w:id="3"/>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4"/>
      <w:bookmarkEnd w:id="4"/>
      <w:r w:rsidDel="00000000" w:rsidR="00000000" w:rsidRPr="00000000">
        <w:rPr>
          <w:rtl w:val="0"/>
        </w:rPr>
      </w:r>
    </w:p>
    <w:p w:rsidR="00000000" w:rsidDel="00000000" w:rsidP="00000000" w:rsidRDefault="00000000" w:rsidRPr="00000000" w14:paraId="00000007">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B">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E">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F">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RFP/2024/52616</w:t>
      </w: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3">
      <w:pPr>
        <w:rPr>
          <w:b w:val="1"/>
        </w:rPr>
      </w:pPr>
      <w:r w:rsidDel="00000000" w:rsidR="00000000" w:rsidRPr="00000000">
        <w:rPr>
          <w:rtl w:val="0"/>
        </w:rPr>
      </w:r>
    </w:p>
    <w:p w:rsidR="00000000" w:rsidDel="00000000" w:rsidP="00000000" w:rsidRDefault="00000000" w:rsidRPr="00000000" w14:paraId="00000014">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5">
      <w:pPr>
        <w:jc w:val="both"/>
        <w:rPr/>
      </w:pPr>
      <w:r w:rsidDel="00000000" w:rsidR="00000000" w:rsidRPr="00000000">
        <w:rPr>
          <w:rtl w:val="0"/>
        </w:rPr>
      </w:r>
    </w:p>
    <w:p w:rsidR="00000000" w:rsidDel="00000000" w:rsidP="00000000" w:rsidRDefault="00000000" w:rsidRPr="00000000" w14:paraId="00000016">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7">
      <w:pPr>
        <w:spacing w:before="7" w:line="220" w:lineRule="auto"/>
        <w:jc w:val="both"/>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9">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A">
      <w:pPr>
        <w:spacing w:before="7" w:line="220" w:lineRule="auto"/>
        <w:rPr>
          <w:highlight w:val="magenta"/>
        </w:rPr>
      </w:pPr>
      <w:r w:rsidDel="00000000" w:rsidR="00000000" w:rsidRPr="00000000">
        <w:rPr>
          <w:rtl w:val="0"/>
        </w:rPr>
      </w:r>
    </w:p>
    <w:p w:rsidR="00000000" w:rsidDel="00000000" w:rsidP="00000000" w:rsidRDefault="00000000" w:rsidRPr="00000000" w14:paraId="0000001B">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C">
      <w:pPr>
        <w:spacing w:before="7" w:line="220" w:lineRule="auto"/>
        <w:rPr>
          <w:highlight w:val="magenta"/>
        </w:rPr>
      </w:pPr>
      <w:r w:rsidDel="00000000" w:rsidR="00000000" w:rsidRPr="00000000">
        <w:rPr>
          <w:rtl w:val="0"/>
        </w:rPr>
      </w:r>
    </w:p>
    <w:tbl>
      <w:tblPr>
        <w:tblStyle w:val="Table1"/>
        <w:tblW w:w="97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80"/>
        <w:gridCol w:w="4170"/>
        <w:gridCol w:w="2745"/>
        <w:gridCol w:w="2100"/>
        <w:tblGridChange w:id="0">
          <w:tblGrid>
            <w:gridCol w:w="780"/>
            <w:gridCol w:w="4170"/>
            <w:gridCol w:w="2745"/>
            <w:gridCol w:w="2100"/>
          </w:tblGrid>
        </w:tblGridChange>
      </w:tblGrid>
      <w:tr>
        <w:trPr>
          <w:cantSplit w:val="0"/>
          <w:tblHeader w:val="0"/>
        </w:trPr>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20">
            <w:pPr>
              <w:jc w:val="center"/>
              <w:rPr>
                <w:b w:val="1"/>
              </w:rPr>
            </w:pPr>
            <w:r w:rsidDel="00000000" w:rsidR="00000000" w:rsidRPr="00000000">
              <w:rPr>
                <w:b w:val="1"/>
                <w:rtl w:val="0"/>
              </w:rPr>
              <w:t xml:space="preserve">Total Price USD</w:t>
            </w:r>
          </w:p>
          <w:p w:rsidR="00000000" w:rsidDel="00000000" w:rsidP="00000000" w:rsidRDefault="00000000" w:rsidRPr="00000000" w14:paraId="00000021">
            <w:pPr>
              <w:jc w:val="center"/>
              <w:rPr>
                <w:b w:val="1"/>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22">
            <w:pPr>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3">
            <w:pPr>
              <w:widowControl w:val="0"/>
              <w:spacing w:after="0" w:before="0" w:line="240" w:lineRule="auto"/>
              <w:rPr/>
            </w:pPr>
            <w:r w:rsidDel="00000000" w:rsidR="00000000" w:rsidRPr="00000000">
              <w:rPr>
                <w:rtl w:val="0"/>
              </w:rPr>
              <w:t xml:space="preserve">Deliverable 1 - Inception Report</w:t>
            </w:r>
          </w:p>
        </w:tc>
        <w:tc>
          <w:tcPr>
            <w:vAlign w:val="center"/>
          </w:tcPr>
          <w:p w:rsidR="00000000" w:rsidDel="00000000" w:rsidP="00000000" w:rsidRDefault="00000000" w:rsidRPr="00000000" w14:paraId="00000024">
            <w:pPr>
              <w:spacing w:after="0" w:before="0" w:line="240" w:lineRule="auto"/>
              <w:jc w:val="center"/>
              <w:rPr/>
            </w:pPr>
            <w:r w:rsidDel="00000000" w:rsidR="00000000" w:rsidRPr="00000000">
              <w:rPr>
                <w:rtl w:val="0"/>
              </w:rPr>
              <w:t xml:space="preserve">10% of lump sum component of the contract (excluding the non-personnel cost)</w:t>
            </w:r>
          </w:p>
        </w:tc>
        <w:tc>
          <w:tcPr>
            <w:vAlign w:val="center"/>
          </w:tcPr>
          <w:p w:rsidR="00000000" w:rsidDel="00000000" w:rsidP="00000000" w:rsidRDefault="00000000" w:rsidRPr="00000000" w14:paraId="00000025">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026">
            <w:pPr>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7">
            <w:pPr>
              <w:widowControl w:val="0"/>
              <w:spacing w:after="0" w:before="0" w:line="240" w:lineRule="auto"/>
              <w:rPr/>
            </w:pPr>
            <w:r w:rsidDel="00000000" w:rsidR="00000000" w:rsidRPr="00000000">
              <w:rPr>
                <w:rtl w:val="0"/>
              </w:rPr>
              <w:t xml:space="preserve">Deliverable 2 - First Draft Report on the Proposed Methodology and Guidelines for ASEAN-wide Integrated Resource and Resilience Planning (IRRP)</w:t>
            </w:r>
          </w:p>
        </w:tc>
        <w:tc>
          <w:tcPr>
            <w:vAlign w:val="center"/>
          </w:tcPr>
          <w:p w:rsidR="00000000" w:rsidDel="00000000" w:rsidP="00000000" w:rsidRDefault="00000000" w:rsidRPr="00000000" w14:paraId="00000028">
            <w:pPr>
              <w:spacing w:after="0" w:before="0" w:line="240" w:lineRule="auto"/>
              <w:jc w:val="center"/>
              <w:rPr/>
            </w:pPr>
            <w:r w:rsidDel="00000000" w:rsidR="00000000" w:rsidRPr="00000000">
              <w:rPr>
                <w:rtl w:val="0"/>
              </w:rPr>
              <w:t xml:space="preserve">20% of lump sum component of the contract (excluding the non-personnel cost)</w:t>
            </w:r>
          </w:p>
        </w:tc>
        <w:tc>
          <w:tcPr>
            <w:vAlign w:val="center"/>
          </w:tcPr>
          <w:p w:rsidR="00000000" w:rsidDel="00000000" w:rsidP="00000000" w:rsidRDefault="00000000" w:rsidRPr="00000000" w14:paraId="00000029">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B">
            <w:pPr>
              <w:widowControl w:val="0"/>
              <w:spacing w:after="0" w:before="0" w:line="240" w:lineRule="auto"/>
              <w:rPr/>
            </w:pPr>
            <w:r w:rsidDel="00000000" w:rsidR="00000000" w:rsidRPr="00000000">
              <w:rPr>
                <w:rtl w:val="0"/>
              </w:rPr>
              <w:t xml:space="preserve">Deliverable 3 - Second Draft Report on the Proposed Methodology and Guidelines for ASEAN-wide Integrated Resource and Resilience Planning (IRRP)</w:t>
            </w:r>
          </w:p>
        </w:tc>
        <w:tc>
          <w:tcPr>
            <w:vAlign w:val="center"/>
          </w:tcPr>
          <w:p w:rsidR="00000000" w:rsidDel="00000000" w:rsidP="00000000" w:rsidRDefault="00000000" w:rsidRPr="00000000" w14:paraId="0000002C">
            <w:pPr>
              <w:spacing w:after="0" w:before="0" w:line="240" w:lineRule="auto"/>
              <w:jc w:val="center"/>
              <w:rPr/>
            </w:pPr>
            <w:r w:rsidDel="00000000" w:rsidR="00000000" w:rsidRPr="00000000">
              <w:rPr>
                <w:rtl w:val="0"/>
              </w:rPr>
              <w:t xml:space="preserve">30% of lump sum component of the contract (excluding the non-personnel cost)</w:t>
            </w:r>
          </w:p>
        </w:tc>
        <w:tc>
          <w:tcPr>
            <w:vAlign w:val="center"/>
          </w:tcPr>
          <w:p w:rsidR="00000000" w:rsidDel="00000000" w:rsidP="00000000" w:rsidRDefault="00000000" w:rsidRPr="00000000" w14:paraId="0000002D">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2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F">
            <w:pPr>
              <w:widowControl w:val="0"/>
              <w:spacing w:after="0" w:before="0" w:line="240" w:lineRule="auto"/>
              <w:rPr/>
            </w:pPr>
            <w:r w:rsidDel="00000000" w:rsidR="00000000" w:rsidRPr="00000000">
              <w:rPr>
                <w:rtl w:val="0"/>
              </w:rPr>
              <w:t xml:space="preserve">Deliverable 4 - Final Report on the Proposed Methodology and Guidelines for ASEAN-wide Integrated Resource and Resilience Planning (IRRP)</w:t>
            </w:r>
          </w:p>
        </w:tc>
        <w:tc>
          <w:tcPr>
            <w:vAlign w:val="center"/>
          </w:tcPr>
          <w:p w:rsidR="00000000" w:rsidDel="00000000" w:rsidP="00000000" w:rsidRDefault="00000000" w:rsidRPr="00000000" w14:paraId="00000030">
            <w:pPr>
              <w:spacing w:after="0" w:before="0" w:line="240" w:lineRule="auto"/>
              <w:jc w:val="center"/>
              <w:rPr/>
            </w:pPr>
            <w:r w:rsidDel="00000000" w:rsidR="00000000" w:rsidRPr="00000000">
              <w:rPr>
                <w:rtl w:val="0"/>
              </w:rPr>
              <w:t xml:space="preserve">40% of lump sum component of the contract (excluding the non-personnel cost)</w:t>
            </w:r>
          </w:p>
        </w:tc>
        <w:tc>
          <w:tcPr>
            <w:vAlign w:val="center"/>
          </w:tcPr>
          <w:p w:rsidR="00000000" w:rsidDel="00000000" w:rsidP="00000000" w:rsidRDefault="00000000" w:rsidRPr="00000000" w14:paraId="00000031">
            <w:pPr>
              <w:jc w:val="center"/>
              <w:rPr>
                <w:b w:val="1"/>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2">
            <w:pPr>
              <w:widowControl w:val="0"/>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3">
            <w:pPr>
              <w:widowControl w:val="0"/>
              <w:spacing w:after="0" w:before="0" w:line="240" w:lineRule="auto"/>
              <w:rPr/>
            </w:pPr>
            <w:r w:rsidDel="00000000" w:rsidR="00000000" w:rsidRPr="00000000">
              <w:rPr>
                <w:rtl w:val="0"/>
              </w:rPr>
              <w:t xml:space="preserve">Consultations, communications, and dissemination</w:t>
            </w:r>
          </w:p>
        </w:tc>
        <w:tc>
          <w:tcPr>
            <w:vAlign w:val="center"/>
          </w:tcPr>
          <w:p w:rsidR="00000000" w:rsidDel="00000000" w:rsidP="00000000" w:rsidRDefault="00000000" w:rsidRPr="00000000" w14:paraId="00000034">
            <w:pPr>
              <w:spacing w:after="0" w:before="0" w:line="240" w:lineRule="auto"/>
              <w:rPr/>
            </w:pPr>
            <w:r w:rsidDel="00000000" w:rsidR="00000000" w:rsidRPr="00000000">
              <w:rPr>
                <w:rtl w:val="0"/>
              </w:rPr>
              <w:t xml:space="preserve">The financial proposal must include non-personnel ceiling costs expected to be incurred to execute the works (to be paid based on actual up to the ceiling)</w:t>
            </w:r>
            <w:r w:rsidDel="00000000" w:rsidR="00000000" w:rsidRPr="00000000">
              <w:rPr>
                <w:rtl w:val="0"/>
              </w:rPr>
            </w:r>
          </w:p>
        </w:tc>
        <w:tc>
          <w:tcPr>
            <w:vAlign w:val="center"/>
          </w:tcPr>
          <w:p w:rsidR="00000000" w:rsidDel="00000000" w:rsidP="00000000" w:rsidRDefault="00000000" w:rsidRPr="00000000" w14:paraId="00000035">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36">
            <w:pPr>
              <w:widowControl w:val="0"/>
              <w:jc w:val="center"/>
              <w:rPr/>
            </w:pPr>
            <w:r w:rsidDel="00000000" w:rsidR="00000000" w:rsidRPr="00000000">
              <w:rPr>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7">
            <w:pPr>
              <w:widowControl w:val="0"/>
              <w:spacing w:after="0" w:before="0" w:line="240" w:lineRule="auto"/>
              <w:rPr/>
            </w:pPr>
            <w:r w:rsidDel="00000000" w:rsidR="00000000" w:rsidRPr="00000000">
              <w:rPr>
                <w:rtl w:val="0"/>
              </w:rPr>
              <w:t xml:space="preserve">Monthly Progress Report</w:t>
            </w:r>
          </w:p>
        </w:tc>
        <w:tc>
          <w:tcPr>
            <w:vAlign w:val="center"/>
          </w:tcPr>
          <w:p w:rsidR="00000000" w:rsidDel="00000000" w:rsidP="00000000" w:rsidRDefault="00000000" w:rsidRPr="00000000" w14:paraId="00000038">
            <w:pPr>
              <w:spacing w:after="0" w:before="0" w:line="240" w:lineRule="auto"/>
              <w:rPr/>
            </w:pPr>
            <w:r w:rsidDel="00000000" w:rsidR="00000000" w:rsidRPr="00000000">
              <w:rPr>
                <w:rtl w:val="0"/>
              </w:rPr>
              <w:t xml:space="preserve">N/A</w:t>
            </w:r>
            <w:r w:rsidDel="00000000" w:rsidR="00000000" w:rsidRPr="00000000">
              <w:rPr>
                <w:rtl w:val="0"/>
              </w:rPr>
            </w:r>
          </w:p>
        </w:tc>
        <w:tc>
          <w:tcPr>
            <w:vAlign w:val="center"/>
          </w:tcPr>
          <w:p w:rsidR="00000000" w:rsidDel="00000000" w:rsidP="00000000" w:rsidRDefault="00000000" w:rsidRPr="00000000" w14:paraId="00000039">
            <w:pPr>
              <w:jc w:val="center"/>
              <w:rPr/>
            </w:pPr>
            <w:r w:rsidDel="00000000" w:rsidR="00000000" w:rsidRPr="00000000">
              <w:rPr>
                <w:rtl w:val="0"/>
              </w:rPr>
              <w:t xml:space="preserve">N/A</w:t>
            </w:r>
          </w:p>
        </w:tc>
      </w:tr>
      <w:tr>
        <w:trPr>
          <w:cantSplit w:val="0"/>
          <w:tblHeader w:val="0"/>
        </w:trPr>
        <w:tc>
          <w:tcPr>
            <w:gridSpan w:val="3"/>
            <w:vAlign w:val="center"/>
          </w:tcPr>
          <w:p w:rsidR="00000000" w:rsidDel="00000000" w:rsidP="00000000" w:rsidRDefault="00000000" w:rsidRPr="00000000" w14:paraId="0000003A">
            <w:pPr>
              <w:rPr>
                <w:b w:val="1"/>
              </w:rPr>
            </w:pPr>
            <w:r w:rsidDel="00000000" w:rsidR="00000000" w:rsidRPr="00000000">
              <w:rPr>
                <w:b w:val="1"/>
                <w:rtl w:val="0"/>
              </w:rPr>
              <w:t xml:space="preserve">Total financial proposal for personnel costs (USD)</w:t>
            </w:r>
          </w:p>
        </w:tc>
        <w:tc>
          <w:tcPr>
            <w:vAlign w:val="center"/>
          </w:tcPr>
          <w:p w:rsidR="00000000" w:rsidDel="00000000" w:rsidP="00000000" w:rsidRDefault="00000000" w:rsidRPr="00000000" w14:paraId="0000003D">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3E">
            <w:pPr>
              <w:rPr>
                <w:b w:val="1"/>
              </w:rPr>
            </w:pPr>
            <w:r w:rsidDel="00000000" w:rsidR="00000000" w:rsidRPr="00000000">
              <w:rPr>
                <w:b w:val="1"/>
                <w:rtl w:val="0"/>
              </w:rPr>
              <w:t xml:space="preserve">Total financial proposal for non-personnel </w:t>
            </w:r>
            <w:r w:rsidDel="00000000" w:rsidR="00000000" w:rsidRPr="00000000">
              <w:rPr>
                <w:b w:val="1"/>
                <w:highlight w:val="yellow"/>
                <w:rtl w:val="0"/>
              </w:rPr>
              <w:t xml:space="preserve">(ceiling*)</w:t>
            </w:r>
            <w:r w:rsidDel="00000000" w:rsidR="00000000" w:rsidRPr="00000000">
              <w:rPr>
                <w:b w:val="1"/>
                <w:rtl w:val="0"/>
              </w:rPr>
              <w:t xml:space="preserve"> costs (USD)</w:t>
            </w:r>
          </w:p>
        </w:tc>
        <w:tc>
          <w:tcPr>
            <w:vAlign w:val="center"/>
          </w:tcPr>
          <w:p w:rsidR="00000000" w:rsidDel="00000000" w:rsidP="00000000" w:rsidRDefault="00000000" w:rsidRPr="00000000" w14:paraId="00000041">
            <w:pPr>
              <w:jc w:val="center"/>
              <w:rPr>
                <w:b w:val="1"/>
                <w:highlight w:val="cyan"/>
              </w:rPr>
            </w:pPr>
            <w:r w:rsidDel="00000000" w:rsidR="00000000" w:rsidRPr="00000000">
              <w:rPr>
                <w:b w:val="1"/>
                <w:highlight w:val="cyan"/>
                <w:rtl w:val="0"/>
              </w:rPr>
              <w:t xml:space="preserve">[Insert total ceiling cost]</w:t>
            </w:r>
          </w:p>
        </w:tc>
      </w:tr>
      <w:tr>
        <w:trPr>
          <w:cantSplit w:val="0"/>
          <w:trHeight w:val="549.9999999999977" w:hRule="atLeast"/>
          <w:tblHeader w:val="0"/>
        </w:trPr>
        <w:tc>
          <w:tcPr>
            <w:gridSpan w:val="3"/>
            <w:vAlign w:val="center"/>
          </w:tcPr>
          <w:p w:rsidR="00000000" w:rsidDel="00000000" w:rsidP="00000000" w:rsidRDefault="00000000" w:rsidRPr="00000000" w14:paraId="00000042">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45">
            <w:pPr>
              <w:jc w:val="center"/>
              <w:rPr>
                <w:b w:val="1"/>
              </w:rPr>
            </w:pPr>
            <w:r w:rsidDel="00000000" w:rsidR="00000000" w:rsidRPr="00000000">
              <w:rPr>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46">
      <w:pPr>
        <w:spacing w:before="7" w:line="220" w:lineRule="auto"/>
        <w:rPr>
          <w:highlight w:val="magenta"/>
        </w:rPr>
      </w:pPr>
      <w:r w:rsidDel="00000000" w:rsidR="00000000" w:rsidRPr="00000000">
        <w:rPr>
          <w:rtl w:val="0"/>
        </w:rPr>
      </w:r>
    </w:p>
    <w:p w:rsidR="00000000" w:rsidDel="00000000" w:rsidP="00000000" w:rsidRDefault="00000000" w:rsidRPr="00000000" w14:paraId="00000047">
      <w:pPr>
        <w:widowControl w:val="0"/>
        <w:rPr>
          <w:rFonts w:ascii="Calibri" w:cs="Calibri" w:eastAsia="Calibri" w:hAnsi="Calibri"/>
          <w:i w:val="1"/>
          <w:sz w:val="18"/>
          <w:szCs w:val="18"/>
          <w:highlight w:val="yellow"/>
        </w:rPr>
      </w:pPr>
      <w:r w:rsidDel="00000000" w:rsidR="00000000" w:rsidRPr="00000000">
        <w:rPr>
          <w:rFonts w:ascii="Calibri" w:cs="Calibri" w:eastAsia="Calibri" w:hAnsi="Calibri"/>
          <w:i w:val="1"/>
          <w:sz w:val="18"/>
          <w:szCs w:val="18"/>
          <w:highlight w:val="yellow"/>
          <w:rtl w:val="0"/>
        </w:rPr>
        <w:t xml:space="preserve">*  The Consultant should include in all non-personnel costs associated with implementing the scopes of works including other travel and logistics expected.</w:t>
      </w:r>
    </w:p>
    <w:p w:rsidR="00000000" w:rsidDel="00000000" w:rsidP="00000000" w:rsidRDefault="00000000" w:rsidRPr="00000000" w14:paraId="00000048">
      <w:pPr>
        <w:widowControl w:val="0"/>
        <w:rPr>
          <w:rFonts w:ascii="Calibri" w:cs="Calibri" w:eastAsia="Calibri" w:hAnsi="Calibri"/>
          <w:i w:val="1"/>
          <w:sz w:val="18"/>
          <w:szCs w:val="18"/>
          <w:highlight w:val="yellow"/>
        </w:rPr>
      </w:pPr>
      <w:r w:rsidDel="00000000" w:rsidR="00000000" w:rsidRPr="00000000">
        <w:rPr>
          <w:rtl w:val="0"/>
        </w:rPr>
      </w:r>
    </w:p>
    <w:p w:rsidR="00000000" w:rsidDel="00000000" w:rsidP="00000000" w:rsidRDefault="00000000" w:rsidRPr="00000000" w14:paraId="00000049">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4A">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4B">
      <w:pPr>
        <w:spacing w:before="7" w:line="220" w:lineRule="auto"/>
        <w:rPr>
          <w:highlight w:val="magenta"/>
        </w:rPr>
      </w:pPr>
      <w:r w:rsidDel="00000000" w:rsidR="00000000" w:rsidRPr="00000000">
        <w:rPr>
          <w:rtl w:val="0"/>
        </w:rPr>
      </w:r>
    </w:p>
    <w:p w:rsidR="00000000" w:rsidDel="00000000" w:rsidP="00000000" w:rsidRDefault="00000000" w:rsidRPr="00000000" w14:paraId="0000004C">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4D">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4E">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4F">
            <w:pPr>
              <w:ind w:right="-108"/>
              <w:jc w:val="center"/>
              <w:rPr>
                <w:b w:val="1"/>
              </w:rPr>
            </w:pPr>
            <w:r w:rsidDel="00000000" w:rsidR="00000000" w:rsidRPr="00000000">
              <w:rPr>
                <w:b w:val="1"/>
                <w:rtl w:val="0"/>
              </w:rPr>
              <w:t xml:space="preserve">Qty</w:t>
            </w:r>
          </w:p>
          <w:p w:rsidR="00000000" w:rsidDel="00000000" w:rsidP="00000000" w:rsidRDefault="00000000" w:rsidRPr="00000000" w14:paraId="00000050">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51">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52">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53">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54">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55">
            <w:pPr>
              <w:rPr>
                <w:color w:val="ff0000"/>
                <w:sz w:val="18"/>
                <w:szCs w:val="18"/>
              </w:rPr>
            </w:pPr>
            <w:r w:rsidDel="00000000" w:rsidR="00000000" w:rsidRPr="00000000">
              <w:rPr>
                <w:b w:val="1"/>
                <w:sz w:val="18"/>
                <w:szCs w:val="18"/>
                <w:rtl w:val="0"/>
              </w:rPr>
              <w:t xml:space="preserve">Personnel costs</w:t>
            </w:r>
            <w:r w:rsidDel="00000000" w:rsidR="00000000" w:rsidRPr="00000000">
              <w:rPr>
                <w:b w:val="1"/>
                <w:color w:val="ff0000"/>
                <w:sz w:val="18"/>
                <w:szCs w:val="18"/>
                <w:rtl w:val="0"/>
              </w:rPr>
              <w:t xml:space="preserve"> (lump sum)</w:t>
            </w:r>
            <w:r w:rsidDel="00000000" w:rsidR="00000000" w:rsidRPr="00000000">
              <w:rPr>
                <w:rtl w:val="0"/>
              </w:rPr>
            </w:r>
          </w:p>
        </w:tc>
      </w:tr>
      <w:tr>
        <w:trPr>
          <w:cantSplit w:val="0"/>
          <w:trHeight w:val="289.14062499999994" w:hRule="atLeast"/>
          <w:tblHeader w:val="0"/>
        </w:trPr>
        <w:tc>
          <w:tcPr>
            <w:vAlign w:val="center"/>
          </w:tcPr>
          <w:p w:rsidR="00000000" w:rsidDel="00000000" w:rsidP="00000000" w:rsidRDefault="00000000" w:rsidRPr="00000000" w14:paraId="0000005A">
            <w:pPr>
              <w:ind w:left="0" w:firstLine="0"/>
              <w:rPr/>
            </w:pPr>
            <w:r w:rsidDel="00000000" w:rsidR="00000000" w:rsidRPr="00000000">
              <w:rPr>
                <w:rtl w:val="0"/>
              </w:rPr>
              <w:t xml:space="preserve">Team Lead </w:t>
            </w:r>
          </w:p>
        </w:tc>
        <w:tc>
          <w:tcPr>
            <w:vAlign w:val="center"/>
          </w:tcPr>
          <w:p w:rsidR="00000000" w:rsidDel="00000000" w:rsidP="00000000" w:rsidRDefault="00000000" w:rsidRPr="00000000" w14:paraId="0000005B">
            <w:pPr>
              <w:rPr>
                <w:sz w:val="18"/>
                <w:szCs w:val="18"/>
              </w:rPr>
            </w:pPr>
            <w:r w:rsidDel="00000000" w:rsidR="00000000" w:rsidRPr="00000000">
              <w:rPr>
                <w:rtl w:val="0"/>
              </w:rPr>
            </w:r>
          </w:p>
        </w:tc>
        <w:tc>
          <w:tcPr>
            <w:vAlign w:val="center"/>
          </w:tcPr>
          <w:p w:rsidR="00000000" w:rsidDel="00000000" w:rsidP="00000000" w:rsidRDefault="00000000" w:rsidRPr="00000000" w14:paraId="0000005C">
            <w:pPr>
              <w:rPr>
                <w:sz w:val="18"/>
                <w:szCs w:val="18"/>
              </w:rPr>
            </w:pPr>
            <w:r w:rsidDel="00000000" w:rsidR="00000000" w:rsidRPr="00000000">
              <w:rPr>
                <w:rtl w:val="0"/>
              </w:rPr>
            </w:r>
          </w:p>
        </w:tc>
        <w:tc>
          <w:tcPr>
            <w:vAlign w:val="center"/>
          </w:tcPr>
          <w:p w:rsidR="00000000" w:rsidDel="00000000" w:rsidP="00000000" w:rsidRDefault="00000000" w:rsidRPr="00000000" w14:paraId="0000005D">
            <w:pPr>
              <w:rPr>
                <w:sz w:val="18"/>
                <w:szCs w:val="18"/>
              </w:rPr>
            </w:pPr>
            <w:r w:rsidDel="00000000" w:rsidR="00000000" w:rsidRPr="00000000">
              <w:rPr>
                <w:rtl w:val="0"/>
              </w:rPr>
            </w:r>
          </w:p>
        </w:tc>
        <w:tc>
          <w:tcPr/>
          <w:p w:rsidR="00000000" w:rsidDel="00000000" w:rsidP="00000000" w:rsidRDefault="00000000" w:rsidRPr="00000000" w14:paraId="0000005E">
            <w:pPr>
              <w:rPr>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F">
            <w:pPr>
              <w:spacing w:line="276" w:lineRule="auto"/>
              <w:rPr/>
            </w:pPr>
            <w:r w:rsidDel="00000000" w:rsidR="00000000" w:rsidRPr="00000000">
              <w:rPr>
                <w:rtl w:val="0"/>
              </w:rPr>
              <w:t xml:space="preserve">Southeast Asia Legal Regulatory and Policy Expert (Power Sector Specific)</w:t>
            </w:r>
          </w:p>
        </w:tc>
        <w:tc>
          <w:tcPr>
            <w:vAlign w:val="center"/>
          </w:tcPr>
          <w:p w:rsidR="00000000" w:rsidDel="00000000" w:rsidP="00000000" w:rsidRDefault="00000000" w:rsidRPr="00000000" w14:paraId="00000060">
            <w:pPr>
              <w:rPr>
                <w:sz w:val="18"/>
                <w:szCs w:val="18"/>
              </w:rPr>
            </w:pPr>
            <w:r w:rsidDel="00000000" w:rsidR="00000000" w:rsidRPr="00000000">
              <w:rPr>
                <w:rtl w:val="0"/>
              </w:rPr>
            </w:r>
          </w:p>
        </w:tc>
        <w:tc>
          <w:tcPr>
            <w:vAlign w:val="center"/>
          </w:tcPr>
          <w:p w:rsidR="00000000" w:rsidDel="00000000" w:rsidP="00000000" w:rsidRDefault="00000000" w:rsidRPr="00000000" w14:paraId="00000061">
            <w:pPr>
              <w:rPr>
                <w:sz w:val="18"/>
                <w:szCs w:val="18"/>
              </w:rPr>
            </w:pPr>
            <w:r w:rsidDel="00000000" w:rsidR="00000000" w:rsidRPr="00000000">
              <w:rPr>
                <w:rtl w:val="0"/>
              </w:rPr>
            </w:r>
          </w:p>
        </w:tc>
        <w:tc>
          <w:tcPr>
            <w:vAlign w:val="center"/>
          </w:tcPr>
          <w:p w:rsidR="00000000" w:rsidDel="00000000" w:rsidP="00000000" w:rsidRDefault="00000000" w:rsidRPr="00000000" w14:paraId="00000062">
            <w:pPr>
              <w:rPr>
                <w:sz w:val="18"/>
                <w:szCs w:val="18"/>
              </w:rPr>
            </w:pPr>
            <w:r w:rsidDel="00000000" w:rsidR="00000000" w:rsidRPr="00000000">
              <w:rPr>
                <w:rtl w:val="0"/>
              </w:rPr>
            </w:r>
          </w:p>
        </w:tc>
        <w:tc>
          <w:tcPr/>
          <w:p w:rsidR="00000000" w:rsidDel="00000000" w:rsidP="00000000" w:rsidRDefault="00000000" w:rsidRPr="00000000" w14:paraId="00000063">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4">
            <w:pPr>
              <w:spacing w:line="276" w:lineRule="auto"/>
              <w:ind w:left="0" w:firstLine="0"/>
              <w:rPr/>
            </w:pPr>
            <w:r w:rsidDel="00000000" w:rsidR="00000000" w:rsidRPr="00000000">
              <w:rPr>
                <w:rtl w:val="0"/>
              </w:rPr>
              <w:t xml:space="preserve">Power Sector Expert</w:t>
            </w:r>
          </w:p>
        </w:tc>
        <w:tc>
          <w:tcPr>
            <w:vAlign w:val="center"/>
          </w:tcPr>
          <w:p w:rsidR="00000000" w:rsidDel="00000000" w:rsidP="00000000" w:rsidRDefault="00000000" w:rsidRPr="00000000" w14:paraId="00000065">
            <w:pPr>
              <w:rPr>
                <w:sz w:val="18"/>
                <w:szCs w:val="18"/>
              </w:rPr>
            </w:pPr>
            <w:r w:rsidDel="00000000" w:rsidR="00000000" w:rsidRPr="00000000">
              <w:rPr>
                <w:rtl w:val="0"/>
              </w:rPr>
            </w:r>
          </w:p>
        </w:tc>
        <w:tc>
          <w:tcPr>
            <w:vAlign w:val="center"/>
          </w:tcPr>
          <w:p w:rsidR="00000000" w:rsidDel="00000000" w:rsidP="00000000" w:rsidRDefault="00000000" w:rsidRPr="00000000" w14:paraId="00000066">
            <w:pPr>
              <w:rPr>
                <w:sz w:val="18"/>
                <w:szCs w:val="18"/>
              </w:rPr>
            </w:pPr>
            <w:r w:rsidDel="00000000" w:rsidR="00000000" w:rsidRPr="00000000">
              <w:rPr>
                <w:rtl w:val="0"/>
              </w:rPr>
            </w:r>
          </w:p>
        </w:tc>
        <w:tc>
          <w:tcPr>
            <w:vAlign w:val="center"/>
          </w:tcPr>
          <w:p w:rsidR="00000000" w:rsidDel="00000000" w:rsidP="00000000" w:rsidRDefault="00000000" w:rsidRPr="00000000" w14:paraId="00000067">
            <w:pPr>
              <w:rPr>
                <w:sz w:val="18"/>
                <w:szCs w:val="18"/>
              </w:rPr>
            </w:pPr>
            <w:r w:rsidDel="00000000" w:rsidR="00000000" w:rsidRPr="00000000">
              <w:rPr>
                <w:rtl w:val="0"/>
              </w:rPr>
            </w:r>
          </w:p>
        </w:tc>
        <w:tc>
          <w:tcPr/>
          <w:p w:rsidR="00000000" w:rsidDel="00000000" w:rsidP="00000000" w:rsidRDefault="00000000" w:rsidRPr="00000000" w14:paraId="00000068">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9">
            <w:pPr>
              <w:spacing w:line="276" w:lineRule="auto"/>
              <w:ind w:left="0" w:firstLine="0"/>
              <w:rPr/>
            </w:pPr>
            <w:r w:rsidDel="00000000" w:rsidR="00000000" w:rsidRPr="00000000">
              <w:rPr>
                <w:rtl w:val="0"/>
              </w:rPr>
              <w:t xml:space="preserve">Integrated Resource Planning Expert (International and ASEAN)</w:t>
            </w:r>
          </w:p>
        </w:tc>
        <w:tc>
          <w:tcPr>
            <w:vAlign w:val="center"/>
          </w:tcPr>
          <w:p w:rsidR="00000000" w:rsidDel="00000000" w:rsidP="00000000" w:rsidRDefault="00000000" w:rsidRPr="00000000" w14:paraId="0000006A">
            <w:pPr>
              <w:rPr>
                <w:sz w:val="18"/>
                <w:szCs w:val="18"/>
              </w:rPr>
            </w:pPr>
            <w:r w:rsidDel="00000000" w:rsidR="00000000" w:rsidRPr="00000000">
              <w:rPr>
                <w:rtl w:val="0"/>
              </w:rPr>
            </w:r>
          </w:p>
        </w:tc>
        <w:tc>
          <w:tcPr>
            <w:vAlign w:val="center"/>
          </w:tcPr>
          <w:p w:rsidR="00000000" w:rsidDel="00000000" w:rsidP="00000000" w:rsidRDefault="00000000" w:rsidRPr="00000000" w14:paraId="0000006B">
            <w:pPr>
              <w:rPr>
                <w:sz w:val="18"/>
                <w:szCs w:val="18"/>
              </w:rPr>
            </w:pPr>
            <w:r w:rsidDel="00000000" w:rsidR="00000000" w:rsidRPr="00000000">
              <w:rPr>
                <w:rtl w:val="0"/>
              </w:rPr>
            </w:r>
          </w:p>
        </w:tc>
        <w:tc>
          <w:tcPr>
            <w:vAlign w:val="center"/>
          </w:tcPr>
          <w:p w:rsidR="00000000" w:rsidDel="00000000" w:rsidP="00000000" w:rsidRDefault="00000000" w:rsidRPr="00000000" w14:paraId="0000006C">
            <w:pPr>
              <w:rPr>
                <w:sz w:val="18"/>
                <w:szCs w:val="18"/>
              </w:rPr>
            </w:pPr>
            <w:r w:rsidDel="00000000" w:rsidR="00000000" w:rsidRPr="00000000">
              <w:rPr>
                <w:rtl w:val="0"/>
              </w:rPr>
            </w:r>
          </w:p>
        </w:tc>
        <w:tc>
          <w:tcPr/>
          <w:p w:rsidR="00000000" w:rsidDel="00000000" w:rsidP="00000000" w:rsidRDefault="00000000" w:rsidRPr="00000000" w14:paraId="0000006D">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E">
            <w:pPr>
              <w:rPr/>
            </w:pPr>
            <w:r w:rsidDel="00000000" w:rsidR="00000000" w:rsidRPr="00000000">
              <w:rPr>
                <w:rtl w:val="0"/>
              </w:rPr>
              <w:t xml:space="preserve"> Additional positions (if applicable)</w:t>
            </w:r>
          </w:p>
        </w:tc>
        <w:tc>
          <w:tcPr>
            <w:vAlign w:val="center"/>
          </w:tcPr>
          <w:p w:rsidR="00000000" w:rsidDel="00000000" w:rsidP="00000000" w:rsidRDefault="00000000" w:rsidRPr="00000000" w14:paraId="0000006F">
            <w:pPr>
              <w:rPr>
                <w:sz w:val="18"/>
                <w:szCs w:val="18"/>
              </w:rPr>
            </w:pPr>
            <w:r w:rsidDel="00000000" w:rsidR="00000000" w:rsidRPr="00000000">
              <w:rPr>
                <w:rtl w:val="0"/>
              </w:rPr>
            </w:r>
          </w:p>
        </w:tc>
        <w:tc>
          <w:tcPr>
            <w:vAlign w:val="center"/>
          </w:tcPr>
          <w:p w:rsidR="00000000" w:rsidDel="00000000" w:rsidP="00000000" w:rsidRDefault="00000000" w:rsidRPr="00000000" w14:paraId="00000070">
            <w:pPr>
              <w:rPr>
                <w:sz w:val="18"/>
                <w:szCs w:val="18"/>
              </w:rPr>
            </w:pPr>
            <w:r w:rsidDel="00000000" w:rsidR="00000000" w:rsidRPr="00000000">
              <w:rPr>
                <w:rtl w:val="0"/>
              </w:rPr>
            </w:r>
          </w:p>
        </w:tc>
        <w:tc>
          <w:tcPr>
            <w:vAlign w:val="center"/>
          </w:tcPr>
          <w:p w:rsidR="00000000" w:rsidDel="00000000" w:rsidP="00000000" w:rsidRDefault="00000000" w:rsidRPr="00000000" w14:paraId="00000071">
            <w:pPr>
              <w:rPr>
                <w:sz w:val="18"/>
                <w:szCs w:val="18"/>
              </w:rPr>
            </w:pPr>
            <w:r w:rsidDel="00000000" w:rsidR="00000000" w:rsidRPr="00000000">
              <w:rPr>
                <w:rtl w:val="0"/>
              </w:rPr>
            </w:r>
          </w:p>
        </w:tc>
        <w:tc>
          <w:tcPr/>
          <w:p w:rsidR="00000000" w:rsidDel="00000000" w:rsidP="00000000" w:rsidRDefault="00000000" w:rsidRPr="00000000" w14:paraId="00000072">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3">
            <w:pPr>
              <w:spacing w:line="276" w:lineRule="auto"/>
              <w:ind w:left="0" w:firstLine="0"/>
              <w:rPr/>
            </w:pPr>
            <w:r w:rsidDel="00000000" w:rsidR="00000000" w:rsidRPr="00000000">
              <w:rPr>
                <w:rtl w:val="0"/>
              </w:rPr>
            </w:r>
          </w:p>
        </w:tc>
        <w:tc>
          <w:tcPr>
            <w:vAlign w:val="center"/>
          </w:tcPr>
          <w:p w:rsidR="00000000" w:rsidDel="00000000" w:rsidP="00000000" w:rsidRDefault="00000000" w:rsidRPr="00000000" w14:paraId="00000074">
            <w:pPr>
              <w:rPr/>
            </w:pPr>
            <w:r w:rsidDel="00000000" w:rsidR="00000000" w:rsidRPr="00000000">
              <w:rPr>
                <w:rtl w:val="0"/>
              </w:rPr>
            </w:r>
          </w:p>
        </w:tc>
        <w:tc>
          <w:tcPr>
            <w:vAlign w:val="center"/>
          </w:tcPr>
          <w:p w:rsidR="00000000" w:rsidDel="00000000" w:rsidP="00000000" w:rsidRDefault="00000000" w:rsidRPr="00000000" w14:paraId="00000075">
            <w:pPr>
              <w:rPr/>
            </w:pPr>
            <w:r w:rsidDel="00000000" w:rsidR="00000000" w:rsidRPr="00000000">
              <w:rPr>
                <w:rtl w:val="0"/>
              </w:rPr>
            </w:r>
          </w:p>
        </w:tc>
        <w:tc>
          <w:tcPr>
            <w:vAlign w:val="center"/>
          </w:tcPr>
          <w:p w:rsidR="00000000" w:rsidDel="00000000" w:rsidP="00000000" w:rsidRDefault="00000000" w:rsidRPr="00000000" w14:paraId="00000076">
            <w:pPr>
              <w:rPr/>
            </w:pPr>
            <w:r w:rsidDel="00000000" w:rsidR="00000000" w:rsidRPr="00000000">
              <w:rPr>
                <w:rtl w:val="0"/>
              </w:rPr>
            </w:r>
          </w:p>
        </w:tc>
        <w:tc>
          <w:tcPr/>
          <w:p w:rsidR="00000000" w:rsidDel="00000000" w:rsidP="00000000" w:rsidRDefault="00000000" w:rsidRPr="00000000" w14:paraId="00000077">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8">
            <w:pPr>
              <w:spacing w:line="276" w:lineRule="auto"/>
              <w:ind w:left="0" w:firstLine="0"/>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79">
            <w:pPr>
              <w:rPr/>
            </w:pPr>
            <w:r w:rsidDel="00000000" w:rsidR="00000000" w:rsidRPr="00000000">
              <w:rPr>
                <w:rtl w:val="0"/>
              </w:rPr>
            </w:r>
          </w:p>
        </w:tc>
        <w:tc>
          <w:tcPr>
            <w:vAlign w:val="center"/>
          </w:tcPr>
          <w:p w:rsidR="00000000" w:rsidDel="00000000" w:rsidP="00000000" w:rsidRDefault="00000000" w:rsidRPr="00000000" w14:paraId="0000007A">
            <w:pPr>
              <w:rPr/>
            </w:pPr>
            <w:r w:rsidDel="00000000" w:rsidR="00000000" w:rsidRPr="00000000">
              <w:rPr>
                <w:rtl w:val="0"/>
              </w:rPr>
            </w:r>
          </w:p>
        </w:tc>
        <w:tc>
          <w:tcPr>
            <w:vAlign w:val="center"/>
          </w:tcPr>
          <w:p w:rsidR="00000000" w:rsidDel="00000000" w:rsidP="00000000" w:rsidRDefault="00000000" w:rsidRPr="00000000" w14:paraId="0000007B">
            <w:pPr>
              <w:rPr/>
            </w:pPr>
            <w:r w:rsidDel="00000000" w:rsidR="00000000" w:rsidRPr="00000000">
              <w:rPr>
                <w:rtl w:val="0"/>
              </w:rPr>
            </w:r>
          </w:p>
        </w:tc>
        <w:tc>
          <w:tcPr/>
          <w:p w:rsidR="00000000" w:rsidDel="00000000" w:rsidP="00000000" w:rsidRDefault="00000000" w:rsidRPr="00000000" w14:paraId="0000007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D">
            <w:pPr>
              <w:spacing w:line="276" w:lineRule="auto"/>
              <w:ind w:left="450" w:hanging="360"/>
              <w:rPr>
                <w:rFonts w:ascii="Open Sans" w:cs="Open Sans" w:eastAsia="Open Sans" w:hAnsi="Open Sans"/>
                <w:sz w:val="16"/>
                <w:szCs w:val="16"/>
              </w:rPr>
            </w:pPr>
            <w:r w:rsidDel="00000000" w:rsidR="00000000" w:rsidRPr="00000000">
              <w:rPr>
                <w:rtl w:val="0"/>
              </w:rPr>
            </w:r>
          </w:p>
        </w:tc>
        <w:tc>
          <w:tcPr>
            <w:vAlign w:val="center"/>
          </w:tcPr>
          <w:p w:rsidR="00000000" w:rsidDel="00000000" w:rsidP="00000000" w:rsidRDefault="00000000" w:rsidRPr="00000000" w14:paraId="0000007E">
            <w:pPr>
              <w:rPr/>
            </w:pPr>
            <w:r w:rsidDel="00000000" w:rsidR="00000000" w:rsidRPr="00000000">
              <w:rPr>
                <w:rtl w:val="0"/>
              </w:rPr>
            </w:r>
          </w:p>
        </w:tc>
        <w:tc>
          <w:tcPr>
            <w:vAlign w:val="center"/>
          </w:tcPr>
          <w:p w:rsidR="00000000" w:rsidDel="00000000" w:rsidP="00000000" w:rsidRDefault="00000000" w:rsidRPr="00000000" w14:paraId="0000007F">
            <w:pPr>
              <w:rPr/>
            </w:pPr>
            <w:r w:rsidDel="00000000" w:rsidR="00000000" w:rsidRPr="00000000">
              <w:rPr>
                <w:rtl w:val="0"/>
              </w:rPr>
            </w:r>
          </w:p>
        </w:tc>
        <w:tc>
          <w:tcPr>
            <w:vAlign w:val="center"/>
          </w:tcPr>
          <w:p w:rsidR="00000000" w:rsidDel="00000000" w:rsidP="00000000" w:rsidRDefault="00000000" w:rsidRPr="00000000" w14:paraId="00000080">
            <w:pPr>
              <w:rPr/>
            </w:pPr>
            <w:r w:rsidDel="00000000" w:rsidR="00000000" w:rsidRPr="00000000">
              <w:rPr>
                <w:rtl w:val="0"/>
              </w:rPr>
            </w:r>
          </w:p>
        </w:tc>
        <w:tc>
          <w:tcPr/>
          <w:p w:rsidR="00000000" w:rsidDel="00000000" w:rsidP="00000000" w:rsidRDefault="00000000" w:rsidRPr="00000000" w14:paraId="0000008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2">
            <w:pPr>
              <w:spacing w:line="276" w:lineRule="auto"/>
              <w:ind w:left="450" w:hanging="360"/>
              <w:rPr>
                <w:rFonts w:ascii="Open Sans" w:cs="Open Sans" w:eastAsia="Open Sans" w:hAnsi="Open Sans"/>
                <w:sz w:val="16"/>
                <w:szCs w:val="16"/>
              </w:rPr>
            </w:pPr>
            <w:r w:rsidDel="00000000" w:rsidR="00000000" w:rsidRPr="00000000">
              <w:rPr>
                <w:rtl w:val="0"/>
              </w:rPr>
            </w:r>
          </w:p>
        </w:tc>
        <w:tc>
          <w:tcPr>
            <w:vAlign w:val="center"/>
          </w:tcPr>
          <w:p w:rsidR="00000000" w:rsidDel="00000000" w:rsidP="00000000" w:rsidRDefault="00000000" w:rsidRPr="00000000" w14:paraId="00000083">
            <w:pPr>
              <w:rPr/>
            </w:pPr>
            <w:r w:rsidDel="00000000" w:rsidR="00000000" w:rsidRPr="00000000">
              <w:rPr>
                <w:rtl w:val="0"/>
              </w:rPr>
            </w:r>
          </w:p>
        </w:tc>
        <w:tc>
          <w:tcPr>
            <w:vAlign w:val="center"/>
          </w:tcPr>
          <w:p w:rsidR="00000000" w:rsidDel="00000000" w:rsidP="00000000" w:rsidRDefault="00000000" w:rsidRPr="00000000" w14:paraId="00000084">
            <w:pPr>
              <w:rPr/>
            </w:pPr>
            <w:r w:rsidDel="00000000" w:rsidR="00000000" w:rsidRPr="00000000">
              <w:rPr>
                <w:rtl w:val="0"/>
              </w:rPr>
            </w:r>
          </w:p>
        </w:tc>
        <w:tc>
          <w:tcPr>
            <w:vAlign w:val="center"/>
          </w:tcPr>
          <w:p w:rsidR="00000000" w:rsidDel="00000000" w:rsidP="00000000" w:rsidRDefault="00000000" w:rsidRPr="00000000" w14:paraId="00000085">
            <w:pPr>
              <w:rPr/>
            </w:pPr>
            <w:r w:rsidDel="00000000" w:rsidR="00000000" w:rsidRPr="00000000">
              <w:rPr>
                <w:rtl w:val="0"/>
              </w:rPr>
            </w:r>
          </w:p>
        </w:tc>
        <w:tc>
          <w:tcPr/>
          <w:p w:rsidR="00000000" w:rsidDel="00000000" w:rsidP="00000000" w:rsidRDefault="00000000" w:rsidRPr="00000000" w14:paraId="00000086">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87">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8B">
            <w:pPr>
              <w:rPr>
                <w:b w:val="1"/>
              </w:rPr>
            </w:pPr>
            <w:r w:rsidDel="00000000" w:rsidR="00000000" w:rsidRPr="00000000">
              <w:rPr>
                <w:rtl w:val="0"/>
              </w:rPr>
            </w:r>
          </w:p>
        </w:tc>
      </w:tr>
    </w:tbl>
    <w:p w:rsidR="00000000" w:rsidDel="00000000" w:rsidP="00000000" w:rsidRDefault="00000000" w:rsidRPr="00000000" w14:paraId="0000008C">
      <w:pPr>
        <w:jc w:val="both"/>
        <w:rPr>
          <w:b w:val="1"/>
        </w:rPr>
      </w:pPr>
      <w:r w:rsidDel="00000000" w:rsidR="00000000" w:rsidRPr="00000000">
        <w:rPr>
          <w:rtl w:val="0"/>
        </w:rPr>
      </w:r>
    </w:p>
    <w:p w:rsidR="00000000" w:rsidDel="00000000" w:rsidP="00000000" w:rsidRDefault="00000000" w:rsidRPr="00000000" w14:paraId="0000008D">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8E">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8F">
            <w:pPr>
              <w:ind w:right="-108"/>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090">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91">
            <w:pPr>
              <w:jc w:val="center"/>
              <w:rPr>
                <w:b w:val="1"/>
              </w:rPr>
            </w:pPr>
            <w:r w:rsidDel="00000000" w:rsidR="00000000" w:rsidRPr="00000000">
              <w:rPr>
                <w:b w:val="1"/>
                <w:rtl w:val="0"/>
              </w:rPr>
              <w:t xml:space="preserve">Quantity (Pax)</w:t>
            </w:r>
          </w:p>
        </w:tc>
        <w:tc>
          <w:tcPr>
            <w:shd w:fill="d9d9d9" w:val="clear"/>
            <w:vAlign w:val="center"/>
          </w:tcPr>
          <w:p w:rsidR="00000000" w:rsidDel="00000000" w:rsidP="00000000" w:rsidRDefault="00000000" w:rsidRPr="00000000" w14:paraId="00000092">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93">
            <w:pPr>
              <w:rPr>
                <w:b w:val="1"/>
                <w:color w:val="ff0000"/>
              </w:rPr>
            </w:pPr>
            <w:r w:rsidDel="00000000" w:rsidR="00000000" w:rsidRPr="00000000">
              <w:rPr>
                <w:b w:val="1"/>
                <w:rtl w:val="0"/>
              </w:rPr>
              <w:t xml:space="preserve">Non-personnel costs</w:t>
            </w:r>
            <w:r w:rsidDel="00000000" w:rsidR="00000000" w:rsidRPr="00000000">
              <w:rPr>
                <w:b w:val="1"/>
                <w:color w:val="ff0000"/>
                <w:rtl w:val="0"/>
              </w:rPr>
              <w:t xml:space="preserve"> </w:t>
            </w:r>
            <w:r w:rsidDel="00000000" w:rsidR="00000000" w:rsidRPr="00000000">
              <w:rPr>
                <w:b w:val="1"/>
                <w:color w:val="ff0000"/>
                <w:sz w:val="18"/>
                <w:szCs w:val="18"/>
                <w:rtl w:val="0"/>
              </w:rPr>
              <w:t xml:space="preserve">(reimbursable)</w:t>
            </w: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98">
            <w:pPr>
              <w:rPr/>
            </w:pPr>
            <w:r w:rsidDel="00000000" w:rsidR="00000000" w:rsidRPr="00000000">
              <w:rPr>
                <w:rtl w:val="0"/>
              </w:rPr>
              <w:t xml:space="preserve">Airfare (Indication of destination and Economy class airfare with the most direct route as stated in the ToRs)</w:t>
            </w:r>
          </w:p>
        </w:tc>
        <w:tc>
          <w:tcPr>
            <w:vAlign w:val="center"/>
          </w:tcPr>
          <w:p w:rsidR="00000000" w:rsidDel="00000000" w:rsidP="00000000" w:rsidRDefault="00000000" w:rsidRPr="00000000" w14:paraId="00000099">
            <w:pPr>
              <w:rPr/>
            </w:pPr>
            <w:r w:rsidDel="00000000" w:rsidR="00000000" w:rsidRPr="00000000">
              <w:rPr>
                <w:rtl w:val="0"/>
              </w:rPr>
            </w:r>
          </w:p>
        </w:tc>
        <w:tc>
          <w:tcPr>
            <w:vAlign w:val="center"/>
          </w:tcPr>
          <w:p w:rsidR="00000000" w:rsidDel="00000000" w:rsidP="00000000" w:rsidRDefault="00000000" w:rsidRPr="00000000" w14:paraId="0000009A">
            <w:pPr>
              <w:rPr/>
            </w:pPr>
            <w:r w:rsidDel="00000000" w:rsidR="00000000" w:rsidRPr="00000000">
              <w:rPr>
                <w:rtl w:val="0"/>
              </w:rPr>
            </w:r>
          </w:p>
        </w:tc>
        <w:tc>
          <w:tcPr>
            <w:vAlign w:val="center"/>
          </w:tcPr>
          <w:p w:rsidR="00000000" w:rsidDel="00000000" w:rsidP="00000000" w:rsidRDefault="00000000" w:rsidRPr="00000000" w14:paraId="0000009B">
            <w:pPr>
              <w:rPr/>
            </w:pPr>
            <w:r w:rsidDel="00000000" w:rsidR="00000000" w:rsidRPr="00000000">
              <w:rPr>
                <w:rtl w:val="0"/>
              </w:rPr>
            </w:r>
          </w:p>
        </w:tc>
        <w:tc>
          <w:tcPr/>
          <w:p w:rsidR="00000000" w:rsidDel="00000000" w:rsidP="00000000" w:rsidRDefault="00000000" w:rsidRPr="00000000" w14:paraId="0000009C">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9D">
            <w:pPr>
              <w:rPr/>
            </w:pPr>
            <w:r w:rsidDel="00000000" w:rsidR="00000000" w:rsidRPr="00000000">
              <w:rPr>
                <w:rtl w:val="0"/>
              </w:rPr>
              <w:t xml:space="preserve">Daily Subsistence Allowance for international staff if applicable </w:t>
            </w:r>
          </w:p>
        </w:tc>
        <w:tc>
          <w:tcPr>
            <w:vAlign w:val="center"/>
          </w:tcPr>
          <w:p w:rsidR="00000000" w:rsidDel="00000000" w:rsidP="00000000" w:rsidRDefault="00000000" w:rsidRPr="00000000" w14:paraId="0000009E">
            <w:pPr>
              <w:rPr/>
            </w:pPr>
            <w:r w:rsidDel="00000000" w:rsidR="00000000" w:rsidRPr="00000000">
              <w:rPr>
                <w:rtl w:val="0"/>
              </w:rPr>
            </w:r>
          </w:p>
        </w:tc>
        <w:tc>
          <w:tcPr>
            <w:vAlign w:val="center"/>
          </w:tcPr>
          <w:p w:rsidR="00000000" w:rsidDel="00000000" w:rsidP="00000000" w:rsidRDefault="00000000" w:rsidRPr="00000000" w14:paraId="0000009F">
            <w:pPr>
              <w:rPr/>
            </w:pPr>
            <w:r w:rsidDel="00000000" w:rsidR="00000000" w:rsidRPr="00000000">
              <w:rPr>
                <w:rtl w:val="0"/>
              </w:rPr>
            </w:r>
          </w:p>
        </w:tc>
        <w:tc>
          <w:tcPr>
            <w:vAlign w:val="center"/>
          </w:tcPr>
          <w:p w:rsidR="00000000" w:rsidDel="00000000" w:rsidP="00000000" w:rsidRDefault="00000000" w:rsidRPr="00000000" w14:paraId="000000A0">
            <w:pPr>
              <w:rPr/>
            </w:pPr>
            <w:r w:rsidDel="00000000" w:rsidR="00000000" w:rsidRPr="00000000">
              <w:rPr>
                <w:rtl w:val="0"/>
              </w:rPr>
            </w:r>
          </w:p>
        </w:tc>
        <w:tc>
          <w:tcPr/>
          <w:p w:rsidR="00000000" w:rsidDel="00000000" w:rsidP="00000000" w:rsidRDefault="00000000" w:rsidRPr="00000000" w14:paraId="000000A1">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2">
            <w:pPr>
              <w:spacing w:line="276" w:lineRule="auto"/>
              <w:jc w:val="both"/>
              <w:rPr/>
            </w:pPr>
            <w:r w:rsidDel="00000000" w:rsidR="00000000" w:rsidRPr="00000000">
              <w:rPr>
                <w:rtl w:val="0"/>
              </w:rPr>
              <w:t xml:space="preserve">Others (please specify)</w:t>
            </w:r>
          </w:p>
        </w:tc>
        <w:tc>
          <w:tcPr>
            <w:vAlign w:val="center"/>
          </w:tcPr>
          <w:p w:rsidR="00000000" w:rsidDel="00000000" w:rsidP="00000000" w:rsidRDefault="00000000" w:rsidRPr="00000000" w14:paraId="000000A3">
            <w:pPr>
              <w:rPr/>
            </w:pPr>
            <w:r w:rsidDel="00000000" w:rsidR="00000000" w:rsidRPr="00000000">
              <w:rPr>
                <w:rtl w:val="0"/>
              </w:rPr>
            </w:r>
          </w:p>
        </w:tc>
        <w:tc>
          <w:tcPr>
            <w:vAlign w:val="center"/>
          </w:tcPr>
          <w:p w:rsidR="00000000" w:rsidDel="00000000" w:rsidP="00000000" w:rsidRDefault="00000000" w:rsidRPr="00000000" w14:paraId="000000A4">
            <w:pPr>
              <w:rPr/>
            </w:pPr>
            <w:r w:rsidDel="00000000" w:rsidR="00000000" w:rsidRPr="00000000">
              <w:rPr>
                <w:rtl w:val="0"/>
              </w:rPr>
            </w:r>
          </w:p>
        </w:tc>
        <w:tc>
          <w:tcPr>
            <w:vAlign w:val="center"/>
          </w:tcPr>
          <w:p w:rsidR="00000000" w:rsidDel="00000000" w:rsidP="00000000" w:rsidRDefault="00000000" w:rsidRPr="00000000" w14:paraId="000000A5">
            <w:pPr>
              <w:rPr/>
            </w:pPr>
            <w:r w:rsidDel="00000000" w:rsidR="00000000" w:rsidRPr="00000000">
              <w:rPr>
                <w:rtl w:val="0"/>
              </w:rPr>
            </w:r>
          </w:p>
        </w:tc>
        <w:tc>
          <w:tcPr/>
          <w:p w:rsidR="00000000" w:rsidDel="00000000" w:rsidP="00000000" w:rsidRDefault="00000000" w:rsidRPr="00000000" w14:paraId="000000A6">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7">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A8">
            <w:pPr>
              <w:rPr/>
            </w:pPr>
            <w:r w:rsidDel="00000000" w:rsidR="00000000" w:rsidRPr="00000000">
              <w:rPr>
                <w:rtl w:val="0"/>
              </w:rPr>
            </w:r>
          </w:p>
        </w:tc>
        <w:tc>
          <w:tcPr>
            <w:vAlign w:val="center"/>
          </w:tcPr>
          <w:p w:rsidR="00000000" w:rsidDel="00000000" w:rsidP="00000000" w:rsidRDefault="00000000" w:rsidRPr="00000000" w14:paraId="000000A9">
            <w:pPr>
              <w:rPr/>
            </w:pPr>
            <w:r w:rsidDel="00000000" w:rsidR="00000000" w:rsidRPr="00000000">
              <w:rPr>
                <w:rtl w:val="0"/>
              </w:rPr>
            </w:r>
          </w:p>
        </w:tc>
        <w:tc>
          <w:tcPr>
            <w:vAlign w:val="center"/>
          </w:tcPr>
          <w:p w:rsidR="00000000" w:rsidDel="00000000" w:rsidP="00000000" w:rsidRDefault="00000000" w:rsidRPr="00000000" w14:paraId="000000AA">
            <w:pPr>
              <w:rPr/>
            </w:pPr>
            <w:r w:rsidDel="00000000" w:rsidR="00000000" w:rsidRPr="00000000">
              <w:rPr>
                <w:rtl w:val="0"/>
              </w:rPr>
            </w:r>
          </w:p>
        </w:tc>
        <w:tc>
          <w:tcPr/>
          <w:p w:rsidR="00000000" w:rsidDel="00000000" w:rsidP="00000000" w:rsidRDefault="00000000" w:rsidRPr="00000000" w14:paraId="000000AB">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C">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AD">
            <w:pPr>
              <w:rPr/>
            </w:pPr>
            <w:r w:rsidDel="00000000" w:rsidR="00000000" w:rsidRPr="00000000">
              <w:rPr>
                <w:rtl w:val="0"/>
              </w:rPr>
            </w:r>
          </w:p>
        </w:tc>
        <w:tc>
          <w:tcPr>
            <w:vAlign w:val="center"/>
          </w:tcPr>
          <w:p w:rsidR="00000000" w:rsidDel="00000000" w:rsidP="00000000" w:rsidRDefault="00000000" w:rsidRPr="00000000" w14:paraId="000000AE">
            <w:pPr>
              <w:rPr/>
            </w:pPr>
            <w:r w:rsidDel="00000000" w:rsidR="00000000" w:rsidRPr="00000000">
              <w:rPr>
                <w:rtl w:val="0"/>
              </w:rPr>
            </w:r>
          </w:p>
        </w:tc>
        <w:tc>
          <w:tcPr>
            <w:vAlign w:val="center"/>
          </w:tcPr>
          <w:p w:rsidR="00000000" w:rsidDel="00000000" w:rsidP="00000000" w:rsidRDefault="00000000" w:rsidRPr="00000000" w14:paraId="000000AF">
            <w:pPr>
              <w:rPr/>
            </w:pPr>
            <w:r w:rsidDel="00000000" w:rsidR="00000000" w:rsidRPr="00000000">
              <w:rPr>
                <w:rtl w:val="0"/>
              </w:rPr>
            </w:r>
          </w:p>
        </w:tc>
        <w:tc>
          <w:tcPr/>
          <w:p w:rsidR="00000000" w:rsidDel="00000000" w:rsidP="00000000" w:rsidRDefault="00000000" w:rsidRPr="00000000" w14:paraId="000000B0">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B1">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B2">
            <w:pPr>
              <w:rPr/>
            </w:pPr>
            <w:r w:rsidDel="00000000" w:rsidR="00000000" w:rsidRPr="00000000">
              <w:rPr>
                <w:rtl w:val="0"/>
              </w:rPr>
            </w:r>
          </w:p>
        </w:tc>
        <w:tc>
          <w:tcPr>
            <w:vAlign w:val="center"/>
          </w:tcPr>
          <w:p w:rsidR="00000000" w:rsidDel="00000000" w:rsidP="00000000" w:rsidRDefault="00000000" w:rsidRPr="00000000" w14:paraId="000000B3">
            <w:pPr>
              <w:rPr/>
            </w:pPr>
            <w:r w:rsidDel="00000000" w:rsidR="00000000" w:rsidRPr="00000000">
              <w:rPr>
                <w:rtl w:val="0"/>
              </w:rPr>
            </w:r>
          </w:p>
        </w:tc>
        <w:tc>
          <w:tcPr>
            <w:vAlign w:val="center"/>
          </w:tcPr>
          <w:p w:rsidR="00000000" w:rsidDel="00000000" w:rsidP="00000000" w:rsidRDefault="00000000" w:rsidRPr="00000000" w14:paraId="000000B4">
            <w:pPr>
              <w:rPr/>
            </w:pPr>
            <w:r w:rsidDel="00000000" w:rsidR="00000000" w:rsidRPr="00000000">
              <w:rPr>
                <w:rtl w:val="0"/>
              </w:rPr>
            </w:r>
          </w:p>
        </w:tc>
        <w:tc>
          <w:tcPr/>
          <w:p w:rsidR="00000000" w:rsidDel="00000000" w:rsidP="00000000" w:rsidRDefault="00000000" w:rsidRPr="00000000" w14:paraId="000000B5">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6">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B7">
            <w:pPr>
              <w:rPr/>
            </w:pPr>
            <w:r w:rsidDel="00000000" w:rsidR="00000000" w:rsidRPr="00000000">
              <w:rPr>
                <w:rtl w:val="0"/>
              </w:rPr>
            </w:r>
          </w:p>
        </w:tc>
        <w:tc>
          <w:tcPr>
            <w:vAlign w:val="center"/>
          </w:tcPr>
          <w:p w:rsidR="00000000" w:rsidDel="00000000" w:rsidP="00000000" w:rsidRDefault="00000000" w:rsidRPr="00000000" w14:paraId="000000B8">
            <w:pPr>
              <w:rPr/>
            </w:pPr>
            <w:r w:rsidDel="00000000" w:rsidR="00000000" w:rsidRPr="00000000">
              <w:rPr>
                <w:rtl w:val="0"/>
              </w:rPr>
            </w:r>
          </w:p>
        </w:tc>
        <w:tc>
          <w:tcPr>
            <w:vAlign w:val="center"/>
          </w:tcPr>
          <w:p w:rsidR="00000000" w:rsidDel="00000000" w:rsidP="00000000" w:rsidRDefault="00000000" w:rsidRPr="00000000" w14:paraId="000000B9">
            <w:pPr>
              <w:rPr/>
            </w:pPr>
            <w:r w:rsidDel="00000000" w:rsidR="00000000" w:rsidRPr="00000000">
              <w:rPr>
                <w:rtl w:val="0"/>
              </w:rPr>
            </w:r>
          </w:p>
        </w:tc>
        <w:tc>
          <w:tcPr/>
          <w:p w:rsidR="00000000" w:rsidDel="00000000" w:rsidP="00000000" w:rsidRDefault="00000000" w:rsidRPr="00000000" w14:paraId="000000B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B">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BC">
            <w:pPr>
              <w:rPr/>
            </w:pPr>
            <w:r w:rsidDel="00000000" w:rsidR="00000000" w:rsidRPr="00000000">
              <w:rPr>
                <w:rtl w:val="0"/>
              </w:rPr>
            </w:r>
          </w:p>
        </w:tc>
        <w:tc>
          <w:tcPr>
            <w:vAlign w:val="center"/>
          </w:tcPr>
          <w:p w:rsidR="00000000" w:rsidDel="00000000" w:rsidP="00000000" w:rsidRDefault="00000000" w:rsidRPr="00000000" w14:paraId="000000BD">
            <w:pPr>
              <w:rPr/>
            </w:pPr>
            <w:r w:rsidDel="00000000" w:rsidR="00000000" w:rsidRPr="00000000">
              <w:rPr>
                <w:rtl w:val="0"/>
              </w:rPr>
            </w:r>
          </w:p>
        </w:tc>
        <w:tc>
          <w:tcPr>
            <w:vAlign w:val="center"/>
          </w:tcPr>
          <w:p w:rsidR="00000000" w:rsidDel="00000000" w:rsidP="00000000" w:rsidRDefault="00000000" w:rsidRPr="00000000" w14:paraId="000000BE">
            <w:pPr>
              <w:rPr/>
            </w:pPr>
            <w:r w:rsidDel="00000000" w:rsidR="00000000" w:rsidRPr="00000000">
              <w:rPr>
                <w:rtl w:val="0"/>
              </w:rPr>
            </w:r>
          </w:p>
        </w:tc>
        <w:tc>
          <w:tcPr/>
          <w:p w:rsidR="00000000" w:rsidDel="00000000" w:rsidP="00000000" w:rsidRDefault="00000000" w:rsidRPr="00000000" w14:paraId="000000B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0">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1">
            <w:pPr>
              <w:rPr/>
            </w:pPr>
            <w:r w:rsidDel="00000000" w:rsidR="00000000" w:rsidRPr="00000000">
              <w:rPr>
                <w:rtl w:val="0"/>
              </w:rPr>
            </w:r>
          </w:p>
        </w:tc>
        <w:tc>
          <w:tcPr>
            <w:vAlign w:val="center"/>
          </w:tcPr>
          <w:p w:rsidR="00000000" w:rsidDel="00000000" w:rsidP="00000000" w:rsidRDefault="00000000" w:rsidRPr="00000000" w14:paraId="000000C2">
            <w:pPr>
              <w:rPr/>
            </w:pPr>
            <w:r w:rsidDel="00000000" w:rsidR="00000000" w:rsidRPr="00000000">
              <w:rPr>
                <w:rtl w:val="0"/>
              </w:rPr>
            </w:r>
          </w:p>
        </w:tc>
        <w:tc>
          <w:tcPr>
            <w:vAlign w:val="center"/>
          </w:tcPr>
          <w:p w:rsidR="00000000" w:rsidDel="00000000" w:rsidP="00000000" w:rsidRDefault="00000000" w:rsidRPr="00000000" w14:paraId="000000C3">
            <w:pPr>
              <w:rPr/>
            </w:pPr>
            <w:r w:rsidDel="00000000" w:rsidR="00000000" w:rsidRPr="00000000">
              <w:rPr>
                <w:rtl w:val="0"/>
              </w:rPr>
            </w:r>
          </w:p>
        </w:tc>
        <w:tc>
          <w:tcPr/>
          <w:p w:rsidR="00000000" w:rsidDel="00000000" w:rsidP="00000000" w:rsidRDefault="00000000" w:rsidRPr="00000000" w14:paraId="000000C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5">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6">
            <w:pPr>
              <w:rPr/>
            </w:pPr>
            <w:r w:rsidDel="00000000" w:rsidR="00000000" w:rsidRPr="00000000">
              <w:rPr>
                <w:rtl w:val="0"/>
              </w:rPr>
            </w:r>
          </w:p>
        </w:tc>
        <w:tc>
          <w:tcPr>
            <w:vAlign w:val="center"/>
          </w:tcPr>
          <w:p w:rsidR="00000000" w:rsidDel="00000000" w:rsidP="00000000" w:rsidRDefault="00000000" w:rsidRPr="00000000" w14:paraId="000000C7">
            <w:pPr>
              <w:rPr/>
            </w:pPr>
            <w:r w:rsidDel="00000000" w:rsidR="00000000" w:rsidRPr="00000000">
              <w:rPr>
                <w:rtl w:val="0"/>
              </w:rPr>
            </w:r>
          </w:p>
        </w:tc>
        <w:tc>
          <w:tcPr>
            <w:vAlign w:val="center"/>
          </w:tcPr>
          <w:p w:rsidR="00000000" w:rsidDel="00000000" w:rsidP="00000000" w:rsidRDefault="00000000" w:rsidRPr="00000000" w14:paraId="000000C8">
            <w:pPr>
              <w:rPr/>
            </w:pPr>
            <w:r w:rsidDel="00000000" w:rsidR="00000000" w:rsidRPr="00000000">
              <w:rPr>
                <w:rtl w:val="0"/>
              </w:rPr>
            </w:r>
          </w:p>
        </w:tc>
        <w:tc>
          <w:tcPr/>
          <w:p w:rsidR="00000000" w:rsidDel="00000000" w:rsidP="00000000" w:rsidRDefault="00000000" w:rsidRPr="00000000" w14:paraId="000000C9">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0CA">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0CE">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0CF">
            <w:pPr>
              <w:jc w:val="left"/>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0D3">
            <w:pPr>
              <w:rPr/>
            </w:pPr>
            <w:r w:rsidDel="00000000" w:rsidR="00000000" w:rsidRPr="00000000">
              <w:rPr>
                <w:rtl w:val="0"/>
              </w:rPr>
            </w:r>
          </w:p>
        </w:tc>
      </w:tr>
    </w:tbl>
    <w:p w:rsidR="00000000" w:rsidDel="00000000" w:rsidP="00000000" w:rsidRDefault="00000000" w:rsidRPr="00000000" w14:paraId="000000D4">
      <w:pPr>
        <w:jc w:val="both"/>
        <w:rPr/>
      </w:pPr>
      <w:r w:rsidDel="00000000" w:rsidR="00000000" w:rsidRPr="00000000">
        <w:rPr>
          <w:rtl w:val="0"/>
        </w:rPr>
      </w:r>
    </w:p>
    <w:p w:rsidR="00000000" w:rsidDel="00000000" w:rsidP="00000000" w:rsidRDefault="00000000" w:rsidRPr="00000000" w14:paraId="000000D5">
      <w:pPr>
        <w:jc w:val="both"/>
        <w:rPr>
          <w:b w:val="1"/>
          <w:color w:val="ff0000"/>
        </w:rPr>
      </w:pPr>
      <w:r w:rsidDel="00000000" w:rsidR="00000000" w:rsidRPr="00000000">
        <w:rPr>
          <w:rtl w:val="0"/>
        </w:rPr>
      </w:r>
    </w:p>
    <w:p w:rsidR="00000000" w:rsidDel="00000000" w:rsidP="00000000" w:rsidRDefault="00000000" w:rsidRPr="00000000" w14:paraId="000000D6">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0D7">
      <w:pPr>
        <w:numPr>
          <w:ilvl w:val="0"/>
          <w:numId w:val="2"/>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0D8">
      <w:pPr>
        <w:numPr>
          <w:ilvl w:val="0"/>
          <w:numId w:val="2"/>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0D9">
      <w:pPr>
        <w:numPr>
          <w:ilvl w:val="0"/>
          <w:numId w:val="2"/>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0DA">
      <w:pPr>
        <w:numPr>
          <w:ilvl w:val="0"/>
          <w:numId w:val="2"/>
        </w:numPr>
        <w:ind w:left="720" w:hanging="360"/>
        <w:rPr>
          <w:b w:val="1"/>
          <w:color w:val="ff0000"/>
        </w:rPr>
      </w:pPr>
      <w:r w:rsidDel="00000000" w:rsidR="00000000" w:rsidRPr="00000000">
        <w:rPr>
          <w:b w:val="1"/>
          <w:color w:val="ff0000"/>
          <w:rtl w:val="0"/>
        </w:rPr>
        <w:t xml:space="preserve">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0DB">
      <w:pPr>
        <w:numPr>
          <w:ilvl w:val="0"/>
          <w:numId w:val="2"/>
        </w:numPr>
        <w:ind w:left="720" w:hanging="360"/>
        <w:rPr>
          <w:b w:val="1"/>
          <w:color w:val="ff0000"/>
          <w:u w:val="none"/>
        </w:rPr>
      </w:pPr>
      <w:r w:rsidDel="00000000" w:rsidR="00000000" w:rsidRPr="00000000">
        <w:rPr>
          <w:b w:val="1"/>
          <w:color w:val="ff0000"/>
          <w:rtl w:val="0"/>
        </w:rPr>
        <w:t xml:space="preserve">Exchange rate of reimbursement invoices/ receipt other than US dollars should be converted using UN exchange rate at the time of contractor billing accompanied by a summary table for the incurred costs.</w:t>
      </w:r>
      <w:r w:rsidDel="00000000" w:rsidR="00000000" w:rsidRPr="00000000">
        <w:rPr>
          <w:rtl w:val="0"/>
        </w:rPr>
      </w:r>
    </w:p>
    <w:p w:rsidR="00000000" w:rsidDel="00000000" w:rsidP="00000000" w:rsidRDefault="00000000" w:rsidRPr="00000000" w14:paraId="000000DC">
      <w:pPr>
        <w:ind w:left="720" w:firstLine="0"/>
        <w:rPr>
          <w:b w:val="1"/>
          <w:color w:val="ff0000"/>
          <w:u w:val="none"/>
        </w:rPr>
      </w:pPr>
      <w:r w:rsidDel="00000000" w:rsidR="00000000" w:rsidRPr="00000000">
        <w:rPr>
          <w:rtl w:val="0"/>
        </w:rPr>
      </w:r>
    </w:p>
    <w:p w:rsidR="00000000" w:rsidDel="00000000" w:rsidP="00000000" w:rsidRDefault="00000000" w:rsidRPr="00000000" w14:paraId="000000DD">
      <w:pPr>
        <w:ind w:left="720" w:firstLine="0"/>
        <w:jc w:val="both"/>
        <w:rPr>
          <w:b w:val="1"/>
          <w:color w:val="ff0000"/>
        </w:rPr>
      </w:pPr>
      <w:r w:rsidDel="00000000" w:rsidR="00000000" w:rsidRPr="00000000">
        <w:rPr>
          <w:rtl w:val="0"/>
        </w:rPr>
      </w:r>
    </w:p>
    <w:p w:rsidR="00000000" w:rsidDel="00000000" w:rsidP="00000000" w:rsidRDefault="00000000" w:rsidRPr="00000000" w14:paraId="000000DE">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0DF">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E0">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E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2">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E3">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E4">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E5">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E6">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E7">
      <w:pPr>
        <w:numPr>
          <w:ilvl w:val="0"/>
          <w:numId w:val="3"/>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E8">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E9">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EA">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EB">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EC">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5"/>
      <w:bookmarkEnd w:id="5"/>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E">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F">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0">
      <w:pPr>
        <w:tabs>
          <w:tab w:val="left" w:leader="none" w:pos="720"/>
        </w:tabs>
        <w:rPr>
          <w:color w:val="000000"/>
        </w:rPr>
      </w:pPr>
      <w:r w:rsidDel="00000000" w:rsidR="00000000" w:rsidRPr="00000000">
        <w:rPr>
          <w:rtl w:val="0"/>
        </w:rPr>
      </w:r>
    </w:p>
    <w:p w:rsidR="00000000" w:rsidDel="00000000" w:rsidP="00000000" w:rsidRDefault="00000000" w:rsidRPr="00000000" w14:paraId="000000F1">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2">
      <w:pPr>
        <w:rPr>
          <w:color w:val="000000"/>
        </w:rPr>
      </w:pPr>
      <w:r w:rsidDel="00000000" w:rsidR="00000000" w:rsidRPr="00000000">
        <w:rPr>
          <w:rtl w:val="0"/>
        </w:rPr>
      </w:r>
    </w:p>
    <w:p w:rsidR="00000000" w:rsidDel="00000000" w:rsidP="00000000" w:rsidRDefault="00000000" w:rsidRPr="00000000" w14:paraId="000000F3">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4">
      <w:pPr>
        <w:rPr>
          <w:color w:val="000000"/>
        </w:rPr>
      </w:pPr>
      <w:r w:rsidDel="00000000" w:rsidR="00000000" w:rsidRPr="00000000">
        <w:rPr>
          <w:rtl w:val="0"/>
        </w:rPr>
      </w:r>
    </w:p>
    <w:p w:rsidR="00000000" w:rsidDel="00000000" w:rsidP="00000000" w:rsidRDefault="00000000" w:rsidRPr="00000000" w14:paraId="000000F5">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6">
      <w:pPr>
        <w:rPr>
          <w:color w:val="000000"/>
        </w:rPr>
      </w:pPr>
      <w:r w:rsidDel="00000000" w:rsidR="00000000" w:rsidRPr="00000000">
        <w:rPr>
          <w:rtl w:val="0"/>
        </w:rPr>
      </w:r>
    </w:p>
    <w:p w:rsidR="00000000" w:rsidDel="00000000" w:rsidP="00000000" w:rsidRDefault="00000000" w:rsidRPr="00000000" w14:paraId="000000F7">
      <w:pPr>
        <w:rPr>
          <w:highlight w:val="yellow"/>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D">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F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F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00">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F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4466</wp:posOffset>
                </wp:positionH>
                <wp:positionV relativeFrom="paragraph">
                  <wp:posOffset>-79358</wp:posOffset>
                </wp:positionV>
                <wp:extent cx="1477645" cy="215900"/>
                <wp:effectExtent b="0" l="0" r="0" t="0"/>
                <wp:wrapNone/>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0F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F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0F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C5Xjs2aKIx7jVlokxAC1JklPe+A==">CgMxLjAyDmgubjB3YmtrM2prZHQ1Mg5oLndqMzBjdnN6OTdiMTIOaC5yeWp3M3N2cWs4N2EyDmguMW1kdGgxNGk1aXV3Mg5oLmRqNTd6eGsyaGowbTIJaC4zMGowemxsOAByITFjMl8wQVZQWVFWaHRjWUs0cms5RXNIc0RlQ2VpRkRLYw==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