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A Study on the Proposed Harmonisation of Grid Codes and Minimum Operational Technical Standards for Interconnections under the ASEAN Power Grid</w:t>
      </w:r>
    </w:p>
    <w:p w:rsidR="00000000" w:rsidDel="00000000" w:rsidP="00000000" w:rsidRDefault="00000000" w:rsidRPr="00000000" w14:paraId="00000004">
      <w:pPr>
        <w:spacing w:after="200" w:line="276" w:lineRule="auto"/>
        <w:rPr>
          <w:b w:val="1"/>
          <w:sz w:val="24"/>
          <w:szCs w:val="24"/>
        </w:rPr>
      </w:pPr>
      <w:bookmarkStart w:colFirst="0" w:colLast="0" w:name="_heading=h.nhrcx5ikc9a6" w:id="2"/>
      <w:bookmarkEnd w:id="2"/>
      <w:r w:rsidDel="00000000" w:rsidR="00000000" w:rsidRPr="00000000">
        <w:rPr>
          <w:rtl w:val="0"/>
        </w:rPr>
      </w:r>
    </w:p>
    <w:p w:rsidR="00000000" w:rsidDel="00000000" w:rsidP="00000000" w:rsidRDefault="00000000" w:rsidRPr="00000000" w14:paraId="00000005">
      <w:pPr>
        <w:spacing w:after="200" w:line="276" w:lineRule="auto"/>
        <w:rPr>
          <w:b w:val="1"/>
          <w:sz w:val="24"/>
          <w:szCs w:val="24"/>
        </w:rPr>
      </w:pPr>
      <w:bookmarkStart w:colFirst="0" w:colLast="0" w:name="_heading=h.ryjw3svqk87a" w:id="3"/>
      <w:bookmarkEnd w:id="3"/>
      <w:r w:rsidDel="00000000" w:rsidR="00000000" w:rsidRPr="00000000">
        <w:rPr>
          <w:b w:val="1"/>
          <w:rtl w:val="0"/>
        </w:rPr>
        <w:t xml:space="preserve">eSourcing reference: RFP/2024/52445</w:t>
      </w: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4"/>
      <w:bookmarkEnd w:id="4"/>
      <w:r w:rsidDel="00000000" w:rsidR="00000000" w:rsidRPr="00000000">
        <w:rPr>
          <w:rtl w:val="0"/>
        </w:rPr>
      </w:r>
    </w:p>
    <w:p w:rsidR="00000000" w:rsidDel="00000000" w:rsidP="00000000" w:rsidRDefault="00000000" w:rsidRPr="00000000" w14:paraId="00000007">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3">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4">
      <w:pPr>
        <w:ind w:left="720" w:hanging="720"/>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RFP/2024/52445</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A">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E">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0">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6">
      <w:pPr>
        <w:spacing w:line="240" w:lineRule="auto"/>
        <w:jc w:val="both"/>
        <w:rPr/>
      </w:pPr>
      <w:r w:rsidDel="00000000" w:rsidR="00000000" w:rsidRPr="00000000">
        <w:rPr>
          <w:rtl w:val="0"/>
        </w:rPr>
      </w:r>
    </w:p>
    <w:p w:rsidR="00000000" w:rsidDel="00000000" w:rsidP="00000000" w:rsidRDefault="00000000" w:rsidRPr="00000000" w14:paraId="00000027">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8">
      <w:pPr>
        <w:spacing w:line="240" w:lineRule="auto"/>
        <w:jc w:val="both"/>
        <w:rPr/>
      </w:pPr>
      <w:r w:rsidDel="00000000" w:rsidR="00000000" w:rsidRPr="00000000">
        <w:rPr>
          <w:rtl w:val="0"/>
        </w:rPr>
      </w:r>
    </w:p>
    <w:p w:rsidR="00000000" w:rsidDel="00000000" w:rsidP="00000000" w:rsidRDefault="00000000" w:rsidRPr="00000000" w14:paraId="00000029">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D">
      <w:pPr>
        <w:spacing w:line="240" w:lineRule="auto"/>
        <w:jc w:val="both"/>
        <w:rPr/>
      </w:pPr>
      <w:r w:rsidDel="00000000" w:rsidR="00000000" w:rsidRPr="00000000">
        <w:rPr>
          <w:rtl w:val="0"/>
        </w:rPr>
      </w:r>
    </w:p>
    <w:p w:rsidR="00000000" w:rsidDel="00000000" w:rsidP="00000000" w:rsidRDefault="00000000" w:rsidRPr="00000000" w14:paraId="0000002E">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F">
      <w:pPr>
        <w:spacing w:line="240" w:lineRule="auto"/>
        <w:jc w:val="both"/>
        <w:rPr/>
      </w:pPr>
      <w:r w:rsidDel="00000000" w:rsidR="00000000" w:rsidRPr="00000000">
        <w:rPr>
          <w:rtl w:val="0"/>
        </w:rPr>
      </w:r>
    </w:p>
    <w:p w:rsidR="00000000" w:rsidDel="00000000" w:rsidP="00000000" w:rsidRDefault="00000000" w:rsidRPr="00000000" w14:paraId="00000030">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5">
      <w:pPr>
        <w:spacing w:line="240" w:lineRule="auto"/>
        <w:jc w:val="both"/>
        <w:rPr/>
      </w:pPr>
      <w:r w:rsidDel="00000000" w:rsidR="00000000" w:rsidRPr="00000000">
        <w:rPr>
          <w:rtl w:val="0"/>
        </w:rPr>
      </w:r>
    </w:p>
    <w:p w:rsidR="00000000" w:rsidDel="00000000" w:rsidP="00000000" w:rsidRDefault="00000000" w:rsidRPr="00000000" w14:paraId="00000036">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7">
      <w:pPr>
        <w:spacing w:line="240" w:lineRule="auto"/>
        <w:jc w:val="both"/>
        <w:rPr/>
      </w:pPr>
      <w:r w:rsidDel="00000000" w:rsidR="00000000" w:rsidRPr="00000000">
        <w:rPr>
          <w:rtl w:val="0"/>
        </w:rPr>
      </w:r>
    </w:p>
    <w:p w:rsidR="00000000" w:rsidDel="00000000" w:rsidP="00000000" w:rsidRDefault="00000000" w:rsidRPr="00000000" w14:paraId="00000038">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9">
      <w:pPr>
        <w:rPr>
          <w:rFonts w:ascii="Cambria" w:cs="Cambria" w:eastAsia="Cambria" w:hAnsi="Cambria"/>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B">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rtl w:val="0"/>
        </w:rPr>
        <w:t xml:space="preserve">RFP/2024/52445</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2">
      <w:pPr>
        <w:jc w:val="both"/>
        <w:rPr>
          <w:b w:val="1"/>
          <w:i w:val="0"/>
        </w:rPr>
      </w:pPr>
      <w:r w:rsidDel="00000000" w:rsidR="00000000" w:rsidRPr="00000000">
        <w:rPr>
          <w:rtl w:val="0"/>
        </w:rPr>
      </w:r>
    </w:p>
    <w:p w:rsidR="00000000" w:rsidDel="00000000" w:rsidP="00000000" w:rsidRDefault="00000000" w:rsidRPr="00000000" w14:paraId="00000043">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4">
      <w:pPr>
        <w:jc w:val="both"/>
        <w:rPr>
          <w:b w:val="1"/>
          <w:i w:val="0"/>
        </w:rPr>
      </w:pPr>
      <w:r w:rsidDel="00000000" w:rsidR="00000000" w:rsidRPr="00000000">
        <w:rPr>
          <w:rtl w:val="0"/>
        </w:rPr>
      </w:r>
    </w:p>
    <w:p w:rsidR="00000000" w:rsidDel="00000000" w:rsidP="00000000" w:rsidRDefault="00000000" w:rsidRPr="00000000" w14:paraId="00000045">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6">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7">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8">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9">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A">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B">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C">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D">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E">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F">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3">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5">
      <w:pPr>
        <w:rPr>
          <w:color w:val="000000"/>
          <w:sz w:val="6"/>
          <w:szCs w:val="6"/>
        </w:rPr>
      </w:pPr>
      <w:r w:rsidDel="00000000" w:rsidR="00000000" w:rsidRPr="00000000">
        <w:rPr>
          <w:rtl w:val="0"/>
        </w:rPr>
      </w:r>
    </w:p>
    <w:p w:rsidR="00000000" w:rsidDel="00000000" w:rsidP="00000000" w:rsidRDefault="00000000" w:rsidRPr="00000000" w14:paraId="0000005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7">
      <w:pPr>
        <w:rPr>
          <w:color w:val="000000"/>
          <w:sz w:val="6"/>
          <w:szCs w:val="6"/>
        </w:rPr>
      </w:pPr>
      <w:r w:rsidDel="00000000" w:rsidR="00000000" w:rsidRPr="00000000">
        <w:rPr>
          <w:rtl w:val="0"/>
        </w:rPr>
      </w:r>
    </w:p>
    <w:p w:rsidR="00000000" w:rsidDel="00000000" w:rsidP="00000000" w:rsidRDefault="00000000" w:rsidRPr="00000000" w14:paraId="0000005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9">
      <w:pPr>
        <w:rPr>
          <w:color w:val="000000"/>
        </w:rPr>
      </w:pPr>
      <w:r w:rsidDel="00000000" w:rsidR="00000000" w:rsidRPr="00000000">
        <w:rPr>
          <w:rtl w:val="0"/>
        </w:rPr>
      </w:r>
    </w:p>
    <w:p w:rsidR="00000000" w:rsidDel="00000000" w:rsidP="00000000" w:rsidRDefault="00000000" w:rsidRPr="00000000" w14:paraId="0000005A">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RFP/2024/52445</w:t>
      </w: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6">
            <w:pPr>
              <w:rPr>
                <w:b w:val="1"/>
              </w:rPr>
            </w:pPr>
            <w:r w:rsidDel="00000000" w:rsidR="00000000" w:rsidRPr="00000000">
              <w:rPr>
                <w:b w:val="1"/>
                <w:rtl w:val="0"/>
              </w:rPr>
              <w:t xml:space="preserve">Section 1: Offeror’s qualification, capacity, and expertise </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9">
            <w:pPr>
              <w:spacing w:after="200" w:before="200" w:lineRule="auto"/>
              <w:rPr/>
            </w:pPr>
            <w:r w:rsidDel="00000000" w:rsidR="00000000" w:rsidRPr="00000000">
              <w:rPr>
                <w:rtl w:val="0"/>
              </w:rPr>
              <w:t xml:space="preserve">Brief description of the organization, including the year and country of incorporation, and types of activities undertaken, including relevance of specialized knowledge and experience on similar engagements done in the past. </w:t>
            </w:r>
          </w:p>
          <w:p w:rsidR="00000000" w:rsidDel="00000000" w:rsidP="00000000" w:rsidRDefault="00000000" w:rsidRPr="00000000" w14:paraId="0000006A">
            <w:pPr>
              <w:spacing w:after="200" w:before="200" w:lineRule="auto"/>
              <w:rPr/>
            </w:pPr>
            <w:r w:rsidDel="00000000" w:rsidR="00000000" w:rsidRPr="00000000">
              <w:rPr>
                <w:rtl w:val="0"/>
              </w:rPr>
              <w:t xml:space="preserve">Bidders partnering up with a local entity to provide for the strategic consultation, translations; as well as the communications expertise is considered a valuable asset.</w:t>
            </w:r>
          </w:p>
          <w:p w:rsidR="00000000" w:rsidDel="00000000" w:rsidP="00000000" w:rsidRDefault="00000000" w:rsidRPr="00000000" w14:paraId="0000006B">
            <w:pPr>
              <w:spacing w:after="200" w:before="200" w:lineRule="auto"/>
              <w:rPr/>
            </w:pPr>
            <w:r w:rsidDel="00000000" w:rsidR="00000000" w:rsidRPr="00000000">
              <w:rPr>
                <w:rtl w:val="0"/>
              </w:rPr>
              <w:t xml:space="preserve">(Max 4 pages written text plus 1 Matrix )</w:t>
            </w:r>
          </w:p>
          <w:p w:rsidR="00000000" w:rsidDel="00000000" w:rsidP="00000000" w:rsidRDefault="00000000" w:rsidRPr="00000000" w14:paraId="0000006C">
            <w:pPr>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D">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E">
            <w:pPr>
              <w:rPr>
                <w:i w:val="1"/>
                <w:color w:val="0000ff"/>
              </w:rPr>
            </w:pPr>
            <w:r w:rsidDel="00000000" w:rsidR="00000000" w:rsidRPr="00000000">
              <w:rPr>
                <w:rtl w:val="0"/>
              </w:rPr>
            </w:r>
          </w:p>
          <w:p w:rsidR="00000000" w:rsidDel="00000000" w:rsidP="00000000" w:rsidRDefault="00000000" w:rsidRPr="00000000" w14:paraId="0000006F">
            <w:pPr>
              <w:numPr>
                <w:ilvl w:val="0"/>
                <w:numId w:val="1"/>
              </w:numPr>
              <w:spacing w:after="0" w:lineRule="auto"/>
              <w:ind w:left="720" w:hanging="360"/>
              <w:rPr>
                <w:i w:val="1"/>
                <w:color w:val="0000ff"/>
                <w:u w:val="none"/>
              </w:rPr>
            </w:pPr>
            <w:r w:rsidDel="00000000" w:rsidR="00000000" w:rsidRPr="00000000">
              <w:rPr>
                <w:i w:val="1"/>
                <w:color w:val="0000ff"/>
                <w:rtl w:val="0"/>
              </w:rPr>
              <w:t xml:space="preserve">Experience in projects of comparable size, type, complexity, and technical specialty (5)</w:t>
            </w:r>
            <w:r w:rsidDel="00000000" w:rsidR="00000000" w:rsidRPr="00000000">
              <w:rPr>
                <w:rtl w:val="0"/>
              </w:rPr>
            </w:r>
          </w:p>
          <w:p w:rsidR="00000000" w:rsidDel="00000000" w:rsidP="00000000" w:rsidRDefault="00000000" w:rsidRPr="00000000" w14:paraId="00000070">
            <w:pPr>
              <w:numPr>
                <w:ilvl w:val="0"/>
                <w:numId w:val="1"/>
              </w:numPr>
              <w:spacing w:after="0" w:before="0" w:lineRule="auto"/>
              <w:ind w:left="720" w:hanging="360"/>
              <w:rPr>
                <w:i w:val="1"/>
                <w:color w:val="0000ff"/>
              </w:rPr>
            </w:pPr>
            <w:r w:rsidDel="00000000" w:rsidR="00000000" w:rsidRPr="00000000">
              <w:rPr>
                <w:i w:val="1"/>
                <w:color w:val="0000ff"/>
                <w:rtl w:val="0"/>
              </w:rPr>
              <w:t xml:space="preserve">Demonstrates an understanding of the local context with regards key stakeholders, legal, regulatory and policy landscape (5)</w:t>
            </w:r>
          </w:p>
          <w:p w:rsidR="00000000" w:rsidDel="00000000" w:rsidP="00000000" w:rsidRDefault="00000000" w:rsidRPr="00000000" w14:paraId="00000071">
            <w:pPr>
              <w:numPr>
                <w:ilvl w:val="0"/>
                <w:numId w:val="1"/>
              </w:numPr>
              <w:spacing w:after="200" w:before="0" w:lineRule="auto"/>
              <w:ind w:left="720" w:hanging="360"/>
              <w:rPr>
                <w:i w:val="1"/>
                <w:color w:val="0000ff"/>
              </w:rPr>
            </w:pPr>
            <w:r w:rsidDel="00000000" w:rsidR="00000000" w:rsidRPr="00000000">
              <w:rPr>
                <w:i w:val="1"/>
                <w:color w:val="0000ff"/>
                <w:rtl w:val="0"/>
              </w:rPr>
              <w:t xml:space="preserve">Demonstrates an ability to engage with ASEAN stakeholders for information gathering and dissemination (5)</w:t>
            </w:r>
          </w:p>
          <w:p w:rsidR="00000000" w:rsidDel="00000000" w:rsidP="00000000" w:rsidRDefault="00000000" w:rsidRPr="00000000" w14:paraId="00000072">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widowControl w:val="0"/>
              <w:spacing w:after="0" w:line="276" w:lineRule="auto"/>
              <w:rPr/>
            </w:pPr>
            <w:r w:rsidDel="00000000" w:rsidR="00000000" w:rsidRPr="00000000">
              <w:rPr>
                <w:rtl w:val="0"/>
              </w:rPr>
              <w:t xml:space="preserve">General organisational capability which is likely to affect implementation: </w:t>
            </w:r>
          </w:p>
          <w:p w:rsidR="00000000" w:rsidDel="00000000" w:rsidP="00000000" w:rsidRDefault="00000000" w:rsidRPr="00000000" w14:paraId="00000079">
            <w:pPr>
              <w:widowControl w:val="0"/>
              <w:spacing w:after="200" w:line="276" w:lineRule="auto"/>
              <w:rPr/>
            </w:pPr>
            <w:r w:rsidDel="00000000" w:rsidR="00000000" w:rsidRPr="00000000">
              <w:rPr>
                <w:rtl w:val="0"/>
              </w:rPr>
              <w:t xml:space="preserve">Management structure and management controls for this project, and the extent to which any part would be subcontracted. In case of JV, there is a clear designation of the roles and responsibilities between JV members.</w:t>
            </w:r>
          </w:p>
          <w:p w:rsidR="00000000" w:rsidDel="00000000" w:rsidP="00000000" w:rsidRDefault="00000000" w:rsidRPr="00000000" w14:paraId="0000007A">
            <w:pPr>
              <w:spacing w:line="276" w:lineRule="auto"/>
              <w:jc w:val="both"/>
              <w:rPr/>
            </w:pPr>
            <w:r w:rsidDel="00000000" w:rsidR="00000000" w:rsidRPr="00000000">
              <w:rPr>
                <w:rtl w:val="0"/>
              </w:rPr>
              <w:t xml:space="preserve">(Max 4 pages written text)</w:t>
            </w:r>
          </w:p>
          <w:p w:rsidR="00000000" w:rsidDel="00000000" w:rsidP="00000000" w:rsidRDefault="00000000" w:rsidRPr="00000000" w14:paraId="0000007B">
            <w:pPr>
              <w:rPr>
                <w:i w:val="1"/>
                <w:color w:val="0000ff"/>
              </w:rPr>
            </w:pPr>
            <w:r w:rsidDel="00000000" w:rsidR="00000000" w:rsidRPr="00000000">
              <w:rPr>
                <w:rtl w:val="0"/>
              </w:rPr>
            </w:r>
          </w:p>
          <w:p w:rsidR="00000000" w:rsidDel="00000000" w:rsidP="00000000" w:rsidRDefault="00000000" w:rsidRPr="00000000" w14:paraId="0000007C">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D">
            <w:pPr>
              <w:rPr>
                <w:i w:val="1"/>
                <w:color w:val="0000ff"/>
              </w:rPr>
            </w:pPr>
            <w:r w:rsidDel="00000000" w:rsidR="00000000" w:rsidRPr="00000000">
              <w:rPr>
                <w:rtl w:val="0"/>
              </w:rPr>
            </w:r>
          </w:p>
          <w:p w:rsidR="00000000" w:rsidDel="00000000" w:rsidP="00000000" w:rsidRDefault="00000000" w:rsidRPr="00000000" w14:paraId="0000007E">
            <w:pPr>
              <w:ind w:left="0" w:firstLine="0"/>
              <w:rPr>
                <w:i w:val="1"/>
                <w:color w:val="0000ff"/>
              </w:rPr>
            </w:pPr>
            <w:r w:rsidDel="00000000" w:rsidR="00000000" w:rsidRPr="00000000">
              <w:rPr>
                <w:i w:val="1"/>
                <w:color w:val="0000ff"/>
                <w:rtl w:val="0"/>
              </w:rPr>
              <w:t xml:space="preserve">Management structure, management controls, and the extent to which any part would be subcontracted. In case of JV, there is a clear designation of the roles and responsibilities between JV members. (5)</w:t>
            </w:r>
          </w:p>
          <w:p w:rsidR="00000000" w:rsidDel="00000000" w:rsidP="00000000" w:rsidRDefault="00000000" w:rsidRPr="00000000" w14:paraId="0000007F">
            <w:pPr>
              <w:rPr>
                <w:i w:val="1"/>
                <w:color w:val="0000ff"/>
              </w:rPr>
            </w:pPr>
            <w:r w:rsidDel="00000000" w:rsidR="00000000" w:rsidRPr="00000000">
              <w:rPr>
                <w:rtl w:val="0"/>
              </w:rPr>
            </w:r>
          </w:p>
          <w:p w:rsidR="00000000" w:rsidDel="00000000" w:rsidP="00000000" w:rsidRDefault="00000000" w:rsidRPr="00000000" w14:paraId="00000080">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highlight w:val="magenta"/>
              </w:rPr>
            </w:pPr>
            <w:r w:rsidDel="00000000" w:rsidR="00000000" w:rsidRPr="00000000">
              <w:rPr>
                <w:rtl w:val="0"/>
              </w:rPr>
            </w:r>
          </w:p>
        </w:tc>
      </w:tr>
    </w:tbl>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7">
            <w:pPr>
              <w:rPr>
                <w:b w:val="1"/>
              </w:rPr>
            </w:pPr>
            <w:r w:rsidDel="00000000" w:rsidR="00000000" w:rsidRPr="00000000">
              <w:rPr>
                <w:b w:val="1"/>
                <w:rtl w:val="0"/>
              </w:rPr>
              <w:t xml:space="preserve">Section 2: Proposed Methodology, Approach and Implementation Plan </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9">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widowControl w:val="0"/>
              <w:spacing w:after="200" w:line="276" w:lineRule="auto"/>
              <w:rPr/>
            </w:pPr>
            <w:r w:rsidDel="00000000" w:rsidR="00000000" w:rsidRPr="00000000">
              <w:rPr>
                <w:rtl w:val="0"/>
              </w:rPr>
              <w:t xml:space="preserve">Description of the Offeror’s approach including risk(s) and mitigation measure(s), and methodology for meeting or exceeding the requirements of the Terms of Reference</w:t>
            </w:r>
          </w:p>
          <w:p w:rsidR="00000000" w:rsidDel="00000000" w:rsidP="00000000" w:rsidRDefault="00000000" w:rsidRPr="00000000" w14:paraId="0000008B">
            <w:pPr>
              <w:rPr>
                <w:i w:val="1"/>
                <w:color w:val="0000ff"/>
              </w:rPr>
            </w:pPr>
            <w:r w:rsidDel="00000000" w:rsidR="00000000" w:rsidRPr="00000000">
              <w:rPr>
                <w:rtl w:val="0"/>
              </w:rPr>
            </w:r>
          </w:p>
          <w:p w:rsidR="00000000" w:rsidDel="00000000" w:rsidP="00000000" w:rsidRDefault="00000000" w:rsidRPr="00000000" w14:paraId="0000008C">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D">
            <w:pPr>
              <w:rPr>
                <w:i w:val="1"/>
                <w:color w:val="0000ff"/>
              </w:rPr>
            </w:pPr>
            <w:r w:rsidDel="00000000" w:rsidR="00000000" w:rsidRPr="00000000">
              <w:rPr>
                <w:rtl w:val="0"/>
              </w:rPr>
            </w:r>
          </w:p>
          <w:p w:rsidR="00000000" w:rsidDel="00000000" w:rsidP="00000000" w:rsidRDefault="00000000" w:rsidRPr="00000000" w14:paraId="0000008E">
            <w:pPr>
              <w:widowControl w:val="0"/>
              <w:numPr>
                <w:ilvl w:val="0"/>
                <w:numId w:val="3"/>
              </w:numPr>
              <w:spacing w:after="200" w:line="276" w:lineRule="auto"/>
              <w:ind w:left="720" w:hanging="360"/>
              <w:rPr>
                <w:i w:val="1"/>
                <w:color w:val="0000ff"/>
              </w:rPr>
            </w:pPr>
            <w:r w:rsidDel="00000000" w:rsidR="00000000" w:rsidRPr="00000000">
              <w:rPr>
                <w:i w:val="1"/>
                <w:color w:val="0000ff"/>
                <w:rtl w:val="0"/>
              </w:rPr>
              <w:t xml:space="preserve">Description of the offeror’s approach to the identification of primary and secondary data sources and its collection methods based on the proposed scenarios. (7 points)</w:t>
            </w:r>
          </w:p>
          <w:p w:rsidR="00000000" w:rsidDel="00000000" w:rsidP="00000000" w:rsidRDefault="00000000" w:rsidRPr="00000000" w14:paraId="0000008F">
            <w:pPr>
              <w:widowControl w:val="0"/>
              <w:numPr>
                <w:ilvl w:val="0"/>
                <w:numId w:val="3"/>
              </w:numPr>
              <w:spacing w:after="200" w:line="276" w:lineRule="auto"/>
              <w:ind w:left="720" w:hanging="360"/>
              <w:rPr>
                <w:i w:val="1"/>
                <w:color w:val="0000ff"/>
              </w:rPr>
            </w:pPr>
            <w:r w:rsidDel="00000000" w:rsidR="00000000" w:rsidRPr="00000000">
              <w:rPr>
                <w:i w:val="1"/>
                <w:color w:val="0000ff"/>
                <w:rtl w:val="0"/>
              </w:rPr>
              <w:t xml:space="preserve">Description of the offeror’s approach to developing the analytical methods and deep-dive plans for the report. (7 points)</w:t>
            </w:r>
          </w:p>
          <w:p w:rsidR="00000000" w:rsidDel="00000000" w:rsidP="00000000" w:rsidRDefault="00000000" w:rsidRPr="00000000" w14:paraId="00000090">
            <w:pPr>
              <w:widowControl w:val="0"/>
              <w:numPr>
                <w:ilvl w:val="0"/>
                <w:numId w:val="3"/>
              </w:numPr>
              <w:spacing w:after="200" w:line="276" w:lineRule="auto"/>
              <w:ind w:left="720" w:hanging="360"/>
              <w:rPr>
                <w:i w:val="1"/>
                <w:color w:val="0000ff"/>
              </w:rPr>
            </w:pPr>
            <w:r w:rsidDel="00000000" w:rsidR="00000000" w:rsidRPr="00000000">
              <w:rPr>
                <w:i w:val="1"/>
                <w:color w:val="0000ff"/>
                <w:rtl w:val="0"/>
              </w:rPr>
              <w:t xml:space="preserve">Description of the offeror’s approach to obtaining the buy-in from the ASEAN member states on the direction and approaches to developing the report(s). (5 points)</w:t>
            </w:r>
          </w:p>
          <w:p w:rsidR="00000000" w:rsidDel="00000000" w:rsidP="00000000" w:rsidRDefault="00000000" w:rsidRPr="00000000" w14:paraId="00000091">
            <w:pPr>
              <w:widowControl w:val="0"/>
              <w:numPr>
                <w:ilvl w:val="0"/>
                <w:numId w:val="3"/>
              </w:numPr>
              <w:spacing w:after="200" w:line="276" w:lineRule="auto"/>
              <w:ind w:left="720" w:hanging="360"/>
              <w:rPr>
                <w:i w:val="1"/>
                <w:color w:val="0000ff"/>
              </w:rPr>
            </w:pPr>
            <w:r w:rsidDel="00000000" w:rsidR="00000000" w:rsidRPr="00000000">
              <w:rPr>
                <w:i w:val="1"/>
                <w:color w:val="0000ff"/>
                <w:rtl w:val="0"/>
              </w:rPr>
              <w:t xml:space="preserve">Description of the offeror’s approach to developing communications materials based on the project deliverables. (3 points)</w:t>
            </w:r>
          </w:p>
          <w:p w:rsidR="00000000" w:rsidDel="00000000" w:rsidP="00000000" w:rsidRDefault="00000000" w:rsidRPr="00000000" w14:paraId="00000092">
            <w:pPr>
              <w:widowControl w:val="0"/>
              <w:numPr>
                <w:ilvl w:val="0"/>
                <w:numId w:val="3"/>
              </w:numPr>
              <w:spacing w:after="200" w:line="276" w:lineRule="auto"/>
              <w:ind w:left="720" w:hanging="360"/>
              <w:rPr>
                <w:i w:val="1"/>
                <w:color w:val="0000ff"/>
              </w:rPr>
            </w:pPr>
            <w:r w:rsidDel="00000000" w:rsidR="00000000" w:rsidRPr="00000000">
              <w:rPr>
                <w:i w:val="1"/>
                <w:color w:val="0000ff"/>
                <w:rtl w:val="0"/>
              </w:rPr>
              <w:t xml:space="preserve"> Description of the offeror’s approach to linking with the broader APG works, including the other AIMS III Phase 3 studies being carried out in parallel. (3 points)</w:t>
            </w:r>
            <w:r w:rsidDel="00000000" w:rsidR="00000000" w:rsidRPr="00000000">
              <w:rPr>
                <w:rtl w:val="0"/>
              </w:rPr>
            </w:r>
          </w:p>
          <w:p w:rsidR="00000000" w:rsidDel="00000000" w:rsidP="00000000" w:rsidRDefault="00000000" w:rsidRPr="00000000" w14:paraId="00000093">
            <w:pPr>
              <w:ind w:left="720" w:firstLine="0"/>
              <w:rPr>
                <w:i w:val="1"/>
                <w:color w:val="0000ff"/>
              </w:rPr>
            </w:pPr>
            <w:r w:rsidDel="00000000" w:rsidR="00000000" w:rsidRPr="00000000">
              <w:rPr>
                <w:rtl w:val="0"/>
              </w:rPr>
            </w:r>
          </w:p>
          <w:p w:rsidR="00000000" w:rsidDel="00000000" w:rsidP="00000000" w:rsidRDefault="00000000" w:rsidRPr="00000000" w14:paraId="00000094">
            <w:pPr>
              <w:rPr>
                <w:i w:val="1"/>
                <w:color w:val="0000ff"/>
              </w:rPr>
            </w:pPr>
            <w:r w:rsidDel="00000000" w:rsidR="00000000" w:rsidRPr="00000000">
              <w:rPr>
                <w:i w:val="1"/>
                <w:color w:val="0000ff"/>
                <w:rtl w:val="0"/>
              </w:rPr>
              <w:t xml:space="preserve">Total Point 25</w:t>
            </w:r>
          </w:p>
          <w:p w:rsidR="00000000" w:rsidDel="00000000" w:rsidP="00000000" w:rsidRDefault="00000000" w:rsidRPr="00000000" w14:paraId="00000095">
            <w:pPr>
              <w:rPr>
                <w:i w:val="1"/>
                <w:color w:val="0000ff"/>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A">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spacing w:line="276" w:lineRule="auto"/>
              <w:rPr/>
            </w:pPr>
            <w:r w:rsidDel="00000000" w:rsidR="00000000" w:rsidRPr="00000000">
              <w:rPr>
                <w:rtl w:val="0"/>
              </w:rPr>
              <w:t xml:space="preserve">Quality Assurance Plan</w:t>
            </w:r>
          </w:p>
          <w:p w:rsidR="00000000" w:rsidDel="00000000" w:rsidP="00000000" w:rsidRDefault="00000000" w:rsidRPr="00000000" w14:paraId="0000009C">
            <w:pPr>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9D">
            <w:pPr>
              <w:spacing w:line="276" w:lineRule="auto"/>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E">
            <w:pPr>
              <w:widowControl w:val="0"/>
              <w:spacing w:after="200" w:line="276" w:lineRule="auto"/>
              <w:rPr>
                <w:rFonts w:ascii="Open Sans" w:cs="Open Sans" w:eastAsia="Open Sans" w:hAnsi="Open Sans"/>
                <w:sz w:val="18"/>
                <w:szCs w:val="18"/>
              </w:rPr>
            </w:pPr>
            <w:r w:rsidDel="00000000" w:rsidR="00000000" w:rsidRPr="00000000">
              <w:rPr>
                <w:i w:val="1"/>
                <w:color w:val="0000ff"/>
                <w:rtl w:val="0"/>
              </w:rPr>
              <w:t xml:space="preserve">A plan outlining how the bidder intends to ensure oversight and quality assurance throughout the assignment, including clear process flow between the experts and JV members (if relevant). Quality Assurance plan should include discussion on risk-assessment and its mitigation plan. (7) </w:t>
            </w:r>
            <w:r w:rsidDel="00000000" w:rsidR="00000000" w:rsidRPr="00000000">
              <w:rPr>
                <w:rtl w:val="0"/>
              </w:rPr>
            </w:r>
          </w:p>
          <w:p w:rsidR="00000000" w:rsidDel="00000000" w:rsidP="00000000" w:rsidRDefault="00000000" w:rsidRPr="00000000" w14:paraId="0000009F">
            <w:pPr>
              <w:rPr>
                <w:i w:val="1"/>
                <w:color w:val="ff0000"/>
              </w:rPr>
            </w:pPr>
            <w:r w:rsidDel="00000000" w:rsidR="00000000" w:rsidRPr="00000000">
              <w:rPr>
                <w:i w:val="1"/>
                <w:color w:val="0000ff"/>
                <w:rtl w:val="0"/>
              </w:rPr>
              <w:t xml:space="preserve">Total Point 7</w:t>
            </w: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spacing w:line="276" w:lineRule="auto"/>
              <w:rPr>
                <w:rFonts w:ascii="Open Sans" w:cs="Open Sans" w:eastAsia="Open Sans" w:hAnsi="Open Sans"/>
              </w:rPr>
            </w:pPr>
            <w:r w:rsidDel="00000000" w:rsidR="00000000" w:rsidRPr="00000000">
              <w:rPr>
                <w:rtl w:val="0"/>
              </w:rPr>
              <w:t xml:space="preserve">Implementation Timeline</w:t>
            </w:r>
            <w:r w:rsidDel="00000000" w:rsidR="00000000" w:rsidRPr="00000000">
              <w:rPr>
                <w:rtl w:val="0"/>
              </w:rPr>
            </w:r>
          </w:p>
          <w:p w:rsidR="00000000" w:rsidDel="00000000" w:rsidP="00000000" w:rsidRDefault="00000000" w:rsidRPr="00000000" w14:paraId="000000A5">
            <w:pPr>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A6">
            <w:pPr>
              <w:widowControl w:val="0"/>
              <w:spacing w:after="200" w:line="276" w:lineRule="auto"/>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A7">
            <w:pPr>
              <w:widowControl w:val="0"/>
              <w:spacing w:after="200" w:line="276" w:lineRule="auto"/>
              <w:rPr>
                <w:i w:val="1"/>
                <w:color w:val="0000ff"/>
              </w:rPr>
            </w:pPr>
            <w:r w:rsidDel="00000000" w:rsidR="00000000" w:rsidRPr="00000000">
              <w:rPr>
                <w:i w:val="1"/>
                <w:color w:val="0000ff"/>
                <w:rtl w:val="0"/>
              </w:rPr>
              <w:t xml:space="preserve">Bidder submits a detailed implementation timeline which includes detailed activities to be undertaken during this assignment, and is completed with gantt chart. (3)</w:t>
            </w:r>
          </w:p>
          <w:p w:rsidR="00000000" w:rsidDel="00000000" w:rsidP="00000000" w:rsidRDefault="00000000" w:rsidRPr="00000000" w14:paraId="000000A8">
            <w:pPr>
              <w:rPr>
                <w:i w:val="1"/>
                <w:color w:val="0000ff"/>
              </w:rPr>
            </w:pPr>
            <w:r w:rsidDel="00000000" w:rsidR="00000000" w:rsidRPr="00000000">
              <w:rPr>
                <w:i w:val="1"/>
                <w:color w:val="0000ff"/>
                <w:rtl w:val="0"/>
              </w:rPr>
              <w:t xml:space="preserve">Total Point 3</w:t>
            </w:r>
          </w:p>
          <w:p w:rsidR="00000000" w:rsidDel="00000000" w:rsidP="00000000" w:rsidRDefault="00000000" w:rsidRPr="00000000" w14:paraId="000000A9">
            <w:pPr>
              <w:rPr>
                <w:i w:val="1"/>
                <w:color w:val="0000ff"/>
              </w:rPr>
            </w:pPr>
            <w:r w:rsidDel="00000000" w:rsidR="00000000" w:rsidRPr="00000000">
              <w:rPr>
                <w:rtl w:val="0"/>
              </w:rPr>
            </w:r>
          </w:p>
          <w:p w:rsidR="00000000" w:rsidDel="00000000" w:rsidP="00000000" w:rsidRDefault="00000000" w:rsidRPr="00000000" w14:paraId="000000AA">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B">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highlight w:val="lightGray"/>
        </w:rPr>
      </w:pPr>
      <w:r w:rsidDel="00000000" w:rsidR="00000000" w:rsidRPr="00000000">
        <w:rPr>
          <w:rtl w:val="0"/>
        </w:rPr>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2">
            <w:pPr>
              <w:rPr>
                <w:b w:val="1"/>
              </w:rPr>
            </w:pPr>
            <w:r w:rsidDel="00000000" w:rsidR="00000000" w:rsidRPr="00000000">
              <w:rPr>
                <w:b w:val="1"/>
                <w:rtl w:val="0"/>
              </w:rPr>
              <w:t xml:space="preserve">Section 3: Key personnel proposed</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jc w:val="center"/>
              <w:rPr/>
            </w:pPr>
            <w:r w:rsidDel="00000000" w:rsidR="00000000" w:rsidRPr="00000000">
              <w:rPr>
                <w:rtl w:val="0"/>
              </w:rPr>
              <w:t xml:space="preserve">3.1 - 3.4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rPr>
                <w:b w:val="1"/>
              </w:rPr>
            </w:pPr>
            <w:r w:rsidDel="00000000" w:rsidR="00000000" w:rsidRPr="00000000">
              <w:rPr>
                <w:rtl w:val="0"/>
              </w:rPr>
            </w:r>
          </w:p>
          <w:p w:rsidR="00000000" w:rsidDel="00000000" w:rsidP="00000000" w:rsidRDefault="00000000" w:rsidRPr="00000000" w14:paraId="000000B6">
            <w:pPr>
              <w:widowControl w:val="0"/>
              <w:spacing w:line="276" w:lineRule="auto"/>
              <w:rPr>
                <w:highlight w:val="white"/>
              </w:rPr>
            </w:pPr>
            <w:r w:rsidDel="00000000" w:rsidR="00000000" w:rsidRPr="00000000">
              <w:rPr>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9">
            <w:pPr>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55"/>
              <w:gridCol w:w="2475"/>
              <w:gridCol w:w="2805"/>
              <w:gridCol w:w="2355"/>
              <w:tblGridChange w:id="0">
                <w:tblGrid>
                  <w:gridCol w:w="1155"/>
                  <w:gridCol w:w="2475"/>
                  <w:gridCol w:w="2805"/>
                  <w:gridCol w:w="2355"/>
                </w:tblGrid>
              </w:tblGridChange>
            </w:tblGrid>
            <w:tr>
              <w:trPr>
                <w:cantSplit w:val="0"/>
                <w:tblHeader w:val="0"/>
              </w:trPr>
              <w:tc>
                <w:tcPr>
                  <w:shd w:fill="d9d9d9" w:val="clear"/>
                </w:tcPr>
                <w:p w:rsidR="00000000" w:rsidDel="00000000" w:rsidP="00000000" w:rsidRDefault="00000000" w:rsidRPr="00000000" w14:paraId="000000BA">
                  <w:pPr>
                    <w:jc w:val="center"/>
                    <w:rPr>
                      <w:b w:val="1"/>
                    </w:rPr>
                  </w:pPr>
                  <w:r w:rsidDel="00000000" w:rsidR="00000000" w:rsidRPr="00000000">
                    <w:rPr>
                      <w:b w:val="1"/>
                      <w:rtl w:val="0"/>
                    </w:rPr>
                    <w:t xml:space="preserve">Name and Nationality</w:t>
                  </w:r>
                </w:p>
              </w:tc>
              <w:tc>
                <w:tcPr>
                  <w:shd w:fill="d9d9d9" w:val="clear"/>
                </w:tcPr>
                <w:p w:rsidR="00000000" w:rsidDel="00000000" w:rsidP="00000000" w:rsidRDefault="00000000" w:rsidRPr="00000000" w14:paraId="000000BB">
                  <w:pPr>
                    <w:jc w:val="center"/>
                    <w:rPr>
                      <w:b w:val="1"/>
                    </w:rPr>
                  </w:pPr>
                  <w:r w:rsidDel="00000000" w:rsidR="00000000" w:rsidRPr="00000000">
                    <w:rPr>
                      <w:b w:val="1"/>
                      <w:rtl w:val="0"/>
                    </w:rPr>
                    <w:t xml:space="preserve">Position to be Assumed in this Contract</w:t>
                  </w:r>
                </w:p>
              </w:tc>
              <w:tc>
                <w:tcPr>
                  <w:shd w:fill="d9d9d9" w:val="clear"/>
                </w:tcPr>
                <w:p w:rsidR="00000000" w:rsidDel="00000000" w:rsidP="00000000" w:rsidRDefault="00000000" w:rsidRPr="00000000" w14:paraId="000000BC">
                  <w:pPr>
                    <w:jc w:val="center"/>
                    <w:rPr>
                      <w:b w:val="1"/>
                    </w:rPr>
                  </w:pPr>
                  <w:r w:rsidDel="00000000" w:rsidR="00000000" w:rsidRPr="00000000">
                    <w:rPr>
                      <w:b w:val="1"/>
                      <w:rtl w:val="0"/>
                    </w:rPr>
                    <w:t xml:space="preserve">Requirements as per Terms of reference</w:t>
                  </w:r>
                </w:p>
              </w:tc>
              <w:tc>
                <w:tcPr>
                  <w:shd w:fill="d9d9d9" w:val="clear"/>
                </w:tcPr>
                <w:p w:rsidR="00000000" w:rsidDel="00000000" w:rsidP="00000000" w:rsidRDefault="00000000" w:rsidRPr="00000000" w14:paraId="000000BD">
                  <w:pPr>
                    <w:jc w:val="center"/>
                    <w:rPr>
                      <w:b w:val="1"/>
                    </w:rPr>
                  </w:pPr>
                  <w:r w:rsidDel="00000000" w:rsidR="00000000" w:rsidRPr="00000000">
                    <w:rPr>
                      <w:b w:val="1"/>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BE">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F">
                  <w:pPr>
                    <w:spacing w:before="200" w:lineRule="auto"/>
                    <w:rPr/>
                  </w:pPr>
                  <w:r w:rsidDel="00000000" w:rsidR="00000000" w:rsidRPr="00000000">
                    <w:rPr>
                      <w:highlight w:val="white"/>
                      <w:rtl w:val="0"/>
                    </w:rPr>
                    <w:t xml:space="preserve">Team Lead</w:t>
                  </w:r>
                  <w:r w:rsidDel="00000000" w:rsidR="00000000" w:rsidRPr="00000000">
                    <w:rPr>
                      <w:rtl w:val="0"/>
                    </w:rPr>
                  </w:r>
                </w:p>
              </w:tc>
              <w:tc>
                <w:tcPr>
                  <w:vAlign w:val="center"/>
                </w:tcPr>
                <w:p w:rsidR="00000000" w:rsidDel="00000000" w:rsidP="00000000" w:rsidRDefault="00000000" w:rsidRPr="00000000" w14:paraId="000000C0">
                  <w:pPr>
                    <w:jc w:val="both"/>
                    <w:rPr/>
                  </w:pPr>
                  <w:r w:rsidDel="00000000" w:rsidR="00000000" w:rsidRPr="00000000">
                    <w:rPr>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C1">
                  <w:pPr>
                    <w:jc w:val="both"/>
                    <w:rPr>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2">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3">
                  <w:pPr>
                    <w:widowControl w:val="0"/>
                    <w:spacing w:after="200" w:line="276" w:lineRule="auto"/>
                    <w:rPr/>
                  </w:pPr>
                  <w:r w:rsidDel="00000000" w:rsidR="00000000" w:rsidRPr="00000000">
                    <w:rPr>
                      <w:rtl w:val="0"/>
                    </w:rPr>
                    <w:t xml:space="preserve">Southeast Asia Legal, Regulatory, and Policy Expert (Power Sector Specific)</w:t>
                  </w:r>
                </w:p>
              </w:tc>
              <w:tc>
                <w:tcPr>
                  <w:vAlign w:val="center"/>
                </w:tcPr>
                <w:p w:rsidR="00000000" w:rsidDel="00000000" w:rsidP="00000000" w:rsidRDefault="00000000" w:rsidRPr="00000000" w14:paraId="000000C4">
                  <w:pPr>
                    <w:jc w:val="center"/>
                    <w:rPr/>
                  </w:pPr>
                  <w:r w:rsidDel="00000000" w:rsidR="00000000" w:rsidRPr="00000000">
                    <w:rPr>
                      <w:rtl w:val="0"/>
                    </w:rPr>
                  </w:r>
                </w:p>
              </w:tc>
              <w:tc>
                <w:tcPr>
                  <w:vAlign w:val="center"/>
                </w:tcPr>
                <w:p w:rsidR="00000000" w:rsidDel="00000000" w:rsidP="00000000" w:rsidRDefault="00000000" w:rsidRPr="00000000" w14:paraId="000000C5">
                  <w:pPr>
                    <w:jc w:val="center"/>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6">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7">
                  <w:pPr>
                    <w:widowControl w:val="0"/>
                    <w:spacing w:after="200" w:line="276" w:lineRule="auto"/>
                    <w:rPr/>
                  </w:pPr>
                  <w:r w:rsidDel="00000000" w:rsidR="00000000" w:rsidRPr="00000000">
                    <w:rPr>
                      <w:rtl w:val="0"/>
                    </w:rPr>
                    <w:t xml:space="preserve">Power Sector Expert</w:t>
                  </w:r>
                </w:p>
              </w:tc>
              <w:tc>
                <w:tcPr>
                  <w:vAlign w:val="center"/>
                </w:tcPr>
                <w:p w:rsidR="00000000" w:rsidDel="00000000" w:rsidP="00000000" w:rsidRDefault="00000000" w:rsidRPr="00000000" w14:paraId="000000C8">
                  <w:pPr>
                    <w:jc w:val="center"/>
                    <w:rPr/>
                  </w:pPr>
                  <w:r w:rsidDel="00000000" w:rsidR="00000000" w:rsidRPr="00000000">
                    <w:rPr>
                      <w:rtl w:val="0"/>
                    </w:rPr>
                  </w:r>
                </w:p>
              </w:tc>
              <w:tc>
                <w:tcPr>
                  <w:vAlign w:val="center"/>
                </w:tcPr>
                <w:p w:rsidR="00000000" w:rsidDel="00000000" w:rsidP="00000000" w:rsidRDefault="00000000" w:rsidRPr="00000000" w14:paraId="000000C9">
                  <w:pPr>
                    <w:jc w:val="center"/>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A">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B">
                  <w:pPr>
                    <w:widowControl w:val="0"/>
                    <w:spacing w:after="200" w:line="276" w:lineRule="auto"/>
                    <w:rPr/>
                  </w:pPr>
                  <w:r w:rsidDel="00000000" w:rsidR="00000000" w:rsidRPr="00000000">
                    <w:rPr>
                      <w:rtl w:val="0"/>
                    </w:rPr>
                    <w:t xml:space="preserve">Power Systems Planning Expert</w:t>
                  </w:r>
                  <w:r w:rsidDel="00000000" w:rsidR="00000000" w:rsidRPr="00000000">
                    <w:rPr>
                      <w:rtl w:val="0"/>
                    </w:rPr>
                  </w:r>
                </w:p>
              </w:tc>
              <w:tc>
                <w:tcPr>
                  <w:vAlign w:val="center"/>
                </w:tcPr>
                <w:p w:rsidR="00000000" w:rsidDel="00000000" w:rsidP="00000000" w:rsidRDefault="00000000" w:rsidRPr="00000000" w14:paraId="000000CC">
                  <w:pPr>
                    <w:jc w:val="center"/>
                    <w:rPr/>
                  </w:pPr>
                  <w:r w:rsidDel="00000000" w:rsidR="00000000" w:rsidRPr="00000000">
                    <w:rPr>
                      <w:rtl w:val="0"/>
                    </w:rPr>
                  </w:r>
                </w:p>
              </w:tc>
              <w:tc>
                <w:tcPr>
                  <w:vAlign w:val="center"/>
                </w:tcPr>
                <w:p w:rsidR="00000000" w:rsidDel="00000000" w:rsidP="00000000" w:rsidRDefault="00000000" w:rsidRPr="00000000" w14:paraId="000000CD">
                  <w:pPr>
                    <w:jc w:val="center"/>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E">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F">
                  <w:pPr>
                    <w:widowControl w:val="0"/>
                    <w:spacing w:after="200" w:line="276" w:lineRule="auto"/>
                    <w:rPr/>
                  </w:pPr>
                  <w:r w:rsidDel="00000000" w:rsidR="00000000" w:rsidRPr="00000000">
                    <w:rPr>
                      <w:rtl w:val="0"/>
                    </w:rPr>
                  </w:r>
                </w:p>
              </w:tc>
              <w:tc>
                <w:tcPr>
                  <w:vAlign w:val="center"/>
                </w:tcPr>
                <w:p w:rsidR="00000000" w:rsidDel="00000000" w:rsidP="00000000" w:rsidRDefault="00000000" w:rsidRPr="00000000" w14:paraId="000000D0">
                  <w:pPr>
                    <w:jc w:val="center"/>
                    <w:rPr/>
                  </w:pPr>
                  <w:r w:rsidDel="00000000" w:rsidR="00000000" w:rsidRPr="00000000">
                    <w:rPr>
                      <w:rtl w:val="0"/>
                    </w:rPr>
                  </w:r>
                </w:p>
              </w:tc>
              <w:tc>
                <w:tcPr>
                  <w:vAlign w:val="center"/>
                </w:tcPr>
                <w:p w:rsidR="00000000" w:rsidDel="00000000" w:rsidP="00000000" w:rsidRDefault="00000000" w:rsidRPr="00000000" w14:paraId="000000D1">
                  <w:pPr>
                    <w:jc w:val="center"/>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2">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3">
                  <w:pPr>
                    <w:spacing w:line="276" w:lineRule="auto"/>
                    <w:ind w:left="0" w:firstLine="0"/>
                    <w:rPr/>
                  </w:pPr>
                  <w:r w:rsidDel="00000000" w:rsidR="00000000" w:rsidRPr="00000000">
                    <w:rPr>
                      <w:rtl w:val="0"/>
                    </w:rPr>
                  </w:r>
                </w:p>
              </w:tc>
              <w:tc>
                <w:tcPr>
                  <w:vAlign w:val="center"/>
                </w:tcPr>
                <w:p w:rsidR="00000000" w:rsidDel="00000000" w:rsidP="00000000" w:rsidRDefault="00000000" w:rsidRPr="00000000" w14:paraId="000000D4">
                  <w:pPr>
                    <w:jc w:val="center"/>
                    <w:rPr/>
                  </w:pPr>
                  <w:r w:rsidDel="00000000" w:rsidR="00000000" w:rsidRPr="00000000">
                    <w:rPr>
                      <w:rtl w:val="0"/>
                    </w:rPr>
                  </w:r>
                </w:p>
              </w:tc>
              <w:tc>
                <w:tcPr>
                  <w:vAlign w:val="center"/>
                </w:tcPr>
                <w:p w:rsidR="00000000" w:rsidDel="00000000" w:rsidP="00000000" w:rsidRDefault="00000000" w:rsidRPr="00000000" w14:paraId="000000D5">
                  <w:pPr>
                    <w:jc w:val="center"/>
                    <w:rPr/>
                  </w:pPr>
                  <w:r w:rsidDel="00000000" w:rsidR="00000000" w:rsidRPr="00000000">
                    <w:rPr>
                      <w:rtl w:val="0"/>
                    </w:rPr>
                  </w:r>
                </w:p>
              </w:tc>
            </w:tr>
          </w:tbl>
          <w:p w:rsidR="00000000" w:rsidDel="00000000" w:rsidP="00000000" w:rsidRDefault="00000000" w:rsidRPr="00000000" w14:paraId="000000D6">
            <w:pPr>
              <w:rPr>
                <w:i w:val="1"/>
                <w:color w:val="0000ff"/>
              </w:rPr>
            </w:pPr>
            <w:r w:rsidDel="00000000" w:rsidR="00000000" w:rsidRPr="00000000">
              <w:rPr>
                <w:rtl w:val="0"/>
              </w:rPr>
            </w:r>
          </w:p>
          <w:p w:rsidR="00000000" w:rsidDel="00000000" w:rsidP="00000000" w:rsidRDefault="00000000" w:rsidRPr="00000000" w14:paraId="000000D7">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8">
            <w:pPr>
              <w:rPr>
                <w:i w:val="1"/>
                <w:color w:val="0000ff"/>
              </w:rPr>
            </w:pPr>
            <w:r w:rsidDel="00000000" w:rsidR="00000000" w:rsidRPr="00000000">
              <w:rPr>
                <w:rtl w:val="0"/>
              </w:rPr>
            </w:r>
          </w:p>
          <w:p w:rsidR="00000000" w:rsidDel="00000000" w:rsidP="00000000" w:rsidRDefault="00000000" w:rsidRPr="00000000" w14:paraId="000000D9">
            <w:pPr>
              <w:rPr>
                <w:i w:val="1"/>
                <w:color w:val="0000ff"/>
              </w:rPr>
            </w:pPr>
            <w:r w:rsidDel="00000000" w:rsidR="00000000" w:rsidRPr="00000000">
              <w:rPr>
                <w:i w:val="1"/>
                <w:color w:val="0000ff"/>
                <w:rtl w:val="0"/>
              </w:rPr>
              <w:t xml:space="preserve">1. </w:t>
            </w:r>
            <w:r w:rsidDel="00000000" w:rsidR="00000000" w:rsidRPr="00000000">
              <w:rPr>
                <w:i w:val="1"/>
                <w:color w:val="0000ff"/>
                <w:rtl w:val="0"/>
              </w:rPr>
              <w:t xml:space="preserve">Team lead (7)</w:t>
            </w:r>
          </w:p>
          <w:p w:rsidR="00000000" w:rsidDel="00000000" w:rsidP="00000000" w:rsidRDefault="00000000" w:rsidRPr="00000000" w14:paraId="000000DA">
            <w:pPr>
              <w:rPr>
                <w:i w:val="1"/>
                <w:color w:val="0000ff"/>
              </w:rPr>
            </w:pPr>
            <w:r w:rsidDel="00000000" w:rsidR="00000000" w:rsidRPr="00000000">
              <w:rPr>
                <w:i w:val="1"/>
                <w:color w:val="0000ff"/>
                <w:rtl w:val="0"/>
              </w:rPr>
              <w:t xml:space="preserve">2. Southeast Asia Legal, Regulatory, and Policy Expert (Power Sector Specific) (5)</w:t>
            </w:r>
          </w:p>
          <w:p w:rsidR="00000000" w:rsidDel="00000000" w:rsidP="00000000" w:rsidRDefault="00000000" w:rsidRPr="00000000" w14:paraId="000000DB">
            <w:pPr>
              <w:rPr>
                <w:i w:val="1"/>
                <w:color w:val="0000ff"/>
              </w:rPr>
            </w:pPr>
            <w:r w:rsidDel="00000000" w:rsidR="00000000" w:rsidRPr="00000000">
              <w:rPr>
                <w:i w:val="1"/>
                <w:color w:val="0000ff"/>
                <w:rtl w:val="0"/>
              </w:rPr>
              <w:t xml:space="preserve">3. Power Sector Expert (5)</w:t>
            </w:r>
          </w:p>
          <w:p w:rsidR="00000000" w:rsidDel="00000000" w:rsidP="00000000" w:rsidRDefault="00000000" w:rsidRPr="00000000" w14:paraId="000000DC">
            <w:pPr>
              <w:rPr>
                <w:rFonts w:ascii="Open Sans" w:cs="Open Sans" w:eastAsia="Open Sans" w:hAnsi="Open Sans"/>
              </w:rPr>
            </w:pPr>
            <w:r w:rsidDel="00000000" w:rsidR="00000000" w:rsidRPr="00000000">
              <w:rPr>
                <w:i w:val="1"/>
                <w:color w:val="0000ff"/>
                <w:rtl w:val="0"/>
              </w:rPr>
              <w:t xml:space="preserve">4. Power Systems Planning Expert (5)</w:t>
            </w:r>
            <w:r w:rsidDel="00000000" w:rsidR="00000000" w:rsidRPr="00000000">
              <w:rPr>
                <w:rtl w:val="0"/>
              </w:rPr>
            </w:r>
          </w:p>
          <w:p w:rsidR="00000000" w:rsidDel="00000000" w:rsidP="00000000" w:rsidRDefault="00000000" w:rsidRPr="00000000" w14:paraId="000000DD">
            <w:pPr>
              <w:rPr>
                <w:rFonts w:ascii="Open Sans" w:cs="Open Sans" w:eastAsia="Open Sans" w:hAnsi="Open Sans"/>
              </w:rPr>
            </w:pPr>
            <w:r w:rsidDel="00000000" w:rsidR="00000000" w:rsidRPr="00000000">
              <w:rPr>
                <w:rtl w:val="0"/>
              </w:rPr>
            </w:r>
          </w:p>
          <w:p w:rsidR="00000000" w:rsidDel="00000000" w:rsidP="00000000" w:rsidRDefault="00000000" w:rsidRPr="00000000" w14:paraId="000000DE">
            <w:pPr>
              <w:rPr>
                <w:i w:val="1"/>
                <w:color w:val="0000ff"/>
                <w:highlight w:val="white"/>
              </w:rPr>
            </w:pPr>
            <w:r w:rsidDel="00000000" w:rsidR="00000000" w:rsidRPr="00000000">
              <w:rPr>
                <w:rtl w:val="0"/>
              </w:rPr>
            </w:r>
          </w:p>
          <w:p w:rsidR="00000000" w:rsidDel="00000000" w:rsidP="00000000" w:rsidRDefault="00000000" w:rsidRPr="00000000" w14:paraId="000000DF">
            <w:pPr>
              <w:rPr>
                <w:rFonts w:ascii="Open Sans" w:cs="Open Sans" w:eastAsia="Open Sans" w:hAnsi="Open Sans"/>
                <w:sz w:val="16"/>
                <w:szCs w:val="16"/>
              </w:rPr>
            </w:pPr>
            <w:r w:rsidDel="00000000" w:rsidR="00000000" w:rsidRPr="00000000">
              <w:rPr>
                <w:i w:val="1"/>
                <w:color w:val="0000ff"/>
                <w:rtl w:val="0"/>
              </w:rPr>
              <w:t xml:space="preserve">Total point: 22</w:t>
            </w:r>
            <w:r w:rsidDel="00000000" w:rsidR="00000000" w:rsidRPr="00000000">
              <w:rPr>
                <w:rtl w:val="0"/>
              </w:rPr>
            </w:r>
          </w:p>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E2">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3">
            <w:pPr>
              <w:jc w:val="center"/>
              <w:rPr/>
            </w:pPr>
            <w:r w:rsidDel="00000000" w:rsidR="00000000" w:rsidRPr="00000000">
              <w:rPr>
                <w:rtl w:val="0"/>
              </w:rPr>
              <w:t xml:space="preserve">3.5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4">
            <w:pPr>
              <w:widowControl w:val="0"/>
              <w:spacing w:line="276" w:lineRule="auto"/>
              <w:rPr/>
            </w:pPr>
            <w:r w:rsidDel="00000000" w:rsidR="00000000" w:rsidRPr="00000000">
              <w:rPr>
                <w:rtl w:val="0"/>
              </w:rPr>
              <w:t xml:space="preserve">Sustainability Criteria:</w:t>
            </w:r>
          </w:p>
          <w:p w:rsidR="00000000" w:rsidDel="00000000" w:rsidP="00000000" w:rsidRDefault="00000000" w:rsidRPr="00000000" w14:paraId="000000E5">
            <w:pPr>
              <w:widowControl w:val="0"/>
              <w:spacing w:line="276" w:lineRule="auto"/>
              <w:rPr>
                <w:b w:val="1"/>
              </w:rPr>
            </w:pPr>
            <w:r w:rsidDel="00000000" w:rsidR="00000000" w:rsidRPr="00000000">
              <w:rPr>
                <w:rtl w:val="0"/>
              </w:rPr>
              <w:t xml:space="preserve">The offeror shall provide a clear </w:t>
            </w:r>
            <w:r w:rsidDel="00000000" w:rsidR="00000000" w:rsidRPr="00000000">
              <w:rPr>
                <w:color w:val="444746"/>
                <w:rtl w:val="0"/>
              </w:rPr>
              <w:t xml:space="preserve">statement, approach, and methodology that demonstrates its commitment to support </w:t>
            </w:r>
            <w:r w:rsidDel="00000000" w:rsidR="00000000" w:rsidRPr="00000000">
              <w:rPr>
                <w:rtl w:val="0"/>
              </w:rPr>
              <w:t xml:space="preserve">and mainstream gender equality and social inclusion through its operations and project implementation activities.</w:t>
            </w:r>
            <w:r w:rsidDel="00000000" w:rsidR="00000000" w:rsidRPr="00000000">
              <w:rPr>
                <w:rtl w:val="0"/>
              </w:rPr>
            </w:r>
          </w:p>
          <w:p w:rsidR="00000000" w:rsidDel="00000000" w:rsidP="00000000" w:rsidRDefault="00000000" w:rsidRPr="00000000" w14:paraId="000000E6">
            <w:pPr>
              <w:widowControl w:val="0"/>
              <w:spacing w:line="276" w:lineRule="auto"/>
              <w:rPr>
                <w:rFonts w:ascii="Roboto" w:cs="Roboto" w:eastAsia="Roboto" w:hAnsi="Roboto"/>
                <w:color w:val="444746"/>
              </w:rPr>
            </w:pPr>
            <w:r w:rsidDel="00000000" w:rsidR="00000000" w:rsidRPr="00000000">
              <w:rPr>
                <w:rtl w:val="0"/>
              </w:rPr>
            </w:r>
          </w:p>
          <w:p w:rsidR="00000000" w:rsidDel="00000000" w:rsidP="00000000" w:rsidRDefault="00000000" w:rsidRPr="00000000" w14:paraId="000000E7">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E8">
            <w:pPr>
              <w:rPr>
                <w:i w:val="1"/>
                <w:color w:val="0000ff"/>
              </w:rPr>
            </w:pPr>
            <w:r w:rsidDel="00000000" w:rsidR="00000000" w:rsidRPr="00000000">
              <w:rPr>
                <w:i w:val="1"/>
                <w:color w:val="0000ff"/>
                <w:rtl w:val="0"/>
              </w:rPr>
              <w:t xml:space="preserve">Total Point 3</w:t>
            </w:r>
          </w:p>
          <w:p w:rsidR="00000000" w:rsidDel="00000000" w:rsidP="00000000" w:rsidRDefault="00000000" w:rsidRPr="00000000" w14:paraId="000000E9">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EA">
            <w:pPr>
              <w:spacing w:line="276" w:lineRule="auto"/>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EB">
            <w:pPr>
              <w:widowControl w:val="0"/>
              <w:rPr/>
            </w:pPr>
            <w:r w:rsidDel="00000000" w:rsidR="00000000" w:rsidRPr="00000000">
              <w:rPr>
                <w:rtl w:val="0"/>
              </w:rPr>
            </w:r>
          </w:p>
        </w:tc>
      </w:tr>
    </w:tbl>
    <w:p w:rsidR="00000000" w:rsidDel="00000000" w:rsidP="00000000" w:rsidRDefault="00000000" w:rsidRPr="00000000" w14:paraId="000000EC">
      <w:pPr>
        <w:rPr>
          <w:highlight w:val="lightGray"/>
        </w:rPr>
      </w:pPr>
      <w:r w:rsidDel="00000000" w:rsidR="00000000" w:rsidRPr="00000000">
        <w:rPr>
          <w:rtl w:val="0"/>
        </w:rPr>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F">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0">
      <w:pPr>
        <w:tabs>
          <w:tab w:val="left" w:leader="none" w:pos="720"/>
        </w:tabs>
        <w:rPr>
          <w:color w:val="000000"/>
        </w:rPr>
      </w:pPr>
      <w:r w:rsidDel="00000000" w:rsidR="00000000" w:rsidRPr="00000000">
        <w:rPr>
          <w:rtl w:val="0"/>
        </w:rPr>
      </w:r>
    </w:p>
    <w:p w:rsidR="00000000" w:rsidDel="00000000" w:rsidP="00000000" w:rsidRDefault="00000000" w:rsidRPr="00000000" w14:paraId="000000F1">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2">
      <w:pPr>
        <w:rPr>
          <w:color w:val="000000"/>
        </w:rPr>
      </w:pPr>
      <w:r w:rsidDel="00000000" w:rsidR="00000000" w:rsidRPr="00000000">
        <w:rPr>
          <w:rtl w:val="0"/>
        </w:rPr>
      </w:r>
    </w:p>
    <w:p w:rsidR="00000000" w:rsidDel="00000000" w:rsidP="00000000" w:rsidRDefault="00000000" w:rsidRPr="00000000" w14:paraId="000000F3">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4">
      <w:pPr>
        <w:rPr>
          <w:color w:val="000000"/>
        </w:rPr>
      </w:pPr>
      <w:r w:rsidDel="00000000" w:rsidR="00000000" w:rsidRPr="00000000">
        <w:rPr>
          <w:rtl w:val="0"/>
        </w:rPr>
      </w:r>
    </w:p>
    <w:p w:rsidR="00000000" w:rsidDel="00000000" w:rsidP="00000000" w:rsidRDefault="00000000" w:rsidRPr="00000000" w14:paraId="000000F5">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6">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RFP/2024/52445</w:t>
      </w:r>
      <w:r w:rsidDel="00000000" w:rsidR="00000000" w:rsidRPr="00000000">
        <w:rPr>
          <w:rtl w:val="0"/>
        </w:rPr>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highlight w:val="cyan"/>
              </w:rPr>
            </w:pPr>
            <w:bookmarkStart w:colFirst="0" w:colLast="0" w:name="_heading=h.1sso0nfmqduw" w:id="5"/>
            <w:bookmarkEnd w:id="5"/>
            <w:r w:rsidDel="00000000" w:rsidR="00000000" w:rsidRPr="00000000">
              <w:rPr>
                <w:rFonts w:ascii="Arial" w:cs="Arial" w:eastAsia="Arial" w:hAnsi="Arial"/>
                <w:b w:val="0"/>
                <w:sz w:val="20"/>
                <w:szCs w:val="20"/>
                <w:highlight w:val="cyan"/>
                <w:rtl w:val="0"/>
              </w:rPr>
              <w:t xml:space="preserve">Insert]</w:t>
            </w:r>
          </w:p>
        </w:tc>
      </w:tr>
      <w:tr>
        <w:trPr>
          <w:cantSplit w:val="0"/>
          <w:trHeight w:val="422" w:hRule="atLeast"/>
          <w:tblHeader w:val="0"/>
        </w:trPr>
        <w:tc>
          <w:tcPr>
            <w:shd w:fill="d9d9d9" w:val="clea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w:t>
            </w:r>
            <w:r w:rsidDel="00000000" w:rsidR="00000000" w:rsidRPr="00000000">
              <w:rPr>
                <w:rFonts w:ascii="Arial" w:cs="Arial" w:eastAsia="Arial" w:hAnsi="Arial"/>
                <w:sz w:val="20"/>
                <w:szCs w:val="20"/>
                <w:highlight w:val="cyan"/>
                <w:rtl w:val="0"/>
              </w:rPr>
              <w:t xml:space="preserve">dates </w:t>
            </w:r>
            <w:r w:rsidDel="00000000" w:rsidR="00000000" w:rsidRPr="00000000">
              <w:rPr>
                <w:rFonts w:ascii="Arial" w:cs="Arial" w:eastAsia="Arial" w:hAnsi="Arial"/>
                <w:b w:val="0"/>
                <w:sz w:val="20"/>
                <w:szCs w:val="20"/>
                <w:highlight w:val="cyan"/>
                <w:rtl w:val="0"/>
              </w:rPr>
              <w:t xml:space="preserve">attended, and degrees/qualifications obtained.]</w:t>
            </w: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F">
            <w:pPr>
              <w:pStyle w:val="Subtitle"/>
              <w:numPr>
                <w:ilvl w:val="0"/>
                <w:numId w:val="4"/>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0">
            <w:pPr>
              <w:pStyle w:val="Subtitle"/>
              <w:numPr>
                <w:ilvl w:val="0"/>
                <w:numId w:val="4"/>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w:t>
            </w:r>
            <w:r w:rsidDel="00000000" w:rsidR="00000000" w:rsidRPr="00000000">
              <w:rPr>
                <w:rFonts w:ascii="Arial" w:cs="Arial" w:eastAsia="Arial" w:hAnsi="Arial"/>
                <w:sz w:val="20"/>
                <w:szCs w:val="20"/>
                <w:highlight w:val="cyan"/>
                <w:rtl w:val="0"/>
              </w:rPr>
              <w:t xml:space="preserve"> dates, </w:t>
            </w:r>
            <w:r w:rsidDel="00000000" w:rsidR="00000000" w:rsidRPr="00000000">
              <w:rPr>
                <w:rFonts w:ascii="Arial" w:cs="Arial" w:eastAsia="Arial" w:hAnsi="Arial"/>
                <w:b w:val="0"/>
                <w:sz w:val="20"/>
                <w:szCs w:val="20"/>
                <w:highlight w:val="cyan"/>
                <w:rtl w:val="0"/>
              </w:rPr>
              <w:t xml:space="preserve">names of employing organization, title of position held and location of employment.  For relevant experience, detail the </w:t>
            </w:r>
            <w:r w:rsidDel="00000000" w:rsidR="00000000" w:rsidRPr="00000000">
              <w:rPr>
                <w:rFonts w:ascii="Arial" w:cs="Arial" w:eastAsia="Arial" w:hAnsi="Arial"/>
                <w:sz w:val="20"/>
                <w:szCs w:val="20"/>
                <w:highlight w:val="cyan"/>
                <w:rtl w:val="0"/>
              </w:rPr>
              <w:t xml:space="preserve">dates,</w:t>
            </w:r>
            <w:r w:rsidDel="00000000" w:rsidR="00000000" w:rsidRPr="00000000">
              <w:rPr>
                <w:rFonts w:ascii="Arial" w:cs="Arial" w:eastAsia="Arial" w:hAnsi="Arial"/>
                <w:b w:val="0"/>
                <w:sz w:val="20"/>
                <w:szCs w:val="20"/>
                <w:highlight w:val="cyan"/>
                <w:rtl w:val="0"/>
              </w:rPr>
              <w:t xml:space="preserv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24">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5">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RFP/2024/52445</w:t>
      </w:r>
      <w:r w:rsidDel="00000000" w:rsidR="00000000" w:rsidRPr="00000000">
        <w:rPr>
          <w:rtl w:val="0"/>
        </w:rPr>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services in the last 05 years</w:t>
      </w: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C">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2D">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2E">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F">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30">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32">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33">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38">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39">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r>
      <w:tr>
        <w:trPr>
          <w:cantSplit w:val="0"/>
          <w:tblHeader w:val="0"/>
        </w:trPr>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r>
      <w:tr>
        <w:trPr>
          <w:cantSplit w:val="0"/>
          <w:tblHeader w:val="0"/>
        </w:trPr>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r>
      <w:tr>
        <w:trPr>
          <w:cantSplit w:val="0"/>
          <w:tblHeader w:val="0"/>
        </w:trPr>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c>
          <w:tcPr/>
          <w:p w:rsidR="00000000" w:rsidDel="00000000" w:rsidP="00000000" w:rsidRDefault="00000000" w:rsidRPr="00000000" w14:paraId="00000158">
            <w:pPr>
              <w:rPr/>
            </w:pPr>
            <w:r w:rsidDel="00000000" w:rsidR="00000000" w:rsidRPr="00000000">
              <w:rPr>
                <w:rtl w:val="0"/>
              </w:rPr>
            </w:r>
          </w:p>
        </w:tc>
        <w:tc>
          <w:tcPr/>
          <w:p w:rsidR="00000000" w:rsidDel="00000000" w:rsidP="00000000" w:rsidRDefault="00000000" w:rsidRPr="00000000" w14:paraId="00000159">
            <w:pPr>
              <w:rPr/>
            </w:pPr>
            <w:r w:rsidDel="00000000" w:rsidR="00000000" w:rsidRPr="00000000">
              <w:rPr>
                <w:rtl w:val="0"/>
              </w:rPr>
            </w:r>
          </w:p>
        </w:tc>
        <w:tc>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r>
    </w:tbl>
    <w:p w:rsidR="00000000" w:rsidDel="00000000" w:rsidP="00000000" w:rsidRDefault="00000000" w:rsidRPr="00000000" w14:paraId="0000015C">
      <w:pPr>
        <w:ind w:left="1598" w:hanging="1598"/>
        <w:jc w:val="both"/>
        <w:rPr/>
      </w:pPr>
      <w:r w:rsidDel="00000000" w:rsidR="00000000" w:rsidRPr="00000000">
        <w:rPr>
          <w:rtl w:val="0"/>
        </w:rPr>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F">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60">
      <w:pPr>
        <w:tabs>
          <w:tab w:val="left" w:leader="none" w:pos="720"/>
        </w:tabs>
        <w:rPr>
          <w:color w:val="000000"/>
        </w:rPr>
      </w:pPr>
      <w:r w:rsidDel="00000000" w:rsidR="00000000" w:rsidRPr="00000000">
        <w:rPr>
          <w:rtl w:val="0"/>
        </w:rPr>
      </w:r>
    </w:p>
    <w:p w:rsidR="00000000" w:rsidDel="00000000" w:rsidP="00000000" w:rsidRDefault="00000000" w:rsidRPr="00000000" w14:paraId="00000161">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62">
      <w:pPr>
        <w:rPr>
          <w:color w:val="000000"/>
        </w:rPr>
      </w:pPr>
      <w:r w:rsidDel="00000000" w:rsidR="00000000" w:rsidRPr="00000000">
        <w:rPr>
          <w:rtl w:val="0"/>
        </w:rPr>
      </w:r>
    </w:p>
    <w:p w:rsidR="00000000" w:rsidDel="00000000" w:rsidP="00000000" w:rsidRDefault="00000000" w:rsidRPr="00000000" w14:paraId="00000163">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64">
      <w:pPr>
        <w:rPr>
          <w:color w:val="000000"/>
        </w:rPr>
      </w:pPr>
      <w:r w:rsidDel="00000000" w:rsidR="00000000" w:rsidRPr="00000000">
        <w:rPr>
          <w:rtl w:val="0"/>
        </w:rPr>
      </w:r>
    </w:p>
    <w:p w:rsidR="00000000" w:rsidDel="00000000" w:rsidP="00000000" w:rsidRDefault="00000000" w:rsidRPr="00000000" w14:paraId="00000165">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6">
      <w:pPr>
        <w:rPr>
          <w:sz w:val="22"/>
          <w:szCs w:val="22"/>
        </w:rPr>
      </w:pPr>
      <w:r w:rsidDel="00000000" w:rsidR="00000000" w:rsidRPr="00000000">
        <w:rPr>
          <w:rtl w:val="0"/>
        </w:rPr>
      </w:r>
    </w:p>
    <w:p w:rsidR="00000000" w:rsidDel="00000000" w:rsidP="00000000" w:rsidRDefault="00000000" w:rsidRPr="00000000" w14:paraId="00000167">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D">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70">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4466</wp:posOffset>
                </wp:positionH>
                <wp:positionV relativeFrom="paragraph">
                  <wp:posOffset>-79358</wp:posOffset>
                </wp:positionV>
                <wp:extent cx="1477645" cy="215900"/>
                <wp:effectExtent b="0" l="0" r="0" t="0"/>
                <wp:wrapNone/>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cQDbVsV8PIhBOT4Ghf5rglgVvg==">CgMxLjAyDmguYnEzbW1nMmlsZ3VkMg5oLndqMzBjdnN6OTdiMTIOaC5uaHJjeDVpa2M5YTYyDmgucnlqdzNzdnFrODdhMg5oLmRqNTd6eGsyaGowbTIOaC4xc3NvMG5mbXFkdXc4AHIhMXBQeFltMVpYc18tWF83a2NXSnN4b3Q1MzI5MGdIVHRJ</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