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rFonts w:ascii="Open Sans" w:cs="Open Sans" w:eastAsia="Open Sans" w:hAnsi="Open Sans"/>
          <w:color w:val="14c2cc"/>
          <w:sz w:val="30"/>
          <w:szCs w:val="30"/>
        </w:rPr>
      </w:pPr>
      <w:bookmarkStart w:colFirst="0" w:colLast="0" w:name="_heading=h.wj30cvsz97b1" w:id="1"/>
      <w:bookmarkEnd w:id="1"/>
      <w:r w:rsidDel="00000000" w:rsidR="00000000" w:rsidRPr="00000000">
        <w:rPr>
          <w:b w:val="1"/>
          <w:sz w:val="24"/>
          <w:szCs w:val="24"/>
          <w:rtl w:val="0"/>
        </w:rPr>
        <w:t xml:space="preserve">Request for Proposal (RFP) - Consultancy Services for </w:t>
      </w:r>
      <w:r w:rsidDel="00000000" w:rsidR="00000000" w:rsidRPr="00000000">
        <w:rPr>
          <w:b w:val="1"/>
          <w:sz w:val="24"/>
          <w:szCs w:val="24"/>
          <w:rtl w:val="0"/>
        </w:rPr>
        <w:t xml:space="preserve">Studies on the Minimum Requirements for Multilateral Power Market and A Strategy to Establish A Multilateral Power Trade in ASEAN (Regional)</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RFP/2024/52399</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RFP/2024/52399</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RFP/2024/52399</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RFP/2024/52399</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consultant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Bidders partnering up with a local entity to provide for the strategic consultation, translations; as well as the communications expertise is considered a valuable asset</w:t>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Experience in projects of comparable size, type, complexity and technical specialty </w:t>
            </w:r>
            <w:r w:rsidDel="00000000" w:rsidR="00000000" w:rsidRPr="00000000">
              <w:rPr>
                <w:i w:val="1"/>
                <w:color w:val="0000ff"/>
                <w:rtl w:val="0"/>
              </w:rPr>
              <w:t xml:space="preserve"> (5)</w:t>
            </w:r>
            <w:r w:rsidDel="00000000" w:rsidR="00000000" w:rsidRPr="00000000">
              <w:rPr>
                <w:rtl w:val="0"/>
              </w:rPr>
            </w:r>
          </w:p>
          <w:p w:rsidR="00000000" w:rsidDel="00000000" w:rsidP="00000000" w:rsidRDefault="00000000" w:rsidRPr="00000000" w14:paraId="00000070">
            <w:pPr>
              <w:numPr>
                <w:ilvl w:val="0"/>
                <w:numId w:val="2"/>
              </w:numPr>
              <w:ind w:left="720" w:hanging="360"/>
              <w:rPr>
                <w:i w:val="1"/>
                <w:color w:val="0000ff"/>
              </w:rPr>
            </w:pPr>
            <w:r w:rsidDel="00000000" w:rsidR="00000000" w:rsidRPr="00000000">
              <w:rPr>
                <w:rFonts w:ascii="Open Sans" w:cs="Open Sans" w:eastAsia="Open Sans" w:hAnsi="Open Sans"/>
                <w:sz w:val="18"/>
                <w:szCs w:val="18"/>
                <w:rtl w:val="0"/>
              </w:rPr>
              <w:t xml:space="preserve">Demonstrates an understanding of the local context with regards key stakeholders, legal, regulatory and policy landscape </w:t>
            </w:r>
            <w:r w:rsidDel="00000000" w:rsidR="00000000" w:rsidRPr="00000000">
              <w:rPr>
                <w:i w:val="1"/>
                <w:color w:val="0000ff"/>
                <w:rtl w:val="0"/>
              </w:rPr>
              <w:t xml:space="preserve">(5)</w:t>
            </w:r>
          </w:p>
          <w:p w:rsidR="00000000" w:rsidDel="00000000" w:rsidP="00000000" w:rsidRDefault="00000000" w:rsidRPr="00000000" w14:paraId="00000071">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Demonstrates an ability to engage with ASEAN stakeholders for information gathering and dissemination</w:t>
            </w:r>
            <w:r w:rsidDel="00000000" w:rsidR="00000000" w:rsidRPr="00000000">
              <w:rPr>
                <w:i w:val="1"/>
                <w:color w:val="0000ff"/>
                <w:rtl w:val="0"/>
              </w:rPr>
              <w:t xml:space="preserve"> (5)</w:t>
            </w:r>
            <w:r w:rsidDel="00000000" w:rsidR="00000000" w:rsidRPr="00000000">
              <w:rPr>
                <w:rtl w:val="0"/>
              </w:rPr>
            </w:r>
          </w:p>
          <w:p w:rsidR="00000000" w:rsidDel="00000000" w:rsidP="00000000" w:rsidRDefault="00000000" w:rsidRPr="00000000" w14:paraId="00000072">
            <w:pPr>
              <w:rPr>
                <w:i w:val="1"/>
                <w:color w:val="0000ff"/>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6">
            <w:pPr>
              <w:rPr>
                <w:highlight w:val="cyan"/>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organisational capability which is likely to affect implementation: management structure, and project management controls.</w:t>
            </w:r>
          </w:p>
          <w:p w:rsidR="00000000" w:rsidDel="00000000" w:rsidP="00000000" w:rsidRDefault="00000000" w:rsidRPr="00000000" w14:paraId="0000007B">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i w:val="1"/>
                <w:color w:val="0000ff"/>
                <w:rtl w:val="0"/>
              </w:rPr>
              <w:t xml:space="preserve">Ass</w:t>
            </w:r>
            <w:r w:rsidDel="00000000" w:rsidR="00000000" w:rsidRPr="00000000">
              <w:rPr>
                <w:i w:val="1"/>
                <w:color w:val="0000ff"/>
                <w:rtl w:val="0"/>
              </w:rPr>
              <w:t xml:space="preserve">essment Criteria: </w:t>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ind w:left="0" w:firstLine="0"/>
              <w:rPr>
                <w:i w:val="1"/>
                <w:color w:val="0000ff"/>
              </w:rPr>
            </w:pPr>
            <w:r w:rsidDel="00000000" w:rsidR="00000000" w:rsidRPr="00000000">
              <w:rPr>
                <w:i w:val="1"/>
                <w:color w:val="0000ff"/>
                <w:rtl w:val="0"/>
              </w:rPr>
              <w:t xml:space="preserve">Management structure, management controls, and the extent to which any part would be subcontracted (5)</w:t>
            </w:r>
          </w:p>
          <w:p w:rsidR="00000000" w:rsidDel="00000000" w:rsidP="00000000" w:rsidRDefault="00000000" w:rsidRPr="00000000" w14:paraId="00000080">
            <w:pPr>
              <w:rPr>
                <w:i w:val="1"/>
                <w:color w:val="0000ff"/>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the identification of primary and secondary data sources and its collection methods based on the proposed scenarios</w:t>
            </w:r>
            <w:r w:rsidDel="00000000" w:rsidR="00000000" w:rsidRPr="00000000">
              <w:rPr>
                <w:rFonts w:ascii="Open Sans" w:cs="Open Sans" w:eastAsia="Open Sans" w:hAnsi="Open Sans"/>
                <w:rtl w:val="0"/>
              </w:rPr>
              <w:t xml:space="preserve">.</w:t>
            </w:r>
            <w:r w:rsidDel="00000000" w:rsidR="00000000" w:rsidRPr="00000000">
              <w:rPr>
                <w:i w:val="1"/>
                <w:color w:val="0000ff"/>
                <w:rtl w:val="0"/>
              </w:rPr>
              <w:t xml:space="preserve"> (7)</w:t>
            </w:r>
            <w:r w:rsidDel="00000000" w:rsidR="00000000" w:rsidRPr="00000000">
              <w:rPr>
                <w:rtl w:val="0"/>
              </w:rPr>
            </w:r>
          </w:p>
          <w:p w:rsidR="00000000" w:rsidDel="00000000" w:rsidP="00000000" w:rsidRDefault="00000000" w:rsidRPr="00000000" w14:paraId="00000090">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developing the analytical methods and deep-dive plans for the report</w:t>
            </w:r>
            <w:r w:rsidDel="00000000" w:rsidR="00000000" w:rsidRPr="00000000">
              <w:rPr>
                <w:rFonts w:ascii="Open Sans" w:cs="Open Sans" w:eastAsia="Open Sans" w:hAnsi="Open Sans"/>
                <w:rtl w:val="0"/>
              </w:rPr>
              <w:t xml:space="preserve">. </w:t>
            </w:r>
            <w:r w:rsidDel="00000000" w:rsidR="00000000" w:rsidRPr="00000000">
              <w:rPr>
                <w:i w:val="1"/>
                <w:color w:val="0000ff"/>
                <w:rtl w:val="0"/>
              </w:rPr>
              <w:t xml:space="preserve">(7)</w:t>
            </w:r>
            <w:r w:rsidDel="00000000" w:rsidR="00000000" w:rsidRPr="00000000">
              <w:rPr>
                <w:rtl w:val="0"/>
              </w:rPr>
            </w:r>
          </w:p>
          <w:p w:rsidR="00000000" w:rsidDel="00000000" w:rsidP="00000000" w:rsidRDefault="00000000" w:rsidRPr="00000000" w14:paraId="00000091">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obtaining the buy-in from the ASEAN member states on the direction and approaches to developing the report(s).</w:t>
            </w:r>
            <w:r w:rsidDel="00000000" w:rsidR="00000000" w:rsidRPr="00000000">
              <w:rPr>
                <w:i w:val="1"/>
                <w:color w:val="0000ff"/>
                <w:rtl w:val="0"/>
              </w:rPr>
              <w:t xml:space="preserve"> (5) </w:t>
            </w:r>
            <w:r w:rsidDel="00000000" w:rsidR="00000000" w:rsidRPr="00000000">
              <w:rPr>
                <w:rtl w:val="0"/>
              </w:rPr>
            </w:r>
          </w:p>
          <w:p w:rsidR="00000000" w:rsidDel="00000000" w:rsidP="00000000" w:rsidRDefault="00000000" w:rsidRPr="00000000" w14:paraId="00000092">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developing communications materials based on the project deliverables.</w:t>
            </w:r>
            <w:r w:rsidDel="00000000" w:rsidR="00000000" w:rsidRPr="00000000">
              <w:rPr>
                <w:i w:val="1"/>
                <w:color w:val="0000ff"/>
                <w:rtl w:val="0"/>
              </w:rPr>
              <w:t xml:space="preserve"> (3)</w:t>
            </w:r>
            <w:r w:rsidDel="00000000" w:rsidR="00000000" w:rsidRPr="00000000">
              <w:rPr>
                <w:rtl w:val="0"/>
              </w:rPr>
            </w:r>
          </w:p>
          <w:p w:rsidR="00000000" w:rsidDel="00000000" w:rsidP="00000000" w:rsidRDefault="00000000" w:rsidRPr="00000000" w14:paraId="00000093">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linking with the broader APG works, including the other AIMS III Phase 3 studies being carried out in parallel.</w:t>
            </w:r>
            <w:r w:rsidDel="00000000" w:rsidR="00000000" w:rsidRPr="00000000">
              <w:rPr>
                <w:rFonts w:ascii="Open Sans" w:cs="Open Sans" w:eastAsia="Open Sans" w:hAnsi="Open Sans"/>
                <w:b w:val="1"/>
                <w:rtl w:val="0"/>
              </w:rPr>
              <w:t xml:space="preserve"> </w:t>
            </w:r>
            <w:r w:rsidDel="00000000" w:rsidR="00000000" w:rsidRPr="00000000">
              <w:rPr>
                <w:i w:val="1"/>
                <w:color w:val="0000ff"/>
                <w:rtl w:val="0"/>
              </w:rPr>
              <w:t xml:space="preserve">(3)</w:t>
            </w:r>
            <w:r w:rsidDel="00000000" w:rsidR="00000000" w:rsidRPr="00000000">
              <w:rPr>
                <w:rtl w:val="0"/>
              </w:rPr>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D">
            <w:pPr>
              <w:widowControl w:val="0"/>
              <w:spacing w:after="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F">
            <w:pPr>
              <w:widowControl w:val="0"/>
              <w:spacing w:after="200" w:line="276" w:lineRule="auto"/>
              <w:rPr>
                <w:rFonts w:ascii="Open Sans" w:cs="Open Sans" w:eastAsia="Open Sans" w:hAnsi="Open Sans"/>
                <w:sz w:val="18"/>
                <w:szCs w:val="18"/>
              </w:rPr>
            </w:pPr>
            <w:r w:rsidDel="00000000" w:rsidR="00000000" w:rsidRPr="00000000">
              <w:rPr>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(7) </w:t>
            </w: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7</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widowControl w:val="0"/>
              <w:spacing w:after="200"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8">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9">
            <w:pPr>
              <w:widowControl w:val="0"/>
              <w:spacing w:after="200" w:line="276" w:lineRule="auto"/>
              <w:rPr>
                <w:rFonts w:ascii="Open Sans" w:cs="Open Sans" w:eastAsia="Open Sans" w:hAnsi="Open Sans"/>
              </w:rPr>
            </w:pPr>
            <w:r w:rsidDel="00000000" w:rsidR="00000000" w:rsidRPr="00000000">
              <w:rPr>
                <w:i w:val="1"/>
                <w:color w:val="0000ff"/>
                <w:rtl w:val="0"/>
              </w:rPr>
              <w:t xml:space="preserve">Bidder submits a detailed implementation timeline which includes detailed activities to be undertaken during this assignment, and is completed with gantt chart. (3)</w:t>
            </w: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rtl w:val="0"/>
              </w:rPr>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AC">
            <w:pPr>
              <w:rPr>
                <w:i w:val="1"/>
                <w:color w:val="0000ff"/>
              </w:rPr>
            </w:pP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E">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b w:val="1"/>
              </w:rPr>
            </w:pPr>
            <w:r w:rsidDel="00000000" w:rsidR="00000000" w:rsidRPr="00000000">
              <w:rPr>
                <w:b w:val="1"/>
                <w:rtl w:val="0"/>
              </w:rPr>
              <w:t xml:space="preserve">Section 3: Key personnel proposed and Sustainability Criteria  </w:t>
            </w:r>
            <w:r w:rsidDel="00000000" w:rsidR="00000000" w:rsidRPr="00000000">
              <w:rPr>
                <w:b w:val="1"/>
                <w:highlight w:val="yellow"/>
                <w:rtl w:val="0"/>
              </w:rPr>
              <w:t xml:space="preserve">(25 points</w:t>
            </w:r>
            <w:r w:rsidDel="00000000" w:rsidR="00000000" w:rsidRPr="00000000">
              <w:rPr>
                <w:b w:val="1"/>
                <w:rtl w:val="0"/>
              </w:rPr>
              <w:t xml:space="preserve">)</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b w:val="1"/>
              </w:rPr>
            </w:pPr>
            <w:r w:rsidDel="00000000" w:rsidR="00000000" w:rsidRPr="00000000">
              <w:rPr>
                <w:rtl w:val="0"/>
              </w:rPr>
            </w:r>
          </w:p>
          <w:p w:rsidR="00000000" w:rsidDel="00000000" w:rsidP="00000000" w:rsidRDefault="00000000" w:rsidRPr="00000000" w14:paraId="000000B7">
            <w:pPr>
              <w:widowControl w:val="0"/>
              <w:spacing w:line="276" w:lineRule="auto"/>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Team Lead</w:t>
                  </w:r>
                </w:p>
              </w:tc>
              <w:tc>
                <w:tcPr>
                  <w:vAlign w:val="center"/>
                </w:tcPr>
                <w:p w:rsidR="00000000" w:rsidDel="00000000" w:rsidP="00000000" w:rsidRDefault="00000000" w:rsidRPr="00000000" w14:paraId="000000C1">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Transmission and Power Systems Operations Expert</w:t>
                  </w:r>
                </w:p>
              </w:tc>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Power Market Development Expert</w:t>
                  </w:r>
                </w:p>
              </w:tc>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B">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widowControl w:val="0"/>
                    <w:spacing w:after="200" w:line="276" w:lineRule="auto"/>
                    <w:rPr>
                      <w:sz w:val="18"/>
                      <w:szCs w:val="18"/>
                    </w:rPr>
                  </w:pPr>
                  <w:r w:rsidDel="00000000" w:rsidR="00000000" w:rsidRPr="00000000">
                    <w:rPr>
                      <w:rFonts w:ascii="Open Sans" w:cs="Open Sans" w:eastAsia="Open Sans" w:hAnsi="Open Sans"/>
                      <w:sz w:val="16"/>
                      <w:szCs w:val="16"/>
                      <w:rtl w:val="0"/>
                    </w:rPr>
                    <w:t xml:space="preserve">Southeast Asia Legal, Regulatory, and Policy Expert (Power Sector Specific)</w:t>
                  </w: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F">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0">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Additional positions</w:t>
                  </w:r>
                </w:p>
                <w:p w:rsidR="00000000" w:rsidDel="00000000" w:rsidP="00000000" w:rsidRDefault="00000000" w:rsidRPr="00000000" w14:paraId="000000D1">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(if applicable)</w:t>
                  </w:r>
                </w:p>
              </w:tc>
              <w:tc>
                <w:tcPr>
                  <w:vAlign w:val="center"/>
                </w:tcPr>
                <w:p w:rsidR="00000000" w:rsidDel="00000000" w:rsidP="00000000" w:rsidRDefault="00000000" w:rsidRPr="00000000" w14:paraId="000000D2">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3">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5">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6">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7">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8">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9">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A">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B">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E">
            <w:pPr>
              <w:rPr>
                <w:i w:val="1"/>
                <w:color w:val="0000ff"/>
              </w:rPr>
            </w:pPr>
            <w:r w:rsidDel="00000000" w:rsidR="00000000" w:rsidRPr="00000000">
              <w:rPr>
                <w:rtl w:val="0"/>
              </w:rPr>
            </w:r>
          </w:p>
          <w:p w:rsidR="00000000" w:rsidDel="00000000" w:rsidP="00000000" w:rsidRDefault="00000000" w:rsidRPr="00000000" w14:paraId="000000DF">
            <w:pPr>
              <w:rPr>
                <w:i w:val="1"/>
                <w:color w:val="0000ff"/>
                <w:highlight w:val="white"/>
              </w:rPr>
            </w:pPr>
            <w:r w:rsidDel="00000000" w:rsidR="00000000" w:rsidRPr="00000000">
              <w:rPr>
                <w:i w:val="1"/>
                <w:color w:val="0000ff"/>
                <w:highlight w:val="white"/>
                <w:rtl w:val="0"/>
              </w:rPr>
              <w:t xml:space="preserve">1. </w:t>
            </w:r>
            <w:r w:rsidDel="00000000" w:rsidR="00000000" w:rsidRPr="00000000">
              <w:rPr>
                <w:rFonts w:ascii="Open Sans" w:cs="Open Sans" w:eastAsia="Open Sans" w:hAnsi="Open Sans"/>
                <w:sz w:val="16"/>
                <w:szCs w:val="16"/>
                <w:rtl w:val="0"/>
              </w:rPr>
              <w:t xml:space="preserve">Team Lead</w:t>
            </w:r>
            <w:r w:rsidDel="00000000" w:rsidR="00000000" w:rsidRPr="00000000">
              <w:rPr>
                <w:i w:val="1"/>
                <w:color w:val="0000ff"/>
                <w:highlight w:val="white"/>
                <w:rtl w:val="0"/>
              </w:rPr>
              <w:t xml:space="preserve"> (7)</w:t>
            </w:r>
            <w:r w:rsidDel="00000000" w:rsidR="00000000" w:rsidRPr="00000000">
              <w:rPr>
                <w:rtl w:val="0"/>
              </w:rPr>
            </w:r>
          </w:p>
          <w:p w:rsidR="00000000" w:rsidDel="00000000" w:rsidP="00000000" w:rsidRDefault="00000000" w:rsidRPr="00000000" w14:paraId="000000E0">
            <w:pPr>
              <w:rPr>
                <w:i w:val="1"/>
                <w:color w:val="0000ff"/>
                <w:highlight w:val="white"/>
              </w:rPr>
            </w:pPr>
            <w:r w:rsidDel="00000000" w:rsidR="00000000" w:rsidRPr="00000000">
              <w:rPr>
                <w:i w:val="1"/>
                <w:color w:val="0000ff"/>
                <w:highlight w:val="white"/>
                <w:rtl w:val="0"/>
              </w:rPr>
              <w:t xml:space="preserve">2. </w:t>
            </w:r>
            <w:r w:rsidDel="00000000" w:rsidR="00000000" w:rsidRPr="00000000">
              <w:rPr>
                <w:rFonts w:ascii="Open Sans" w:cs="Open Sans" w:eastAsia="Open Sans" w:hAnsi="Open Sans"/>
                <w:sz w:val="16"/>
                <w:szCs w:val="16"/>
                <w:rtl w:val="0"/>
              </w:rPr>
              <w:t xml:space="preserve">Transmission and Power Systems Operations Expert</w:t>
            </w:r>
            <w:r w:rsidDel="00000000" w:rsidR="00000000" w:rsidRPr="00000000">
              <w:rPr>
                <w:i w:val="1"/>
                <w:color w:val="0000ff"/>
                <w:highlight w:val="white"/>
                <w:rtl w:val="0"/>
              </w:rPr>
              <w:t xml:space="preserve">  (5)</w:t>
            </w:r>
          </w:p>
          <w:p w:rsidR="00000000" w:rsidDel="00000000" w:rsidP="00000000" w:rsidRDefault="00000000" w:rsidRPr="00000000" w14:paraId="000000E1">
            <w:pPr>
              <w:rPr>
                <w:i w:val="1"/>
                <w:color w:val="0000ff"/>
                <w:highlight w:val="white"/>
              </w:rPr>
            </w:pPr>
            <w:r w:rsidDel="00000000" w:rsidR="00000000" w:rsidRPr="00000000">
              <w:rPr>
                <w:i w:val="1"/>
                <w:color w:val="0000ff"/>
                <w:highlight w:val="white"/>
                <w:rtl w:val="0"/>
              </w:rPr>
              <w:t xml:space="preserve">3.</w:t>
            </w:r>
            <w:r w:rsidDel="00000000" w:rsidR="00000000" w:rsidRPr="00000000">
              <w:rPr>
                <w:rFonts w:ascii="Open Sans" w:cs="Open Sans" w:eastAsia="Open Sans" w:hAnsi="Open Sans"/>
                <w:sz w:val="16"/>
                <w:szCs w:val="16"/>
                <w:rtl w:val="0"/>
              </w:rPr>
              <w:t xml:space="preserve"> Power Market Development Expert</w:t>
            </w:r>
            <w:r w:rsidDel="00000000" w:rsidR="00000000" w:rsidRPr="00000000">
              <w:rPr>
                <w:i w:val="1"/>
                <w:color w:val="0000ff"/>
                <w:highlight w:val="white"/>
                <w:rtl w:val="0"/>
              </w:rPr>
              <w:t xml:space="preserve"> (5)</w:t>
            </w:r>
          </w:p>
          <w:p w:rsidR="00000000" w:rsidDel="00000000" w:rsidP="00000000" w:rsidRDefault="00000000" w:rsidRPr="00000000" w14:paraId="000000E2">
            <w:pPr>
              <w:rPr>
                <w:rFonts w:ascii="Open Sans" w:cs="Open Sans" w:eastAsia="Open Sans" w:hAnsi="Open Sans"/>
                <w:sz w:val="16"/>
                <w:szCs w:val="16"/>
              </w:rPr>
            </w:pPr>
            <w:r w:rsidDel="00000000" w:rsidR="00000000" w:rsidRPr="00000000">
              <w:rPr>
                <w:i w:val="1"/>
                <w:color w:val="0000ff"/>
                <w:highlight w:val="white"/>
                <w:rtl w:val="0"/>
              </w:rPr>
              <w:t xml:space="preserve">4. </w:t>
            </w:r>
            <w:r w:rsidDel="00000000" w:rsidR="00000000" w:rsidRPr="00000000">
              <w:rPr>
                <w:rFonts w:ascii="Open Sans" w:cs="Open Sans" w:eastAsia="Open Sans" w:hAnsi="Open Sans"/>
                <w:sz w:val="16"/>
                <w:szCs w:val="16"/>
                <w:rtl w:val="0"/>
              </w:rPr>
              <w:t xml:space="preserve">Southeast Asia Legal, Regulatory, and Policy Expert (Power Sector Specific)</w:t>
            </w:r>
            <w:r w:rsidDel="00000000" w:rsidR="00000000" w:rsidRPr="00000000">
              <w:rPr>
                <w:i w:val="1"/>
                <w:color w:val="0000ff"/>
                <w:highlight w:val="white"/>
                <w:rtl w:val="0"/>
              </w:rPr>
              <w:t xml:space="preserve"> (5)</w:t>
            </w:r>
            <w:r w:rsidDel="00000000" w:rsidR="00000000" w:rsidRPr="00000000">
              <w:rPr>
                <w:rtl w:val="0"/>
              </w:rPr>
            </w:r>
          </w:p>
          <w:p w:rsidR="00000000" w:rsidDel="00000000" w:rsidP="00000000" w:rsidRDefault="00000000" w:rsidRPr="00000000" w14:paraId="000000E3">
            <w:pPr>
              <w:rPr>
                <w:i w:val="1"/>
                <w:color w:val="0000ff"/>
                <w:highlight w:val="white"/>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sz w:val="16"/>
                <w:szCs w:val="16"/>
              </w:rPr>
            </w:pPr>
            <w:r w:rsidDel="00000000" w:rsidR="00000000" w:rsidRPr="00000000">
              <w:rPr>
                <w:i w:val="1"/>
                <w:color w:val="0000ff"/>
                <w:rtl w:val="0"/>
              </w:rPr>
              <w:t xml:space="preserve">Total point: 22</w:t>
            </w: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widowControl w:val="0"/>
              <w:spacing w:line="276" w:lineRule="auto"/>
              <w:rPr>
                <w:rFonts w:ascii="Open Sans" w:cs="Open Sans" w:eastAsia="Open Sans" w:hAnsi="Open Sans"/>
                <w:sz w:val="16"/>
                <w:szCs w:val="16"/>
                <w:highlight w:val="yellow"/>
              </w:rPr>
            </w:pPr>
            <w:r w:rsidDel="00000000" w:rsidR="00000000" w:rsidRPr="00000000">
              <w:rPr>
                <w:rFonts w:ascii="Open Sans" w:cs="Open Sans" w:eastAsia="Open Sans" w:hAnsi="Open Sans"/>
                <w:highlight w:val="yellow"/>
                <w:rtl w:val="0"/>
              </w:rPr>
              <w:t xml:space="preserve">The offeror shall provide a clear </w:t>
            </w:r>
            <w:r w:rsidDel="00000000" w:rsidR="00000000" w:rsidRPr="00000000">
              <w:rPr>
                <w:rFonts w:ascii="Roboto" w:cs="Roboto" w:eastAsia="Roboto" w:hAnsi="Roboto"/>
                <w:color w:val="444746"/>
                <w:highlight w:val="yellow"/>
                <w:rtl w:val="0"/>
              </w:rPr>
              <w:t xml:space="preserve">statement, approach, and methodology that demonstrates its commitment to support and mainstreaming gender equality and social inclusion through its operations</w:t>
            </w:r>
            <w:r w:rsidDel="00000000" w:rsidR="00000000" w:rsidRPr="00000000">
              <w:rPr>
                <w:rFonts w:ascii="Open Sans" w:cs="Open Sans" w:eastAsia="Open Sans" w:hAnsi="Open Sans"/>
                <w:sz w:val="16"/>
                <w:szCs w:val="16"/>
                <w:highlight w:val="yellow"/>
                <w:rtl w:val="0"/>
              </w:rPr>
              <w:t xml:space="preserve">.</w:t>
            </w:r>
            <w:r w:rsidDel="00000000" w:rsidR="00000000" w:rsidRPr="00000000">
              <w:rPr>
                <w:rtl w:val="0"/>
              </w:rPr>
            </w:r>
          </w:p>
          <w:p w:rsidR="00000000" w:rsidDel="00000000" w:rsidP="00000000" w:rsidRDefault="00000000" w:rsidRPr="00000000" w14:paraId="000000EB">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ED">
            <w:pPr>
              <w:rPr>
                <w:i w:val="1"/>
                <w:color w:val="0000ff"/>
              </w:rPr>
            </w:pPr>
            <w:r w:rsidDel="00000000" w:rsidR="00000000" w:rsidRPr="00000000">
              <w:rPr>
                <w:rtl w:val="0"/>
              </w:rPr>
            </w:r>
          </w:p>
          <w:p w:rsidR="00000000" w:rsidDel="00000000" w:rsidP="00000000" w:rsidRDefault="00000000" w:rsidRPr="00000000" w14:paraId="000000EE">
            <w:pPr>
              <w:rPr>
                <w:i w:val="1"/>
                <w:color w:val="0000ff"/>
              </w:rPr>
            </w:pPr>
            <w:r w:rsidDel="00000000" w:rsidR="00000000" w:rsidRPr="00000000">
              <w:rPr>
                <w:rFonts w:ascii="Roboto" w:cs="Roboto" w:eastAsia="Roboto" w:hAnsi="Roboto"/>
                <w:color w:val="444746"/>
                <w:rtl w:val="0"/>
              </w:rPr>
              <w:t xml:space="preserve">Demonstrating commitments to mainstreaming gender equality and social inclusion as well as provide a practical plan (or demonstrate experience) for implementing gender mainstreaming (and/or social inclusion) activities during the execution of the contract</w:t>
            </w:r>
            <w:r w:rsidDel="00000000" w:rsidR="00000000" w:rsidRPr="00000000">
              <w:rPr>
                <w:i w:val="1"/>
                <w:color w:val="0000ff"/>
                <w:rtl w:val="0"/>
              </w:rPr>
              <w:t xml:space="preserve">.(3)</w:t>
            </w:r>
          </w:p>
          <w:p w:rsidR="00000000" w:rsidDel="00000000" w:rsidP="00000000" w:rsidRDefault="00000000" w:rsidRPr="00000000" w14:paraId="000000EF">
            <w:pPr>
              <w:rPr>
                <w:i w:val="1"/>
                <w:color w:val="0000ff"/>
              </w:rPr>
            </w:pPr>
            <w:r w:rsidDel="00000000" w:rsidR="00000000" w:rsidRPr="00000000">
              <w:rPr>
                <w:rtl w:val="0"/>
              </w:rPr>
            </w:r>
          </w:p>
          <w:p w:rsidR="00000000" w:rsidDel="00000000" w:rsidP="00000000" w:rsidRDefault="00000000" w:rsidRPr="00000000" w14:paraId="000000F0">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F1">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2">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3">
            <w:pPr>
              <w:widowControl w:val="0"/>
              <w:rPr/>
            </w:pPr>
            <w:r w:rsidDel="00000000" w:rsidR="00000000" w:rsidRPr="00000000">
              <w:rPr>
                <w:rtl w:val="0"/>
              </w:rPr>
            </w:r>
          </w:p>
        </w:tc>
      </w:tr>
    </w:tbl>
    <w:p w:rsidR="00000000" w:rsidDel="00000000" w:rsidP="00000000" w:rsidRDefault="00000000" w:rsidRPr="00000000" w14:paraId="000000F4">
      <w:pPr>
        <w:rPr>
          <w:highlight w:val="lightGray"/>
        </w:rPr>
      </w:pP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8">
      <w:pPr>
        <w:tabs>
          <w:tab w:val="left" w:leader="none" w:pos="720"/>
        </w:tabs>
        <w:rPr>
          <w:color w:val="000000"/>
        </w:rPr>
      </w:pPr>
      <w:r w:rsidDel="00000000" w:rsidR="00000000" w:rsidRPr="00000000">
        <w:rPr>
          <w:rtl w:val="0"/>
        </w:rPr>
      </w:r>
    </w:p>
    <w:p w:rsidR="00000000" w:rsidDel="00000000" w:rsidP="00000000" w:rsidRDefault="00000000" w:rsidRPr="00000000" w14:paraId="000000F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A">
      <w:pPr>
        <w:rPr>
          <w:color w:val="000000"/>
        </w:rPr>
      </w:pPr>
      <w:r w:rsidDel="00000000" w:rsidR="00000000" w:rsidRPr="00000000">
        <w:rPr>
          <w:rtl w:val="0"/>
        </w:rPr>
      </w:r>
    </w:p>
    <w:p w:rsidR="00000000" w:rsidDel="00000000" w:rsidP="00000000" w:rsidRDefault="00000000" w:rsidRPr="00000000" w14:paraId="000000F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C">
      <w:pPr>
        <w:rPr>
          <w:color w:val="000000"/>
        </w:rPr>
      </w:pPr>
      <w:r w:rsidDel="00000000" w:rsidR="00000000" w:rsidRPr="00000000">
        <w:rPr>
          <w:rtl w:val="0"/>
        </w:rPr>
      </w:r>
    </w:p>
    <w:p w:rsidR="00000000" w:rsidDel="00000000" w:rsidP="00000000" w:rsidRDefault="00000000" w:rsidRPr="00000000" w14:paraId="000000F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E">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RFP/2024/52399</w:t>
      </w: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7">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8">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C">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RFP/2024/52399</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5">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6">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7">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B">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0">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1">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r>
      <w:tr>
        <w:trPr>
          <w:cantSplit w:val="0"/>
          <w:tblHeader w:val="0"/>
        </w:trPr>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r>
      <w:tr>
        <w:trPr>
          <w:cantSplit w:val="0"/>
          <w:tblHeader w:val="0"/>
        </w:trPr>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r>
        <w:trPr>
          <w:cantSplit w:val="0"/>
          <w:tblHeader w:val="0"/>
        </w:trPr>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r>
    </w:tbl>
    <w:p w:rsidR="00000000" w:rsidDel="00000000" w:rsidP="00000000" w:rsidRDefault="00000000" w:rsidRPr="00000000" w14:paraId="00000164">
      <w:pPr>
        <w:ind w:left="1598" w:hanging="1598"/>
        <w:jc w:val="both"/>
        <w:rPr/>
      </w:pPr>
      <w:r w:rsidDel="00000000" w:rsidR="00000000" w:rsidRPr="00000000">
        <w:rPr>
          <w:rtl w:val="0"/>
        </w:rPr>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8">
      <w:pPr>
        <w:tabs>
          <w:tab w:val="left" w:leader="none" w:pos="720"/>
        </w:tabs>
        <w:rPr>
          <w:color w:val="000000"/>
        </w:rPr>
      </w:pPr>
      <w:r w:rsidDel="00000000" w:rsidR="00000000" w:rsidRPr="00000000">
        <w:rPr>
          <w:rtl w:val="0"/>
        </w:rPr>
      </w:r>
    </w:p>
    <w:p w:rsidR="00000000" w:rsidDel="00000000" w:rsidP="00000000" w:rsidRDefault="00000000" w:rsidRPr="00000000" w14:paraId="0000016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A">
      <w:pPr>
        <w:rPr>
          <w:color w:val="000000"/>
        </w:rPr>
      </w:pPr>
      <w:r w:rsidDel="00000000" w:rsidR="00000000" w:rsidRPr="00000000">
        <w:rPr>
          <w:rtl w:val="0"/>
        </w:rPr>
      </w:r>
    </w:p>
    <w:p w:rsidR="00000000" w:rsidDel="00000000" w:rsidP="00000000" w:rsidRDefault="00000000" w:rsidRPr="00000000" w14:paraId="0000016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C">
      <w:pPr>
        <w:rPr>
          <w:color w:val="000000"/>
        </w:rPr>
      </w:pPr>
      <w:r w:rsidDel="00000000" w:rsidR="00000000" w:rsidRPr="00000000">
        <w:rPr>
          <w:rtl w:val="0"/>
        </w:rPr>
      </w:r>
    </w:p>
    <w:p w:rsidR="00000000" w:rsidDel="00000000" w:rsidP="00000000" w:rsidRDefault="00000000" w:rsidRPr="00000000" w14:paraId="0000016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E">
      <w:pPr>
        <w:rPr>
          <w:sz w:val="22"/>
          <w:szCs w:val="22"/>
        </w:rPr>
      </w:pPr>
      <w:r w:rsidDel="00000000" w:rsidR="00000000" w:rsidRPr="00000000">
        <w:rPr>
          <w:rtl w:val="0"/>
        </w:rPr>
      </w:r>
    </w:p>
    <w:p w:rsidR="00000000" w:rsidDel="00000000" w:rsidP="00000000" w:rsidRDefault="00000000" w:rsidRPr="00000000" w14:paraId="0000016F">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5">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8">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4464</wp:posOffset>
                </wp:positionH>
                <wp:positionV relativeFrom="paragraph">
                  <wp:posOffset>-79360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1zVgQ9kgXiYqT4lyr8VBdF150Q==">CgMxLjAyDmguYnEzbW1nMmlsZ3VkMg5oLndqMzBjdnN6OTdiMTIOaC5yeWp3M3N2cWs4N2EyDmguZGo1N3p4azJoajBtOABqLwoUc3VnZ2VzdC43a25vN3JjbWd1YjASF0l2YW5hIEdPQkVMSklDIE5PVktPVklDai8KFHN1Z2dlc3QuZnc1aWsyMmdkdzV0EhdJdmFuYSBHT0JFTEpJQyBOT1ZLT1ZJQ3IhMVNudXR2bkdadHZrZVJ1Rnd0Y3Zma3pKZTg3UHJBbFhG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