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Request for Proposal (RFP) - Transition to End Coal (TRANSCEND) - Financial Advisory Services for the Early Retirement of a Coal-Fired Power Plan (CFPP)</w:t>
      </w:r>
    </w:p>
    <w:p w:rsidR="00000000" w:rsidDel="00000000" w:rsidP="00000000" w:rsidRDefault="00000000" w:rsidRPr="00000000" w14:paraId="00000004">
      <w:pPr>
        <w:spacing w:after="200" w:line="276" w:lineRule="auto"/>
        <w:rPr>
          <w:b w:val="1"/>
          <w:sz w:val="24"/>
          <w:szCs w:val="24"/>
        </w:rPr>
      </w:pPr>
      <w:bookmarkStart w:colFirst="0" w:colLast="0" w:name="_heading=h.nhrcx5ikc9a6" w:id="2"/>
      <w:bookmarkEnd w:id="2"/>
      <w:r w:rsidDel="00000000" w:rsidR="00000000" w:rsidRPr="00000000">
        <w:rPr>
          <w:rtl w:val="0"/>
        </w:rPr>
      </w:r>
    </w:p>
    <w:p w:rsidR="00000000" w:rsidDel="00000000" w:rsidP="00000000" w:rsidRDefault="00000000" w:rsidRPr="00000000" w14:paraId="00000005">
      <w:pPr>
        <w:spacing w:after="200" w:line="276" w:lineRule="auto"/>
        <w:rPr>
          <w:b w:val="1"/>
          <w:sz w:val="24"/>
          <w:szCs w:val="24"/>
        </w:rPr>
      </w:pPr>
      <w:bookmarkStart w:colFirst="0" w:colLast="0" w:name="_heading=h.ryjw3svqk87a" w:id="3"/>
      <w:bookmarkEnd w:id="3"/>
      <w:r w:rsidDel="00000000" w:rsidR="00000000" w:rsidRPr="00000000">
        <w:rPr>
          <w:b w:val="1"/>
          <w:rtl w:val="0"/>
        </w:rPr>
        <w:t xml:space="preserve">eSourcing reference: RFP/2024/52418</w:t>
      </w: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4"/>
      <w:bookmarkEnd w:id="4"/>
      <w:r w:rsidDel="00000000" w:rsidR="00000000" w:rsidRPr="00000000">
        <w:rPr>
          <w:rtl w:val="0"/>
        </w:rPr>
      </w:r>
    </w:p>
    <w:p w:rsidR="00000000" w:rsidDel="00000000" w:rsidP="00000000" w:rsidRDefault="00000000" w:rsidRPr="00000000" w14:paraId="00000007">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B">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C">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D">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E">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F">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1">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2">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3">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4">
      <w:pPr>
        <w:ind w:left="720" w:hanging="720"/>
        <w:rPr/>
      </w:pP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RFP/2024/52418</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0"/>
          <w:smallCaps w:val="0"/>
          <w:strike w:val="0"/>
          <w:color w:val="ff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i w:val="0"/>
          <w:smallCaps w:val="0"/>
          <w:strike w:val="0"/>
          <w:color w:val="ff0000"/>
          <w:sz w:val="20"/>
          <w:szCs w:val="20"/>
          <w:u w:val="none"/>
          <w:shd w:fill="auto" w:val="clear"/>
          <w:vertAlign w:val="baseline"/>
          <w:rtl w:val="0"/>
        </w:rPr>
        <w:t xml:space="preserve">if the Proposal is submitted as a Joint Venture / Consortium / Association.</w:t>
      </w:r>
    </w:p>
    <w:p w:rsidR="00000000" w:rsidDel="00000000" w:rsidP="00000000" w:rsidRDefault="00000000" w:rsidRPr="00000000" w14:paraId="0000001A">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B">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D">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E">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F">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20">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1">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2">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4">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5">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6">
      <w:pPr>
        <w:spacing w:line="240" w:lineRule="auto"/>
        <w:jc w:val="both"/>
        <w:rPr/>
      </w:pPr>
      <w:r w:rsidDel="00000000" w:rsidR="00000000" w:rsidRPr="00000000">
        <w:rPr>
          <w:rtl w:val="0"/>
        </w:rPr>
      </w:r>
    </w:p>
    <w:p w:rsidR="00000000" w:rsidDel="00000000" w:rsidP="00000000" w:rsidRDefault="00000000" w:rsidRPr="00000000" w14:paraId="00000027">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8">
      <w:pPr>
        <w:spacing w:line="240" w:lineRule="auto"/>
        <w:jc w:val="both"/>
        <w:rPr/>
      </w:pPr>
      <w:r w:rsidDel="00000000" w:rsidR="00000000" w:rsidRPr="00000000">
        <w:rPr>
          <w:rtl w:val="0"/>
        </w:rPr>
      </w:r>
    </w:p>
    <w:p w:rsidR="00000000" w:rsidDel="00000000" w:rsidP="00000000" w:rsidRDefault="00000000" w:rsidRPr="00000000" w14:paraId="00000029">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r>
    </w:p>
    <w:p w:rsidR="00000000" w:rsidDel="00000000" w:rsidP="00000000" w:rsidRDefault="00000000" w:rsidRPr="00000000" w14:paraId="0000002C">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D">
      <w:pPr>
        <w:spacing w:line="240" w:lineRule="auto"/>
        <w:jc w:val="both"/>
        <w:rPr/>
      </w:pPr>
      <w:r w:rsidDel="00000000" w:rsidR="00000000" w:rsidRPr="00000000">
        <w:rPr>
          <w:rtl w:val="0"/>
        </w:rPr>
      </w:r>
    </w:p>
    <w:p w:rsidR="00000000" w:rsidDel="00000000" w:rsidP="00000000" w:rsidRDefault="00000000" w:rsidRPr="00000000" w14:paraId="0000002E">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F">
      <w:pPr>
        <w:spacing w:line="240" w:lineRule="auto"/>
        <w:jc w:val="both"/>
        <w:rPr/>
      </w:pPr>
      <w:r w:rsidDel="00000000" w:rsidR="00000000" w:rsidRPr="00000000">
        <w:rPr>
          <w:rtl w:val="0"/>
        </w:rPr>
      </w:r>
    </w:p>
    <w:p w:rsidR="00000000" w:rsidDel="00000000" w:rsidP="00000000" w:rsidRDefault="00000000" w:rsidRPr="00000000" w14:paraId="00000030">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r>
    </w:p>
    <w:p w:rsidR="00000000" w:rsidDel="00000000" w:rsidP="00000000" w:rsidRDefault="00000000" w:rsidRPr="00000000" w14:paraId="00000034">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5">
      <w:pPr>
        <w:spacing w:line="240" w:lineRule="auto"/>
        <w:jc w:val="both"/>
        <w:rPr/>
      </w:pPr>
      <w:r w:rsidDel="00000000" w:rsidR="00000000" w:rsidRPr="00000000">
        <w:rPr>
          <w:rtl w:val="0"/>
        </w:rPr>
      </w:r>
    </w:p>
    <w:p w:rsidR="00000000" w:rsidDel="00000000" w:rsidP="00000000" w:rsidRDefault="00000000" w:rsidRPr="00000000" w14:paraId="00000036">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7">
      <w:pPr>
        <w:spacing w:line="240" w:lineRule="auto"/>
        <w:jc w:val="both"/>
        <w:rPr/>
      </w:pPr>
      <w:r w:rsidDel="00000000" w:rsidR="00000000" w:rsidRPr="00000000">
        <w:rPr>
          <w:rtl w:val="0"/>
        </w:rPr>
      </w:r>
    </w:p>
    <w:p w:rsidR="00000000" w:rsidDel="00000000" w:rsidP="00000000" w:rsidRDefault="00000000" w:rsidRPr="00000000" w14:paraId="00000038">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9">
      <w:pPr>
        <w:rPr>
          <w:rFonts w:ascii="Cambria" w:cs="Cambria" w:eastAsia="Cambria" w:hAnsi="Cambria"/>
        </w:rPr>
      </w:pPr>
      <w:r w:rsidDel="00000000" w:rsidR="00000000" w:rsidRPr="00000000">
        <w:rPr>
          <w:rtl w:val="0"/>
        </w:rPr>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B">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C">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rtl w:val="0"/>
        </w:rPr>
        <w:t xml:space="preserve">RFP/2024/52418</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2">
      <w:pPr>
        <w:jc w:val="both"/>
        <w:rPr>
          <w:b w:val="1"/>
          <w:i w:val="0"/>
        </w:rPr>
      </w:pPr>
      <w:r w:rsidDel="00000000" w:rsidR="00000000" w:rsidRPr="00000000">
        <w:rPr>
          <w:rtl w:val="0"/>
        </w:rPr>
      </w:r>
    </w:p>
    <w:p w:rsidR="00000000" w:rsidDel="00000000" w:rsidP="00000000" w:rsidRDefault="00000000" w:rsidRPr="00000000" w14:paraId="00000043">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4">
      <w:pPr>
        <w:jc w:val="both"/>
        <w:rPr>
          <w:b w:val="1"/>
          <w:i w:val="0"/>
        </w:rPr>
      </w:pPr>
      <w:r w:rsidDel="00000000" w:rsidR="00000000" w:rsidRPr="00000000">
        <w:rPr>
          <w:rtl w:val="0"/>
        </w:rPr>
      </w:r>
    </w:p>
    <w:p w:rsidR="00000000" w:rsidDel="00000000" w:rsidP="00000000" w:rsidRDefault="00000000" w:rsidRPr="00000000" w14:paraId="00000045">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6">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7">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highlight w:val="cyan"/>
          <w:rtl w:val="0"/>
        </w:rPr>
        <w:t xml:space="preserve">120 days</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8">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9">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A">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B">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C">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D">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E">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F">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2">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3">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4">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5">
      <w:pPr>
        <w:rPr>
          <w:color w:val="000000"/>
          <w:sz w:val="6"/>
          <w:szCs w:val="6"/>
        </w:rPr>
      </w:pPr>
      <w:r w:rsidDel="00000000" w:rsidR="00000000" w:rsidRPr="00000000">
        <w:rPr>
          <w:rtl w:val="0"/>
        </w:rPr>
      </w:r>
    </w:p>
    <w:p w:rsidR="00000000" w:rsidDel="00000000" w:rsidP="00000000" w:rsidRDefault="00000000" w:rsidRPr="00000000" w14:paraId="00000056">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7">
      <w:pPr>
        <w:rPr>
          <w:color w:val="000000"/>
          <w:sz w:val="6"/>
          <w:szCs w:val="6"/>
        </w:rPr>
      </w:pPr>
      <w:r w:rsidDel="00000000" w:rsidR="00000000" w:rsidRPr="00000000">
        <w:rPr>
          <w:rtl w:val="0"/>
        </w:rPr>
      </w:r>
    </w:p>
    <w:p w:rsidR="00000000" w:rsidDel="00000000" w:rsidP="00000000" w:rsidRDefault="00000000" w:rsidRPr="00000000" w14:paraId="00000058">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9">
      <w:pPr>
        <w:rPr>
          <w:color w:val="000000"/>
        </w:rPr>
      </w:pPr>
      <w:r w:rsidDel="00000000" w:rsidR="00000000" w:rsidRPr="00000000">
        <w:rPr>
          <w:rtl w:val="0"/>
        </w:rPr>
      </w:r>
    </w:p>
    <w:p w:rsidR="00000000" w:rsidDel="00000000" w:rsidP="00000000" w:rsidRDefault="00000000" w:rsidRPr="00000000" w14:paraId="0000005A">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B">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C">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RFP/2024/52418</w:t>
      </w:r>
      <w:r w:rsidDel="00000000" w:rsidR="00000000" w:rsidRPr="00000000">
        <w:rPr>
          <w:rtl w:val="0"/>
        </w:rPr>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rPr/>
      </w:pPr>
      <w:r w:rsidDel="00000000" w:rsidR="00000000" w:rsidRPr="00000000">
        <w:rPr>
          <w:rtl w:val="0"/>
        </w:rPr>
      </w:r>
    </w:p>
    <w:tbl>
      <w:tblPr>
        <w:tblStyle w:val="Table2"/>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6">
            <w:pPr>
              <w:rPr>
                <w:b w:val="1"/>
              </w:rPr>
            </w:pPr>
            <w:r w:rsidDel="00000000" w:rsidR="00000000" w:rsidRPr="00000000">
              <w:rPr>
                <w:b w:val="1"/>
                <w:rtl w:val="0"/>
              </w:rPr>
              <w:t xml:space="preserve">Section 1: Offeror’s qualification, capacity, and expertise </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9">
            <w:pPr>
              <w:spacing w:line="276" w:lineRule="auto"/>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6A">
            <w:pPr>
              <w:spacing w:after="200" w:before="200"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Brief description of the organization, including the year and country of incorporation, and types of activities undertaken, including relevance of specialized knowledge and experience on similar engagements done in the past. Bidders partnering up with an entity based in the Philippines or local experts to provide for the strategic consultation, and local context is considered a valuable asset.</w:t>
            </w:r>
          </w:p>
          <w:p w:rsidR="00000000" w:rsidDel="00000000" w:rsidP="00000000" w:rsidRDefault="00000000" w:rsidRPr="00000000" w14:paraId="0000006B">
            <w:pPr>
              <w:spacing w:after="200" w:before="200"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(Max 4 pages written text plus 1 Matrix )</w:t>
            </w:r>
            <w:r w:rsidDel="00000000" w:rsidR="00000000" w:rsidRPr="00000000">
              <w:rPr>
                <w:rtl w:val="0"/>
              </w:rPr>
            </w:r>
          </w:p>
          <w:p w:rsidR="00000000" w:rsidDel="00000000" w:rsidP="00000000" w:rsidRDefault="00000000" w:rsidRPr="00000000" w14:paraId="0000006C">
            <w:pPr>
              <w:spacing w:line="276"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6D">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6E">
            <w:pPr>
              <w:rPr>
                <w:i w:val="1"/>
                <w:color w:val="0000ff"/>
              </w:rPr>
            </w:pPr>
            <w:r w:rsidDel="00000000" w:rsidR="00000000" w:rsidRPr="00000000">
              <w:rPr>
                <w:rtl w:val="0"/>
              </w:rPr>
            </w:r>
          </w:p>
          <w:p w:rsidR="00000000" w:rsidDel="00000000" w:rsidP="00000000" w:rsidRDefault="00000000" w:rsidRPr="00000000" w14:paraId="0000006F">
            <w:pPr>
              <w:numPr>
                <w:ilvl w:val="0"/>
                <w:numId w:val="4"/>
              </w:numPr>
              <w:spacing w:after="0" w:afterAutospacing="0"/>
              <w:ind w:left="720" w:hanging="360"/>
              <w:rPr>
                <w:i w:val="1"/>
                <w:color w:val="0000ff"/>
                <w:u w:val="none"/>
              </w:rPr>
            </w:pPr>
            <w:r w:rsidDel="00000000" w:rsidR="00000000" w:rsidRPr="00000000">
              <w:rPr>
                <w:rFonts w:ascii="Open Sans" w:cs="Open Sans" w:eastAsia="Open Sans" w:hAnsi="Open Sans"/>
                <w:highlight w:val="white"/>
                <w:rtl w:val="0"/>
              </w:rPr>
              <w:t xml:space="preserve">Experience in projects of comparable size, type, complexity, and technical specialty refinancing (5pts), transition deals (5pts), deals in the Philippines power sector (5pts).</w:t>
            </w:r>
            <w:r w:rsidDel="00000000" w:rsidR="00000000" w:rsidRPr="00000000">
              <w:rPr>
                <w:rFonts w:ascii="Open Sans" w:cs="Open Sans" w:eastAsia="Open Sans" w:hAnsi="Open Sans"/>
                <w:sz w:val="18"/>
                <w:szCs w:val="18"/>
                <w:rtl w:val="0"/>
              </w:rPr>
              <w:t xml:space="preserve"> </w:t>
            </w:r>
            <w:r w:rsidDel="00000000" w:rsidR="00000000" w:rsidRPr="00000000">
              <w:rPr>
                <w:i w:val="1"/>
                <w:color w:val="0000ff"/>
                <w:rtl w:val="0"/>
              </w:rPr>
              <w:t xml:space="preserve"> (15)</w:t>
            </w:r>
            <w:r w:rsidDel="00000000" w:rsidR="00000000" w:rsidRPr="00000000">
              <w:rPr>
                <w:rtl w:val="0"/>
              </w:rPr>
            </w:r>
          </w:p>
          <w:p w:rsidR="00000000" w:rsidDel="00000000" w:rsidP="00000000" w:rsidRDefault="00000000" w:rsidRPr="00000000" w14:paraId="00000070">
            <w:pPr>
              <w:numPr>
                <w:ilvl w:val="0"/>
                <w:numId w:val="4"/>
              </w:numPr>
              <w:spacing w:after="240" w:before="0" w:beforeAutospacing="0" w:lineRule="auto"/>
              <w:ind w:left="720" w:hanging="360"/>
              <w:rPr>
                <w:i w:val="1"/>
                <w:color w:val="0000ff"/>
              </w:rPr>
            </w:pPr>
            <w:r w:rsidDel="00000000" w:rsidR="00000000" w:rsidRPr="00000000">
              <w:rPr>
                <w:rFonts w:ascii="Open Sans" w:cs="Open Sans" w:eastAsia="Open Sans" w:hAnsi="Open Sans"/>
                <w:highlight w:val="white"/>
                <w:rtl w:val="0"/>
              </w:rPr>
              <w:t xml:space="preserve">Understanding of local context, having an in-country office and staff or partnering up with a Philippines-based entity (6 pts) or having Filipino experts to provide for the strategic consultation and insights (6pts) </w:t>
            </w:r>
            <w:r w:rsidDel="00000000" w:rsidR="00000000" w:rsidRPr="00000000">
              <w:rPr>
                <w:i w:val="1"/>
                <w:color w:val="0000ff"/>
                <w:rtl w:val="0"/>
              </w:rPr>
              <w:t xml:space="preserve">(12)</w:t>
            </w:r>
            <w:r w:rsidDel="00000000" w:rsidR="00000000" w:rsidRPr="00000000">
              <w:rPr>
                <w:rtl w:val="0"/>
              </w:rPr>
            </w:r>
          </w:p>
          <w:p w:rsidR="00000000" w:rsidDel="00000000" w:rsidP="00000000" w:rsidRDefault="00000000" w:rsidRPr="00000000" w14:paraId="00000071">
            <w:pPr>
              <w:rPr>
                <w:i w:val="1"/>
                <w:color w:val="0000ff"/>
              </w:rPr>
            </w:pPr>
            <w:r w:rsidDel="00000000" w:rsidR="00000000" w:rsidRPr="00000000">
              <w:rPr>
                <w:i w:val="1"/>
                <w:color w:val="0000ff"/>
                <w:rtl w:val="0"/>
              </w:rPr>
              <w:t xml:space="preserve">Total Point 27</w:t>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rPr>
                <w:highlight w:val="cyan"/>
              </w:rPr>
            </w:pPr>
            <w:r w:rsidDel="00000000" w:rsidR="00000000" w:rsidRPr="00000000">
              <w:rPr>
                <w:highlight w:val="cyan"/>
                <w:rtl w:val="0"/>
              </w:rPr>
              <w:t xml:space="preserve">[Insert response here]</w:t>
            </w:r>
          </w:p>
          <w:p w:rsidR="00000000" w:rsidDel="00000000" w:rsidP="00000000" w:rsidRDefault="00000000" w:rsidRPr="00000000" w14:paraId="00000074">
            <w:pPr>
              <w:rPr>
                <w:highlight w:val="cyan"/>
              </w:rPr>
            </w:pPr>
            <w:r w:rsidDel="00000000" w:rsidR="00000000" w:rsidRPr="00000000">
              <w:rPr>
                <w:rtl w:val="0"/>
              </w:rPr>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7">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8">
            <w:pPr>
              <w:widowControl w:val="0"/>
              <w:spacing w:after="200"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General organisational capability which is likely to affect implementation: management structure, and project management controls.</w:t>
            </w:r>
          </w:p>
          <w:p w:rsidR="00000000" w:rsidDel="00000000" w:rsidP="00000000" w:rsidRDefault="00000000" w:rsidRPr="00000000" w14:paraId="00000079">
            <w:pPr>
              <w:spacing w:line="276" w:lineRule="auto"/>
              <w:jc w:val="both"/>
              <w:rPr>
                <w:rFonts w:ascii="Open Sans" w:cs="Open Sans" w:eastAsia="Open Sans" w:hAnsi="Open Sans"/>
              </w:rPr>
            </w:pPr>
            <w:r w:rsidDel="00000000" w:rsidR="00000000" w:rsidRPr="00000000">
              <w:rPr>
                <w:rFonts w:ascii="Open Sans" w:cs="Open Sans" w:eastAsia="Open Sans" w:hAnsi="Open Sans"/>
                <w:sz w:val="18"/>
                <w:szCs w:val="18"/>
                <w:rtl w:val="0"/>
              </w:rPr>
              <w:t xml:space="preserve">(Max 4 pages written text)</w:t>
            </w:r>
            <w:r w:rsidDel="00000000" w:rsidR="00000000" w:rsidRPr="00000000">
              <w:rPr>
                <w:rtl w:val="0"/>
              </w:rPr>
            </w:r>
          </w:p>
          <w:p w:rsidR="00000000" w:rsidDel="00000000" w:rsidP="00000000" w:rsidRDefault="00000000" w:rsidRPr="00000000" w14:paraId="0000007A">
            <w:pPr>
              <w:rPr>
                <w:i w:val="1"/>
                <w:color w:val="0000ff"/>
              </w:rPr>
            </w:pPr>
            <w:r w:rsidDel="00000000" w:rsidR="00000000" w:rsidRPr="00000000">
              <w:rPr>
                <w:rtl w:val="0"/>
              </w:rPr>
            </w:r>
          </w:p>
          <w:p w:rsidR="00000000" w:rsidDel="00000000" w:rsidP="00000000" w:rsidRDefault="00000000" w:rsidRPr="00000000" w14:paraId="0000007B">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C">
            <w:pPr>
              <w:rPr>
                <w:i w:val="1"/>
                <w:color w:val="0000ff"/>
              </w:rPr>
            </w:pPr>
            <w:r w:rsidDel="00000000" w:rsidR="00000000" w:rsidRPr="00000000">
              <w:rPr>
                <w:rtl w:val="0"/>
              </w:rPr>
            </w:r>
          </w:p>
          <w:p w:rsidR="00000000" w:rsidDel="00000000" w:rsidP="00000000" w:rsidRDefault="00000000" w:rsidRPr="00000000" w14:paraId="0000007D">
            <w:pPr>
              <w:ind w:left="0" w:firstLine="0"/>
              <w:rPr>
                <w:i w:val="1"/>
                <w:color w:val="0000ff"/>
              </w:rPr>
            </w:pPr>
            <w:r w:rsidDel="00000000" w:rsidR="00000000" w:rsidRPr="00000000">
              <w:rPr>
                <w:i w:val="1"/>
                <w:color w:val="0000ff"/>
                <w:rtl w:val="0"/>
              </w:rPr>
              <w:t xml:space="preserve">Management structure, management controls, and the extent to which any part would be subcontracted (3)</w:t>
            </w:r>
          </w:p>
          <w:p w:rsidR="00000000" w:rsidDel="00000000" w:rsidP="00000000" w:rsidRDefault="00000000" w:rsidRPr="00000000" w14:paraId="0000007E">
            <w:pPr>
              <w:rPr>
                <w:i w:val="1"/>
                <w:color w:val="0000ff"/>
              </w:rPr>
            </w:pPr>
            <w:r w:rsidDel="00000000" w:rsidR="00000000" w:rsidRPr="00000000">
              <w:rPr>
                <w:rtl w:val="0"/>
              </w:rPr>
            </w:r>
          </w:p>
          <w:p w:rsidR="00000000" w:rsidDel="00000000" w:rsidP="00000000" w:rsidRDefault="00000000" w:rsidRPr="00000000" w14:paraId="0000007F">
            <w:pPr>
              <w:rPr>
                <w:i w:val="1"/>
                <w:color w:val="0000ff"/>
              </w:rPr>
            </w:pPr>
            <w:r w:rsidDel="00000000" w:rsidR="00000000" w:rsidRPr="00000000">
              <w:rPr>
                <w:i w:val="1"/>
                <w:color w:val="0000ff"/>
                <w:rtl w:val="0"/>
              </w:rPr>
              <w:t xml:space="preserve">Total Point 3</w:t>
            </w:r>
          </w:p>
          <w:p w:rsidR="00000000" w:rsidDel="00000000" w:rsidP="00000000" w:rsidRDefault="00000000" w:rsidRPr="00000000" w14:paraId="00000080">
            <w:pPr>
              <w:rPr/>
            </w:pPr>
            <w:r w:rsidDel="00000000" w:rsidR="00000000" w:rsidRPr="00000000">
              <w:rPr>
                <w:rtl w:val="0"/>
              </w:rPr>
            </w:r>
          </w:p>
          <w:p w:rsidR="00000000" w:rsidDel="00000000" w:rsidP="00000000" w:rsidRDefault="00000000" w:rsidRPr="00000000" w14:paraId="00000081">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highlight w:val="magenta"/>
              </w:rPr>
            </w:pPr>
            <w:r w:rsidDel="00000000" w:rsidR="00000000" w:rsidRPr="00000000">
              <w:rPr>
                <w:rtl w:val="0"/>
              </w:rPr>
            </w:r>
          </w:p>
        </w:tc>
      </w:tr>
    </w:tbl>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pPr>
      <w:r w:rsidDel="00000000" w:rsidR="00000000" w:rsidRPr="00000000">
        <w:rPr>
          <w:rtl w:val="0"/>
        </w:rPr>
      </w:r>
    </w:p>
    <w:tbl>
      <w:tblPr>
        <w:tblStyle w:val="Table3"/>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6">
            <w:pPr>
              <w:rPr>
                <w:b w:val="1"/>
              </w:rPr>
            </w:pPr>
            <w:r w:rsidDel="00000000" w:rsidR="00000000" w:rsidRPr="00000000">
              <w:rPr>
                <w:b w:val="1"/>
                <w:rtl w:val="0"/>
              </w:rPr>
              <w:t xml:space="preserve">Section 2: Proposed Methodology, Approach and Implementation Plan </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8">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9">
            <w:pPr>
              <w:widowControl w:val="0"/>
              <w:spacing w:after="200" w:before="200"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Description of the Offeror’s approach and methodology for meeting or exceeding the requirements of the Terms of Reference</w:t>
            </w:r>
            <w:r w:rsidDel="00000000" w:rsidR="00000000" w:rsidRPr="00000000">
              <w:rPr>
                <w:rtl w:val="0"/>
              </w:rPr>
            </w:r>
          </w:p>
          <w:p w:rsidR="00000000" w:rsidDel="00000000" w:rsidP="00000000" w:rsidRDefault="00000000" w:rsidRPr="00000000" w14:paraId="0000008A">
            <w:pPr>
              <w:rPr>
                <w:i w:val="1"/>
                <w:color w:val="0000ff"/>
              </w:rPr>
            </w:pPr>
            <w:r w:rsidDel="00000000" w:rsidR="00000000" w:rsidRPr="00000000">
              <w:rPr>
                <w:rtl w:val="0"/>
              </w:rPr>
            </w:r>
          </w:p>
          <w:p w:rsidR="00000000" w:rsidDel="00000000" w:rsidP="00000000" w:rsidRDefault="00000000" w:rsidRPr="00000000" w14:paraId="0000008B">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8C">
            <w:pPr>
              <w:rPr>
                <w:i w:val="1"/>
                <w:color w:val="0000ff"/>
              </w:rPr>
            </w:pPr>
            <w:r w:rsidDel="00000000" w:rsidR="00000000" w:rsidRPr="00000000">
              <w:rPr>
                <w:rtl w:val="0"/>
              </w:rPr>
            </w:r>
          </w:p>
          <w:p w:rsidR="00000000" w:rsidDel="00000000" w:rsidP="00000000" w:rsidRDefault="00000000" w:rsidRPr="00000000" w14:paraId="0000008D">
            <w:pPr>
              <w:numPr>
                <w:ilvl w:val="0"/>
                <w:numId w:val="1"/>
              </w:numPr>
              <w:ind w:left="720" w:hanging="360"/>
              <w:rPr>
                <w:i w:val="1"/>
                <w:color w:val="0000ff"/>
                <w:u w:val="none"/>
              </w:rPr>
            </w:pPr>
            <w:r w:rsidDel="00000000" w:rsidR="00000000" w:rsidRPr="00000000">
              <w:rPr>
                <w:rFonts w:ascii="Open Sans" w:cs="Open Sans" w:eastAsia="Open Sans" w:hAnsi="Open Sans"/>
                <w:highlight w:val="white"/>
                <w:rtl w:val="0"/>
              </w:rPr>
              <w:t xml:space="preserve">Description of the offeror’s approach to strategize and facilitate the successful refinancing of a CFPP</w:t>
            </w:r>
            <w:r w:rsidDel="00000000" w:rsidR="00000000" w:rsidRPr="00000000">
              <w:rPr>
                <w:i w:val="1"/>
                <w:color w:val="0000ff"/>
                <w:rtl w:val="0"/>
              </w:rPr>
              <w:t xml:space="preserve"> (9)</w:t>
            </w:r>
            <w:r w:rsidDel="00000000" w:rsidR="00000000" w:rsidRPr="00000000">
              <w:rPr>
                <w:rtl w:val="0"/>
              </w:rPr>
            </w:r>
          </w:p>
          <w:p w:rsidR="00000000" w:rsidDel="00000000" w:rsidP="00000000" w:rsidRDefault="00000000" w:rsidRPr="00000000" w14:paraId="0000008E">
            <w:pPr>
              <w:numPr>
                <w:ilvl w:val="0"/>
                <w:numId w:val="1"/>
              </w:numPr>
              <w:ind w:left="720" w:hanging="360"/>
              <w:rPr>
                <w:i w:val="1"/>
                <w:color w:val="0000ff"/>
                <w:u w:val="none"/>
              </w:rPr>
            </w:pPr>
            <w:r w:rsidDel="00000000" w:rsidR="00000000" w:rsidRPr="00000000">
              <w:rPr>
                <w:rFonts w:ascii="Open Sans" w:cs="Open Sans" w:eastAsia="Open Sans" w:hAnsi="Open Sans"/>
                <w:highlight w:val="white"/>
                <w:rtl w:val="0"/>
              </w:rPr>
              <w:t xml:space="preserve">Description of the offeror’s approach to identify and engage with potential investors or refinancing parties.</w:t>
            </w:r>
            <w:r w:rsidDel="00000000" w:rsidR="00000000" w:rsidRPr="00000000">
              <w:rPr>
                <w:rFonts w:ascii="Open Sans" w:cs="Open Sans" w:eastAsia="Open Sans" w:hAnsi="Open Sans"/>
                <w:rtl w:val="0"/>
              </w:rPr>
              <w:t xml:space="preserve">. </w:t>
            </w:r>
            <w:r w:rsidDel="00000000" w:rsidR="00000000" w:rsidRPr="00000000">
              <w:rPr>
                <w:i w:val="1"/>
                <w:color w:val="0000ff"/>
                <w:rtl w:val="0"/>
              </w:rPr>
              <w:t xml:space="preserve">(9)</w:t>
            </w:r>
          </w:p>
          <w:p w:rsidR="00000000" w:rsidDel="00000000" w:rsidP="00000000" w:rsidRDefault="00000000" w:rsidRPr="00000000" w14:paraId="0000008F">
            <w:pPr>
              <w:ind w:left="720" w:firstLine="0"/>
              <w:rPr>
                <w:i w:val="1"/>
                <w:color w:val="0000ff"/>
              </w:rPr>
            </w:pPr>
            <w:r w:rsidDel="00000000" w:rsidR="00000000" w:rsidRPr="00000000">
              <w:rPr>
                <w:rtl w:val="0"/>
              </w:rPr>
            </w:r>
          </w:p>
          <w:p w:rsidR="00000000" w:rsidDel="00000000" w:rsidP="00000000" w:rsidRDefault="00000000" w:rsidRPr="00000000" w14:paraId="00000090">
            <w:pPr>
              <w:rPr>
                <w:i w:val="1"/>
                <w:color w:val="0000ff"/>
              </w:rPr>
            </w:pPr>
            <w:r w:rsidDel="00000000" w:rsidR="00000000" w:rsidRPr="00000000">
              <w:rPr>
                <w:i w:val="1"/>
                <w:color w:val="0000ff"/>
                <w:rtl w:val="0"/>
              </w:rPr>
              <w:t xml:space="preserve">Total Point 18</w:t>
            </w:r>
          </w:p>
          <w:p w:rsidR="00000000" w:rsidDel="00000000" w:rsidP="00000000" w:rsidRDefault="00000000" w:rsidRPr="00000000" w14:paraId="00000091">
            <w:pPr>
              <w:rPr>
                <w:i w:val="1"/>
                <w:color w:val="0000ff"/>
              </w:rPr>
            </w:pPr>
            <w:r w:rsidDel="00000000" w:rsidR="00000000" w:rsidRPr="00000000">
              <w:rPr>
                <w:rtl w:val="0"/>
              </w:rPr>
            </w:r>
          </w:p>
          <w:p w:rsidR="00000000" w:rsidDel="00000000" w:rsidP="00000000" w:rsidRDefault="00000000" w:rsidRPr="00000000" w14:paraId="00000092">
            <w:pPr>
              <w:rPr/>
            </w:pPr>
            <w:r w:rsidDel="00000000" w:rsidR="00000000" w:rsidRPr="00000000">
              <w:rPr>
                <w:rtl w:val="0"/>
              </w:rPr>
            </w:r>
          </w:p>
          <w:p w:rsidR="00000000" w:rsidDel="00000000" w:rsidP="00000000" w:rsidRDefault="00000000" w:rsidRPr="00000000" w14:paraId="00000093">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6">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7">
            <w:pPr>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Quality Assurance Plan</w:t>
            </w:r>
          </w:p>
          <w:p w:rsidR="00000000" w:rsidDel="00000000" w:rsidP="00000000" w:rsidRDefault="00000000" w:rsidRPr="00000000" w14:paraId="00000098">
            <w:pPr>
              <w:widowControl w:val="0"/>
              <w:spacing w:after="200"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9">
            <w:pPr>
              <w:widowControl w:val="0"/>
              <w:spacing w:after="200" w:line="276" w:lineRule="auto"/>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9A">
            <w:pPr>
              <w:widowControl w:val="0"/>
              <w:spacing w:after="200" w:line="276" w:lineRule="auto"/>
              <w:rPr>
                <w:rFonts w:ascii="Open Sans" w:cs="Open Sans" w:eastAsia="Open Sans" w:hAnsi="Open Sans"/>
                <w:sz w:val="18"/>
                <w:szCs w:val="18"/>
              </w:rPr>
            </w:pPr>
            <w:r w:rsidDel="00000000" w:rsidR="00000000" w:rsidRPr="00000000">
              <w:rPr>
                <w:i w:val="1"/>
                <w:color w:val="0000ff"/>
                <w:rtl w:val="0"/>
              </w:rPr>
              <w:t xml:space="preserve">A plan outlining how the bidder intends to ensure oversight and quality assurance throughout the assignment, including clear process flow between the experts and JV members (if relevant). Quality Assurance plan should include discussion on risk-assessment and its mitigation plan. (7) </w:t>
            </w:r>
            <w:r w:rsidDel="00000000" w:rsidR="00000000" w:rsidRPr="00000000">
              <w:rPr>
                <w:rtl w:val="0"/>
              </w:rPr>
            </w:r>
          </w:p>
          <w:p w:rsidR="00000000" w:rsidDel="00000000" w:rsidP="00000000" w:rsidRDefault="00000000" w:rsidRPr="00000000" w14:paraId="0000009B">
            <w:pPr>
              <w:rPr>
                <w:i w:val="1"/>
                <w:color w:val="ff0000"/>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9C">
            <w:pPr>
              <w:rPr/>
            </w:pPr>
            <w:r w:rsidDel="00000000" w:rsidR="00000000" w:rsidRPr="00000000">
              <w:rPr>
                <w:rtl w:val="0"/>
              </w:rPr>
            </w:r>
          </w:p>
          <w:p w:rsidR="00000000" w:rsidDel="00000000" w:rsidP="00000000" w:rsidRDefault="00000000" w:rsidRPr="00000000" w14:paraId="0000009D">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E">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F">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0">
            <w:pPr>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Implementation Timeline</w:t>
            </w:r>
          </w:p>
          <w:p w:rsidR="00000000" w:rsidDel="00000000" w:rsidP="00000000" w:rsidRDefault="00000000" w:rsidRPr="00000000" w14:paraId="000000A1">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2">
            <w:pPr>
              <w:widowControl w:val="0"/>
              <w:spacing w:after="200" w:line="276" w:lineRule="auto"/>
              <w:rPr>
                <w:rFonts w:ascii="Open Sans" w:cs="Open Sans" w:eastAsia="Open Sans" w:hAnsi="Open Sans"/>
              </w:rPr>
            </w:pPr>
            <w:r w:rsidDel="00000000" w:rsidR="00000000" w:rsidRPr="00000000">
              <w:rPr>
                <w:rFonts w:ascii="Open Sans" w:cs="Open Sans" w:eastAsia="Open Sans" w:hAnsi="Open Sans"/>
                <w:rtl w:val="0"/>
              </w:rPr>
              <w:t xml:space="preserve">Implementation Timeline</w:t>
            </w:r>
          </w:p>
          <w:p w:rsidR="00000000" w:rsidDel="00000000" w:rsidP="00000000" w:rsidRDefault="00000000" w:rsidRPr="00000000" w14:paraId="000000A3">
            <w:pPr>
              <w:widowControl w:val="0"/>
              <w:spacing w:after="200" w:line="276" w:lineRule="auto"/>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A4">
            <w:pPr>
              <w:widowControl w:val="0"/>
              <w:spacing w:after="200" w:line="276" w:lineRule="auto"/>
              <w:rPr>
                <w:rFonts w:ascii="Open Sans" w:cs="Open Sans" w:eastAsia="Open Sans" w:hAnsi="Open Sans"/>
              </w:rPr>
            </w:pPr>
            <w:r w:rsidDel="00000000" w:rsidR="00000000" w:rsidRPr="00000000">
              <w:rPr>
                <w:i w:val="1"/>
                <w:color w:val="0000ff"/>
                <w:rtl w:val="0"/>
              </w:rPr>
              <w:t xml:space="preserve">Bidder submits a detailed implementation timeline which includes detailed activities to be undertaken during this assignment, and is completed with gantt chart. (3)</w:t>
            </w:r>
            <w:r w:rsidDel="00000000" w:rsidR="00000000" w:rsidRPr="00000000">
              <w:rPr>
                <w:rtl w:val="0"/>
              </w:rPr>
            </w:r>
          </w:p>
          <w:p w:rsidR="00000000" w:rsidDel="00000000" w:rsidP="00000000" w:rsidRDefault="00000000" w:rsidRPr="00000000" w14:paraId="000000A5">
            <w:pPr>
              <w:rPr>
                <w:i w:val="1"/>
                <w:color w:val="0000ff"/>
              </w:rPr>
            </w:pPr>
            <w:r w:rsidDel="00000000" w:rsidR="00000000" w:rsidRPr="00000000">
              <w:rPr>
                <w:rtl w:val="0"/>
              </w:rPr>
            </w:r>
          </w:p>
          <w:p w:rsidR="00000000" w:rsidDel="00000000" w:rsidP="00000000" w:rsidRDefault="00000000" w:rsidRPr="00000000" w14:paraId="000000A6">
            <w:pPr>
              <w:rPr>
                <w:i w:val="1"/>
                <w:color w:val="0000ff"/>
              </w:rPr>
            </w:pPr>
            <w:r w:rsidDel="00000000" w:rsidR="00000000" w:rsidRPr="00000000">
              <w:rPr>
                <w:i w:val="1"/>
                <w:color w:val="0000ff"/>
                <w:rtl w:val="0"/>
              </w:rPr>
              <w:t xml:space="preserve">Total Point 2</w:t>
            </w:r>
          </w:p>
          <w:p w:rsidR="00000000" w:rsidDel="00000000" w:rsidP="00000000" w:rsidRDefault="00000000" w:rsidRPr="00000000" w14:paraId="000000A7">
            <w:pPr>
              <w:rPr>
                <w:i w:val="1"/>
                <w:color w:val="0000ff"/>
              </w:rPr>
            </w:pPr>
            <w:r w:rsidDel="00000000" w:rsidR="00000000" w:rsidRPr="00000000">
              <w:rPr>
                <w:rtl w:val="0"/>
              </w:rPr>
            </w:r>
          </w:p>
          <w:p w:rsidR="00000000" w:rsidDel="00000000" w:rsidP="00000000" w:rsidRDefault="00000000" w:rsidRPr="00000000" w14:paraId="000000A8">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9">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rPr>
          <w:highlight w:val="lightGray"/>
        </w:rPr>
      </w:pPr>
      <w:r w:rsidDel="00000000" w:rsidR="00000000" w:rsidRPr="00000000">
        <w:rPr>
          <w:rtl w:val="0"/>
        </w:rPr>
      </w:r>
    </w:p>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rPr/>
      </w:pPr>
      <w:r w:rsidDel="00000000" w:rsidR="00000000" w:rsidRPr="00000000">
        <w:rPr>
          <w:rtl w:val="0"/>
        </w:rPr>
      </w:r>
    </w:p>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rPr/>
      </w:pPr>
      <w:r w:rsidDel="00000000" w:rsidR="00000000" w:rsidRPr="00000000">
        <w:rPr>
          <w:rtl w:val="0"/>
        </w:rPr>
      </w:r>
    </w:p>
    <w:tbl>
      <w:tblPr>
        <w:tblStyle w:val="Table4"/>
        <w:tblW w:w="955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9015"/>
        <w:tblGridChange w:id="0">
          <w:tblGrid>
            <w:gridCol w:w="540"/>
            <w:gridCol w:w="9015"/>
          </w:tblGrid>
        </w:tblGridChange>
      </w:tblGrid>
      <w:tr>
        <w:trPr>
          <w:cantSplit w:val="0"/>
          <w:trHeight w:val="42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0">
            <w:pPr>
              <w:rPr>
                <w:b w:val="1"/>
              </w:rPr>
            </w:pPr>
            <w:r w:rsidDel="00000000" w:rsidR="00000000" w:rsidRPr="00000000">
              <w:rPr>
                <w:b w:val="1"/>
                <w:rtl w:val="0"/>
              </w:rPr>
              <w:t xml:space="preserve">Section 3: Key personnel proposed</w:t>
            </w:r>
            <w:r w:rsidDel="00000000" w:rsidR="00000000" w:rsidRPr="00000000">
              <w:rPr>
                <w:rtl w:val="0"/>
              </w:rPr>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2">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3">
            <w:pPr>
              <w:rPr>
                <w:b w:val="1"/>
              </w:rPr>
            </w:pPr>
            <w:r w:rsidDel="00000000" w:rsidR="00000000" w:rsidRPr="00000000">
              <w:rPr>
                <w:rtl w:val="0"/>
              </w:rPr>
            </w:r>
          </w:p>
          <w:p w:rsidR="00000000" w:rsidDel="00000000" w:rsidP="00000000" w:rsidRDefault="00000000" w:rsidRPr="00000000" w14:paraId="000000B4">
            <w:pPr>
              <w:widowControl w:val="0"/>
              <w:spacing w:line="276" w:lineRule="auto"/>
              <w:rPr>
                <w:rFonts w:ascii="Open Sans" w:cs="Open Sans" w:eastAsia="Open Sans" w:hAnsi="Open Sans"/>
                <w:sz w:val="18"/>
                <w:szCs w:val="18"/>
                <w:highlight w:val="white"/>
              </w:rPr>
            </w:pPr>
            <w:r w:rsidDel="00000000" w:rsidR="00000000" w:rsidRPr="00000000">
              <w:rPr>
                <w:rFonts w:ascii="Open Sans" w:cs="Open Sans" w:eastAsia="Open Sans" w:hAnsi="Open Sans"/>
                <w:sz w:val="18"/>
                <w:szCs w:val="18"/>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5">
            <w:pPr>
              <w:rPr/>
            </w:pPr>
            <w:r w:rsidDel="00000000" w:rsidR="00000000" w:rsidRPr="00000000">
              <w:rPr>
                <w:rtl w:val="0"/>
              </w:rPr>
            </w:r>
          </w:p>
          <w:p w:rsidR="00000000" w:rsidDel="00000000" w:rsidP="00000000" w:rsidRDefault="00000000" w:rsidRPr="00000000" w14:paraId="000000B6">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7">
            <w:pPr>
              <w:rPr/>
            </w:pPr>
            <w:r w:rsidDel="00000000" w:rsidR="00000000" w:rsidRPr="00000000">
              <w:rPr>
                <w:rtl w:val="0"/>
              </w:rPr>
            </w:r>
          </w:p>
          <w:tbl>
            <w:tblPr>
              <w:tblStyle w:val="Table5"/>
              <w:tblW w:w="879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155"/>
              <w:gridCol w:w="2475"/>
              <w:gridCol w:w="2805"/>
              <w:gridCol w:w="2355"/>
              <w:tblGridChange w:id="0">
                <w:tblGrid>
                  <w:gridCol w:w="1155"/>
                  <w:gridCol w:w="2475"/>
                  <w:gridCol w:w="2805"/>
                  <w:gridCol w:w="2355"/>
                </w:tblGrid>
              </w:tblGridChange>
            </w:tblGrid>
            <w:tr>
              <w:trPr>
                <w:cantSplit w:val="0"/>
                <w:tblHeader w:val="0"/>
              </w:trPr>
              <w:tc>
                <w:tcPr>
                  <w:shd w:fill="d9d9d9" w:val="clear"/>
                </w:tcPr>
                <w:p w:rsidR="00000000" w:rsidDel="00000000" w:rsidP="00000000" w:rsidRDefault="00000000" w:rsidRPr="00000000" w14:paraId="000000B8">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Name and Nationality</w:t>
                  </w:r>
                </w:p>
              </w:tc>
              <w:tc>
                <w:tcPr>
                  <w:shd w:fill="d9d9d9" w:val="clear"/>
                </w:tcPr>
                <w:p w:rsidR="00000000" w:rsidDel="00000000" w:rsidP="00000000" w:rsidRDefault="00000000" w:rsidRPr="00000000" w14:paraId="000000B9">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Position to be Assumed in this Contract</w:t>
                  </w:r>
                </w:p>
              </w:tc>
              <w:tc>
                <w:tcPr>
                  <w:shd w:fill="d9d9d9" w:val="clear"/>
                </w:tcPr>
                <w:p w:rsidR="00000000" w:rsidDel="00000000" w:rsidP="00000000" w:rsidRDefault="00000000" w:rsidRPr="00000000" w14:paraId="000000BA">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Requirements as per Terms of reference</w:t>
                  </w:r>
                </w:p>
              </w:tc>
              <w:tc>
                <w:tcPr>
                  <w:shd w:fill="d9d9d9" w:val="clear"/>
                </w:tcPr>
                <w:p w:rsidR="00000000" w:rsidDel="00000000" w:rsidP="00000000" w:rsidRDefault="00000000" w:rsidRPr="00000000" w14:paraId="000000BB">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The Personnel Education and Experience highlight, aligning with the Requirements as per Terms of Reference</w:t>
                  </w:r>
                </w:p>
              </w:tc>
            </w:tr>
            <w:tr>
              <w:trPr>
                <w:cantSplit w:val="0"/>
                <w:trHeight w:val="413" w:hRule="atLeast"/>
                <w:tblHeader w:val="0"/>
              </w:trPr>
              <w:tc>
                <w:tcPr>
                  <w:vAlign w:val="center"/>
                </w:tcPr>
                <w:p w:rsidR="00000000" w:rsidDel="00000000" w:rsidP="00000000" w:rsidRDefault="00000000" w:rsidRPr="00000000" w14:paraId="000000BC">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D">
                  <w:pPr>
                    <w:spacing w:before="200" w:lineRule="auto"/>
                    <w:rPr>
                      <w:rFonts w:ascii="Open Sans" w:cs="Open Sans" w:eastAsia="Open Sans" w:hAnsi="Open Sans"/>
                      <w:sz w:val="16"/>
                      <w:szCs w:val="16"/>
                    </w:rPr>
                  </w:pPr>
                  <w:r w:rsidDel="00000000" w:rsidR="00000000" w:rsidRPr="00000000">
                    <w:rPr>
                      <w:rFonts w:ascii="Open Sans" w:cs="Open Sans" w:eastAsia="Open Sans" w:hAnsi="Open Sans"/>
                      <w:highlight w:val="white"/>
                      <w:rtl w:val="0"/>
                    </w:rPr>
                    <w:t xml:space="preserve">Pr</w:t>
                  </w:r>
                  <w:r w:rsidDel="00000000" w:rsidR="00000000" w:rsidRPr="00000000">
                    <w:rPr>
                      <w:rFonts w:ascii="Open Sans" w:cs="Open Sans" w:eastAsia="Open Sans" w:hAnsi="Open Sans"/>
                      <w:sz w:val="16"/>
                      <w:szCs w:val="16"/>
                      <w:rtl w:val="0"/>
                    </w:rPr>
                    <w:t xml:space="preserve">oject lead/ Lead Financial Expert</w:t>
                  </w:r>
                  <w:r w:rsidDel="00000000" w:rsidR="00000000" w:rsidRPr="00000000">
                    <w:rPr>
                      <w:rtl w:val="0"/>
                    </w:rPr>
                  </w:r>
                </w:p>
              </w:tc>
              <w:tc>
                <w:tcPr>
                  <w:vAlign w:val="center"/>
                </w:tcPr>
                <w:p w:rsidR="00000000" w:rsidDel="00000000" w:rsidP="00000000" w:rsidRDefault="00000000" w:rsidRPr="00000000" w14:paraId="000000BE">
                  <w:pPr>
                    <w:jc w:val="both"/>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c>
                <w:tcPr>
                  <w:vAlign w:val="center"/>
                </w:tcPr>
                <w:p w:rsidR="00000000" w:rsidDel="00000000" w:rsidP="00000000" w:rsidRDefault="00000000" w:rsidRPr="00000000" w14:paraId="000000BF">
                  <w:pPr>
                    <w:jc w:val="both"/>
                    <w:rPr>
                      <w:rFonts w:ascii="Arial" w:cs="Arial" w:eastAsia="Arial" w:hAnsi="Arial"/>
                      <w:sz w:val="18"/>
                      <w:szCs w:val="18"/>
                      <w:highlight w:val="cyan"/>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0">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1">
                  <w:pPr>
                    <w:spacing w:before="200"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Financial Analyst</w:t>
                  </w:r>
                </w:p>
                <w:p w:rsidR="00000000" w:rsidDel="00000000" w:rsidP="00000000" w:rsidRDefault="00000000" w:rsidRPr="00000000" w14:paraId="000000C2">
                  <w:pPr>
                    <w:spacing w:before="200" w:lineRule="auto"/>
                    <w:rPr>
                      <w:rFonts w:ascii="Open Sans" w:cs="Open Sans" w:eastAsia="Open Sans" w:hAnsi="Open Sans"/>
                      <w:sz w:val="16"/>
                      <w:szCs w:val="16"/>
                    </w:rPr>
                  </w:pPr>
                  <w:r w:rsidDel="00000000" w:rsidR="00000000" w:rsidRPr="00000000">
                    <w:rPr>
                      <w:rtl w:val="0"/>
                    </w:rPr>
                  </w:r>
                </w:p>
              </w:tc>
              <w:tc>
                <w:tcPr>
                  <w:vAlign w:val="center"/>
                </w:tcPr>
                <w:p w:rsidR="00000000" w:rsidDel="00000000" w:rsidP="00000000" w:rsidRDefault="00000000" w:rsidRPr="00000000" w14:paraId="000000C3">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4">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5">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6">
                  <w:pPr>
                    <w:widowControl w:val="0"/>
                    <w:spacing w:after="200" w:line="276" w:lineRule="auto"/>
                    <w:rPr>
                      <w:rFonts w:ascii="Open Sans" w:cs="Open Sans" w:eastAsia="Open Sans" w:hAnsi="Open Sans"/>
                      <w:sz w:val="16"/>
                      <w:szCs w:val="16"/>
                    </w:rPr>
                  </w:pPr>
                  <w:r w:rsidDel="00000000" w:rsidR="00000000" w:rsidRPr="00000000">
                    <w:rPr>
                      <w:rtl w:val="0"/>
                    </w:rPr>
                  </w:r>
                </w:p>
              </w:tc>
              <w:tc>
                <w:tcPr>
                  <w:vAlign w:val="center"/>
                </w:tcPr>
                <w:p w:rsidR="00000000" w:rsidDel="00000000" w:rsidP="00000000" w:rsidRDefault="00000000" w:rsidRPr="00000000" w14:paraId="000000C7">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8">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9">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A">
                  <w:pPr>
                    <w:widowControl w:val="0"/>
                    <w:spacing w:after="200" w:line="276" w:lineRule="auto"/>
                    <w:rPr>
                      <w:sz w:val="18"/>
                      <w:szCs w:val="18"/>
                    </w:rPr>
                  </w:pPr>
                  <w:r w:rsidDel="00000000" w:rsidR="00000000" w:rsidRPr="00000000">
                    <w:rPr>
                      <w:rtl w:val="0"/>
                    </w:rPr>
                  </w:r>
                </w:p>
              </w:tc>
              <w:tc>
                <w:tcPr>
                  <w:vAlign w:val="center"/>
                </w:tcPr>
                <w:p w:rsidR="00000000" w:rsidDel="00000000" w:rsidP="00000000" w:rsidRDefault="00000000" w:rsidRPr="00000000" w14:paraId="000000CB">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C">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D">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E">
                  <w:pPr>
                    <w:spacing w:line="276" w:lineRule="auto"/>
                    <w:ind w:left="0" w:firstLine="0"/>
                    <w:rPr/>
                  </w:pPr>
                  <w:r w:rsidDel="00000000" w:rsidR="00000000" w:rsidRPr="00000000">
                    <w:rPr>
                      <w:rtl w:val="0"/>
                    </w:rPr>
                  </w:r>
                </w:p>
              </w:tc>
              <w:tc>
                <w:tcPr>
                  <w:vAlign w:val="center"/>
                </w:tcPr>
                <w:p w:rsidR="00000000" w:rsidDel="00000000" w:rsidP="00000000" w:rsidRDefault="00000000" w:rsidRPr="00000000" w14:paraId="000000CF">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0">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D1">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2">
                  <w:pPr>
                    <w:spacing w:line="276" w:lineRule="auto"/>
                    <w:ind w:left="0" w:firstLine="0"/>
                    <w:rPr/>
                  </w:pPr>
                  <w:r w:rsidDel="00000000" w:rsidR="00000000" w:rsidRPr="00000000">
                    <w:rPr>
                      <w:rtl w:val="0"/>
                    </w:rPr>
                  </w:r>
                </w:p>
              </w:tc>
              <w:tc>
                <w:tcPr>
                  <w:vAlign w:val="center"/>
                </w:tcPr>
                <w:p w:rsidR="00000000" w:rsidDel="00000000" w:rsidP="00000000" w:rsidRDefault="00000000" w:rsidRPr="00000000" w14:paraId="000000D3">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4">
                  <w:pPr>
                    <w:jc w:val="center"/>
                    <w:rPr>
                      <w:rFonts w:ascii="Arial" w:cs="Arial" w:eastAsia="Arial" w:hAnsi="Arial"/>
                      <w:sz w:val="18"/>
                      <w:szCs w:val="18"/>
                    </w:rPr>
                  </w:pPr>
                  <w:r w:rsidDel="00000000" w:rsidR="00000000" w:rsidRPr="00000000">
                    <w:rPr>
                      <w:rtl w:val="0"/>
                    </w:rPr>
                  </w:r>
                </w:p>
              </w:tc>
            </w:tr>
          </w:tbl>
          <w:p w:rsidR="00000000" w:rsidDel="00000000" w:rsidP="00000000" w:rsidRDefault="00000000" w:rsidRPr="00000000" w14:paraId="000000D5">
            <w:pPr>
              <w:rPr>
                <w:i w:val="1"/>
                <w:color w:val="0000ff"/>
              </w:rPr>
            </w:pPr>
            <w:r w:rsidDel="00000000" w:rsidR="00000000" w:rsidRPr="00000000">
              <w:rPr>
                <w:rtl w:val="0"/>
              </w:rPr>
            </w:r>
          </w:p>
          <w:p w:rsidR="00000000" w:rsidDel="00000000" w:rsidP="00000000" w:rsidRDefault="00000000" w:rsidRPr="00000000" w14:paraId="000000D6">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D7">
            <w:pPr>
              <w:rPr>
                <w:i w:val="1"/>
                <w:color w:val="0000ff"/>
              </w:rPr>
            </w:pPr>
            <w:r w:rsidDel="00000000" w:rsidR="00000000" w:rsidRPr="00000000">
              <w:rPr>
                <w:rtl w:val="0"/>
              </w:rPr>
            </w:r>
          </w:p>
          <w:p w:rsidR="00000000" w:rsidDel="00000000" w:rsidP="00000000" w:rsidRDefault="00000000" w:rsidRPr="00000000" w14:paraId="000000D8">
            <w:pPr>
              <w:rPr>
                <w:i w:val="1"/>
                <w:color w:val="0000ff"/>
                <w:highlight w:val="white"/>
              </w:rPr>
            </w:pPr>
            <w:r w:rsidDel="00000000" w:rsidR="00000000" w:rsidRPr="00000000">
              <w:rPr>
                <w:i w:val="1"/>
                <w:color w:val="0000ff"/>
                <w:highlight w:val="white"/>
                <w:rtl w:val="0"/>
              </w:rPr>
              <w:t xml:space="preserve">1. </w:t>
            </w:r>
            <w:r w:rsidDel="00000000" w:rsidR="00000000" w:rsidRPr="00000000">
              <w:rPr>
                <w:rFonts w:ascii="Open Sans" w:cs="Open Sans" w:eastAsia="Open Sans" w:hAnsi="Open Sans"/>
                <w:highlight w:val="white"/>
                <w:rtl w:val="0"/>
              </w:rPr>
              <w:t xml:space="preserve">Pr</w:t>
            </w:r>
            <w:r w:rsidDel="00000000" w:rsidR="00000000" w:rsidRPr="00000000">
              <w:rPr>
                <w:rFonts w:ascii="Open Sans" w:cs="Open Sans" w:eastAsia="Open Sans" w:hAnsi="Open Sans"/>
                <w:sz w:val="16"/>
                <w:szCs w:val="16"/>
                <w:rtl w:val="0"/>
              </w:rPr>
              <w:t xml:space="preserve">oject lead/ Lead Financial Expert</w:t>
            </w:r>
            <w:r w:rsidDel="00000000" w:rsidR="00000000" w:rsidRPr="00000000">
              <w:rPr>
                <w:i w:val="1"/>
                <w:color w:val="0000ff"/>
                <w:highlight w:val="white"/>
                <w:rtl w:val="0"/>
              </w:rPr>
              <w:t xml:space="preserve"> (15)</w:t>
            </w:r>
          </w:p>
          <w:p w:rsidR="00000000" w:rsidDel="00000000" w:rsidP="00000000" w:rsidRDefault="00000000" w:rsidRPr="00000000" w14:paraId="000000D9">
            <w:pPr>
              <w:rPr>
                <w:i w:val="1"/>
                <w:color w:val="0000ff"/>
                <w:highlight w:val="white"/>
              </w:rPr>
            </w:pPr>
            <w:r w:rsidDel="00000000" w:rsidR="00000000" w:rsidRPr="00000000">
              <w:rPr>
                <w:i w:val="1"/>
                <w:color w:val="0000ff"/>
                <w:highlight w:val="white"/>
                <w:rtl w:val="0"/>
              </w:rPr>
              <w:t xml:space="preserve">2. </w:t>
            </w:r>
            <w:r w:rsidDel="00000000" w:rsidR="00000000" w:rsidRPr="00000000">
              <w:rPr>
                <w:rFonts w:ascii="Open Sans" w:cs="Open Sans" w:eastAsia="Open Sans" w:hAnsi="Open Sans"/>
                <w:sz w:val="16"/>
                <w:szCs w:val="16"/>
                <w:rtl w:val="0"/>
              </w:rPr>
              <w:t xml:space="preserve">Financial Analyst</w:t>
            </w:r>
            <w:r w:rsidDel="00000000" w:rsidR="00000000" w:rsidRPr="00000000">
              <w:rPr>
                <w:i w:val="1"/>
                <w:color w:val="0000ff"/>
                <w:highlight w:val="white"/>
                <w:rtl w:val="0"/>
              </w:rPr>
              <w:t xml:space="preserve">  (5)</w:t>
            </w:r>
          </w:p>
          <w:p w:rsidR="00000000" w:rsidDel="00000000" w:rsidP="00000000" w:rsidRDefault="00000000" w:rsidRPr="00000000" w14:paraId="000000DA">
            <w:pPr>
              <w:rPr>
                <w:i w:val="1"/>
                <w:color w:val="0000ff"/>
                <w:highlight w:val="white"/>
              </w:rPr>
            </w:pPr>
            <w:r w:rsidDel="00000000" w:rsidR="00000000" w:rsidRPr="00000000">
              <w:rPr>
                <w:rtl w:val="0"/>
              </w:rPr>
            </w:r>
          </w:p>
          <w:p w:rsidR="00000000" w:rsidDel="00000000" w:rsidP="00000000" w:rsidRDefault="00000000" w:rsidRPr="00000000" w14:paraId="000000DB">
            <w:pPr>
              <w:rPr>
                <w:rFonts w:ascii="Open Sans" w:cs="Open Sans" w:eastAsia="Open Sans" w:hAnsi="Open Sans"/>
                <w:sz w:val="16"/>
                <w:szCs w:val="16"/>
              </w:rPr>
            </w:pPr>
            <w:r w:rsidDel="00000000" w:rsidR="00000000" w:rsidRPr="00000000">
              <w:rPr>
                <w:i w:val="1"/>
                <w:color w:val="0000ff"/>
                <w:rtl w:val="0"/>
              </w:rPr>
              <w:t xml:space="preserve">Total point: 20</w:t>
            </w:r>
            <w:r w:rsidDel="00000000" w:rsidR="00000000" w:rsidRPr="00000000">
              <w:rPr>
                <w:rtl w:val="0"/>
              </w:rPr>
            </w:r>
          </w:p>
          <w:p w:rsidR="00000000" w:rsidDel="00000000" w:rsidP="00000000" w:rsidRDefault="00000000" w:rsidRPr="00000000" w14:paraId="000000DC">
            <w:pPr>
              <w:rPr/>
            </w:pPr>
            <w:r w:rsidDel="00000000" w:rsidR="00000000" w:rsidRPr="00000000">
              <w:rPr>
                <w:rtl w:val="0"/>
              </w:rPr>
            </w:r>
          </w:p>
          <w:p w:rsidR="00000000" w:rsidDel="00000000" w:rsidP="00000000" w:rsidRDefault="00000000" w:rsidRPr="00000000" w14:paraId="000000DD">
            <w:pPr>
              <w:rPr/>
            </w:pPr>
            <w:r w:rsidDel="00000000" w:rsidR="00000000" w:rsidRPr="00000000">
              <w:rPr>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DE">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F">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0">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E1">
            <w:pPr>
              <w:widowControl w:val="0"/>
              <w:spacing w:line="276" w:lineRule="auto"/>
              <w:rPr>
                <w:rFonts w:ascii="Open Sans" w:cs="Open Sans" w:eastAsia="Open Sans" w:hAnsi="Open Sans"/>
                <w:sz w:val="16"/>
                <w:szCs w:val="16"/>
              </w:rPr>
            </w:pPr>
            <w:r w:rsidDel="00000000" w:rsidR="00000000" w:rsidRPr="00000000">
              <w:rPr>
                <w:rFonts w:ascii="Open Sans" w:cs="Open Sans" w:eastAsia="Open Sans" w:hAnsi="Open Sans"/>
                <w:rtl w:val="0"/>
              </w:rPr>
              <w:t xml:space="preserve">The offeror shall provide a clear </w:t>
            </w:r>
            <w:r w:rsidDel="00000000" w:rsidR="00000000" w:rsidRPr="00000000">
              <w:rPr>
                <w:rFonts w:ascii="Roboto" w:cs="Roboto" w:eastAsia="Roboto" w:hAnsi="Roboto"/>
                <w:color w:val="444746"/>
                <w:rtl w:val="0"/>
              </w:rPr>
              <w:t xml:space="preserve">statement, approach, and methodology that demonstrates its commitment to support gender equality and social inclusion through its operations</w:t>
            </w:r>
            <w:r w:rsidDel="00000000" w:rsidR="00000000" w:rsidRPr="00000000">
              <w:rPr>
                <w:rFonts w:ascii="Open Sans" w:cs="Open Sans" w:eastAsia="Open Sans" w:hAnsi="Open Sans"/>
                <w:sz w:val="16"/>
                <w:szCs w:val="16"/>
                <w:rtl w:val="0"/>
              </w:rPr>
              <w:t xml:space="preserve">.</w:t>
            </w:r>
            <w:r w:rsidDel="00000000" w:rsidR="00000000" w:rsidRPr="00000000">
              <w:rPr>
                <w:rtl w:val="0"/>
              </w:rPr>
            </w:r>
          </w:p>
          <w:p w:rsidR="00000000" w:rsidDel="00000000" w:rsidP="00000000" w:rsidRDefault="00000000" w:rsidRPr="00000000" w14:paraId="000000E2">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E3">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E4">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E5">
            <w:pPr>
              <w:spacing w:line="276" w:lineRule="auto"/>
              <w:rPr>
                <w:highlight w:val="cyan"/>
              </w:rPr>
            </w:pPr>
            <w:r w:rsidDel="00000000" w:rsidR="00000000" w:rsidRPr="00000000">
              <w:rPr>
                <w:highlight w:val="cyan"/>
                <w:rtl w:val="0"/>
              </w:rPr>
              <w:t xml:space="preserve">[Insert response here]</w:t>
            </w:r>
          </w:p>
          <w:p w:rsidR="00000000" w:rsidDel="00000000" w:rsidP="00000000" w:rsidRDefault="00000000" w:rsidRPr="00000000" w14:paraId="000000E6">
            <w:pPr>
              <w:widowControl w:val="0"/>
              <w:rPr/>
            </w:pPr>
            <w:r w:rsidDel="00000000" w:rsidR="00000000" w:rsidRPr="00000000">
              <w:rPr>
                <w:rtl w:val="0"/>
              </w:rPr>
            </w:r>
          </w:p>
        </w:tc>
      </w:tr>
    </w:tbl>
    <w:p w:rsidR="00000000" w:rsidDel="00000000" w:rsidP="00000000" w:rsidRDefault="00000000" w:rsidRPr="00000000" w14:paraId="000000E7">
      <w:pPr>
        <w:rPr>
          <w:highlight w:val="lightGray"/>
        </w:rPr>
      </w:pPr>
      <w:r w:rsidDel="00000000" w:rsidR="00000000" w:rsidRPr="00000000">
        <w:rPr>
          <w:rtl w:val="0"/>
        </w:rPr>
      </w:r>
    </w:p>
    <w:p w:rsidR="00000000" w:rsidDel="00000000" w:rsidP="00000000" w:rsidRDefault="00000000" w:rsidRPr="00000000" w14:paraId="000000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E9">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A">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EB">
      <w:pPr>
        <w:tabs>
          <w:tab w:val="left" w:leader="none" w:pos="720"/>
        </w:tabs>
        <w:rPr>
          <w:color w:val="000000"/>
        </w:rPr>
      </w:pPr>
      <w:r w:rsidDel="00000000" w:rsidR="00000000" w:rsidRPr="00000000">
        <w:rPr>
          <w:rtl w:val="0"/>
        </w:rPr>
      </w:r>
    </w:p>
    <w:p w:rsidR="00000000" w:rsidDel="00000000" w:rsidP="00000000" w:rsidRDefault="00000000" w:rsidRPr="00000000" w14:paraId="000000EC">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ED">
      <w:pPr>
        <w:rPr>
          <w:color w:val="000000"/>
        </w:rPr>
      </w:pPr>
      <w:r w:rsidDel="00000000" w:rsidR="00000000" w:rsidRPr="00000000">
        <w:rPr>
          <w:rtl w:val="0"/>
        </w:rPr>
      </w:r>
    </w:p>
    <w:p w:rsidR="00000000" w:rsidDel="00000000" w:rsidP="00000000" w:rsidRDefault="00000000" w:rsidRPr="00000000" w14:paraId="000000EE">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EF">
      <w:pPr>
        <w:rPr>
          <w:color w:val="000000"/>
        </w:rPr>
      </w:pPr>
      <w:r w:rsidDel="00000000" w:rsidR="00000000" w:rsidRPr="00000000">
        <w:rPr>
          <w:rtl w:val="0"/>
        </w:rPr>
      </w:r>
    </w:p>
    <w:p w:rsidR="00000000" w:rsidDel="00000000" w:rsidP="00000000" w:rsidRDefault="00000000" w:rsidRPr="00000000" w14:paraId="000000F0">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F1">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RFP/2024/52418</w:t>
      </w:r>
      <w:r w:rsidDel="00000000" w:rsidR="00000000" w:rsidRPr="00000000">
        <w:rPr>
          <w:rtl w:val="0"/>
        </w:rPr>
      </w:r>
    </w:p>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F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F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F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F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0F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0F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0F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0A">
            <w:pPr>
              <w:pStyle w:val="Subtitle"/>
              <w:numPr>
                <w:ilvl w:val="0"/>
                <w:numId w:val="2"/>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B">
            <w:pPr>
              <w:pStyle w:val="Subtitle"/>
              <w:numPr>
                <w:ilvl w:val="0"/>
                <w:numId w:val="2"/>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tc>
      </w:tr>
    </w:tbl>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1F">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20">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RFP/2024/52418</w:t>
      </w:r>
      <w:r w:rsidDel="00000000" w:rsidR="00000000" w:rsidRPr="00000000">
        <w:rPr>
          <w:rtl w:val="0"/>
        </w:rPr>
      </w:r>
    </w:p>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2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0"/>
          <w:strike w:val="0"/>
          <w:color w:val="000000"/>
          <w:sz w:val="20"/>
          <w:szCs w:val="20"/>
          <w:u w:val="none"/>
          <w:shd w:fill="auto" w:val="clear"/>
          <w:vertAlign w:val="baseline"/>
        </w:rPr>
      </w:pPr>
      <w:r w:rsidDel="00000000" w:rsidR="00000000" w:rsidRPr="00000000">
        <w:rPr>
          <w:b w:val="1"/>
          <w:rtl w:val="0"/>
        </w:rPr>
        <w:t xml:space="preserve">Past performance with similar services in the last 03 years</w:t>
      </w: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27">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28">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29">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2A">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2B">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2D">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2E">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33">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34">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37">
            <w:pPr>
              <w:rPr/>
            </w:pPr>
            <w:r w:rsidDel="00000000" w:rsidR="00000000" w:rsidRPr="00000000">
              <w:rPr>
                <w:rtl w:val="0"/>
              </w:rPr>
            </w:r>
          </w:p>
        </w:tc>
        <w:tc>
          <w:tcPr/>
          <w:p w:rsidR="00000000" w:rsidDel="00000000" w:rsidP="00000000" w:rsidRDefault="00000000" w:rsidRPr="00000000" w14:paraId="00000138">
            <w:pPr>
              <w:rPr/>
            </w:pPr>
            <w:r w:rsidDel="00000000" w:rsidR="00000000" w:rsidRPr="00000000">
              <w:rPr>
                <w:rtl w:val="0"/>
              </w:rPr>
            </w:r>
          </w:p>
        </w:tc>
        <w:tc>
          <w:tcPr/>
          <w:p w:rsidR="00000000" w:rsidDel="00000000" w:rsidP="00000000" w:rsidRDefault="00000000" w:rsidRPr="00000000" w14:paraId="00000139">
            <w:pPr>
              <w:rPr/>
            </w:pPr>
            <w:r w:rsidDel="00000000" w:rsidR="00000000" w:rsidRPr="00000000">
              <w:rPr>
                <w:rtl w:val="0"/>
              </w:rPr>
            </w:r>
          </w:p>
        </w:tc>
        <w:tc>
          <w:tcPr/>
          <w:p w:rsidR="00000000" w:rsidDel="00000000" w:rsidP="00000000" w:rsidRDefault="00000000" w:rsidRPr="00000000" w14:paraId="0000013A">
            <w:pPr>
              <w:rPr/>
            </w:pPr>
            <w:r w:rsidDel="00000000" w:rsidR="00000000" w:rsidRPr="00000000">
              <w:rPr>
                <w:rtl w:val="0"/>
              </w:rPr>
            </w:r>
          </w:p>
        </w:tc>
        <w:tc>
          <w:tcPr/>
          <w:p w:rsidR="00000000" w:rsidDel="00000000" w:rsidP="00000000" w:rsidRDefault="00000000" w:rsidRPr="00000000" w14:paraId="0000013B">
            <w:pPr>
              <w:rPr/>
            </w:pPr>
            <w:r w:rsidDel="00000000" w:rsidR="00000000" w:rsidRPr="00000000">
              <w:rPr>
                <w:rtl w:val="0"/>
              </w:rPr>
            </w:r>
          </w:p>
        </w:tc>
        <w:tc>
          <w:tcPr/>
          <w:p w:rsidR="00000000" w:rsidDel="00000000" w:rsidP="00000000" w:rsidRDefault="00000000" w:rsidRPr="00000000" w14:paraId="0000013C">
            <w:pPr>
              <w:rPr/>
            </w:pPr>
            <w:r w:rsidDel="00000000" w:rsidR="00000000" w:rsidRPr="00000000">
              <w:rPr>
                <w:rtl w:val="0"/>
              </w:rPr>
            </w:r>
          </w:p>
        </w:tc>
        <w:tc>
          <w:tcPr/>
          <w:p w:rsidR="00000000" w:rsidDel="00000000" w:rsidP="00000000" w:rsidRDefault="00000000" w:rsidRPr="00000000" w14:paraId="0000013D">
            <w:pPr>
              <w:rPr/>
            </w:pPr>
            <w:r w:rsidDel="00000000" w:rsidR="00000000" w:rsidRPr="00000000">
              <w:rPr>
                <w:rtl w:val="0"/>
              </w:rPr>
            </w:r>
          </w:p>
        </w:tc>
        <w:tc>
          <w:tcPr/>
          <w:p w:rsidR="00000000" w:rsidDel="00000000" w:rsidP="00000000" w:rsidRDefault="00000000" w:rsidRPr="00000000" w14:paraId="0000013E">
            <w:pPr>
              <w:rPr/>
            </w:pPr>
            <w:r w:rsidDel="00000000" w:rsidR="00000000" w:rsidRPr="00000000">
              <w:rPr>
                <w:rtl w:val="0"/>
              </w:rPr>
            </w:r>
          </w:p>
        </w:tc>
      </w:tr>
      <w:tr>
        <w:trPr>
          <w:cantSplit w:val="0"/>
          <w:tblHeader w:val="0"/>
        </w:trPr>
        <w:tc>
          <w:tcPr/>
          <w:p w:rsidR="00000000" w:rsidDel="00000000" w:rsidP="00000000" w:rsidRDefault="00000000" w:rsidRPr="00000000" w14:paraId="0000013F">
            <w:pPr>
              <w:rPr/>
            </w:pPr>
            <w:r w:rsidDel="00000000" w:rsidR="00000000" w:rsidRPr="00000000">
              <w:rPr>
                <w:rtl w:val="0"/>
              </w:rPr>
            </w:r>
          </w:p>
        </w:tc>
        <w:tc>
          <w:tcPr/>
          <w:p w:rsidR="00000000" w:rsidDel="00000000" w:rsidP="00000000" w:rsidRDefault="00000000" w:rsidRPr="00000000" w14:paraId="00000140">
            <w:pPr>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tl w:val="0"/>
              </w:rPr>
            </w:r>
          </w:p>
        </w:tc>
        <w:tc>
          <w:tcPr/>
          <w:p w:rsidR="00000000" w:rsidDel="00000000" w:rsidP="00000000" w:rsidRDefault="00000000" w:rsidRPr="00000000" w14:paraId="00000142">
            <w:pPr>
              <w:rPr/>
            </w:pPr>
            <w:r w:rsidDel="00000000" w:rsidR="00000000" w:rsidRPr="00000000">
              <w:rPr>
                <w:rtl w:val="0"/>
              </w:rPr>
            </w:r>
          </w:p>
        </w:tc>
        <w:tc>
          <w:tcPr/>
          <w:p w:rsidR="00000000" w:rsidDel="00000000" w:rsidP="00000000" w:rsidRDefault="00000000" w:rsidRPr="00000000" w14:paraId="00000143">
            <w:pPr>
              <w:rPr/>
            </w:pPr>
            <w:r w:rsidDel="00000000" w:rsidR="00000000" w:rsidRPr="00000000">
              <w:rPr>
                <w:rtl w:val="0"/>
              </w:rPr>
            </w:r>
          </w:p>
        </w:tc>
        <w:tc>
          <w:tcPr/>
          <w:p w:rsidR="00000000" w:rsidDel="00000000" w:rsidP="00000000" w:rsidRDefault="00000000" w:rsidRPr="00000000" w14:paraId="00000144">
            <w:pPr>
              <w:rPr/>
            </w:pPr>
            <w:r w:rsidDel="00000000" w:rsidR="00000000" w:rsidRPr="00000000">
              <w:rPr>
                <w:rtl w:val="0"/>
              </w:rPr>
            </w:r>
          </w:p>
        </w:tc>
        <w:tc>
          <w:tcPr/>
          <w:p w:rsidR="00000000" w:rsidDel="00000000" w:rsidP="00000000" w:rsidRDefault="00000000" w:rsidRPr="00000000" w14:paraId="00000145">
            <w:pPr>
              <w:rPr/>
            </w:pPr>
            <w:r w:rsidDel="00000000" w:rsidR="00000000" w:rsidRPr="00000000">
              <w:rPr>
                <w:rtl w:val="0"/>
              </w:rPr>
            </w:r>
          </w:p>
        </w:tc>
        <w:tc>
          <w:tcPr/>
          <w:p w:rsidR="00000000" w:rsidDel="00000000" w:rsidP="00000000" w:rsidRDefault="00000000" w:rsidRPr="00000000" w14:paraId="00000146">
            <w:pPr>
              <w:rPr/>
            </w:pPr>
            <w:r w:rsidDel="00000000" w:rsidR="00000000" w:rsidRPr="00000000">
              <w:rPr>
                <w:rtl w:val="0"/>
              </w:rPr>
            </w:r>
          </w:p>
        </w:tc>
      </w:tr>
      <w:tr>
        <w:trPr>
          <w:cantSplit w:val="0"/>
          <w:tblHeader w:val="0"/>
        </w:trPr>
        <w:tc>
          <w:tcPr/>
          <w:p w:rsidR="00000000" w:rsidDel="00000000" w:rsidP="00000000" w:rsidRDefault="00000000" w:rsidRPr="00000000" w14:paraId="00000147">
            <w:pPr>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c>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tl w:val="0"/>
              </w:rPr>
            </w:r>
          </w:p>
        </w:tc>
        <w:tc>
          <w:tcPr/>
          <w:p w:rsidR="00000000" w:rsidDel="00000000" w:rsidP="00000000" w:rsidRDefault="00000000" w:rsidRPr="00000000" w14:paraId="0000014E">
            <w:pPr>
              <w:rPr/>
            </w:pPr>
            <w:r w:rsidDel="00000000" w:rsidR="00000000" w:rsidRPr="00000000">
              <w:rPr>
                <w:rtl w:val="0"/>
              </w:rPr>
            </w:r>
          </w:p>
        </w:tc>
      </w:tr>
      <w:tr>
        <w:trPr>
          <w:cantSplit w:val="0"/>
          <w:tblHeader w:val="0"/>
        </w:trPr>
        <w:tc>
          <w:tcPr/>
          <w:p w:rsidR="00000000" w:rsidDel="00000000" w:rsidP="00000000" w:rsidRDefault="00000000" w:rsidRPr="00000000" w14:paraId="0000014F">
            <w:pPr>
              <w:rPr/>
            </w:pPr>
            <w:r w:rsidDel="00000000" w:rsidR="00000000" w:rsidRPr="00000000">
              <w:rPr>
                <w:rtl w:val="0"/>
              </w:rPr>
            </w:r>
          </w:p>
        </w:tc>
        <w:tc>
          <w:tcPr/>
          <w:p w:rsidR="00000000" w:rsidDel="00000000" w:rsidP="00000000" w:rsidRDefault="00000000" w:rsidRPr="00000000" w14:paraId="00000150">
            <w:pPr>
              <w:rPr/>
            </w:pPr>
            <w:r w:rsidDel="00000000" w:rsidR="00000000" w:rsidRPr="00000000">
              <w:rPr>
                <w:rtl w:val="0"/>
              </w:rPr>
            </w:r>
          </w:p>
        </w:tc>
        <w:tc>
          <w:tcPr/>
          <w:p w:rsidR="00000000" w:rsidDel="00000000" w:rsidP="00000000" w:rsidRDefault="00000000" w:rsidRPr="00000000" w14:paraId="00000151">
            <w:pPr>
              <w:rPr/>
            </w:pPr>
            <w:r w:rsidDel="00000000" w:rsidR="00000000" w:rsidRPr="00000000">
              <w:rPr>
                <w:rtl w:val="0"/>
              </w:rPr>
            </w:r>
          </w:p>
        </w:tc>
        <w:tc>
          <w:tcPr/>
          <w:p w:rsidR="00000000" w:rsidDel="00000000" w:rsidP="00000000" w:rsidRDefault="00000000" w:rsidRPr="00000000" w14:paraId="00000152">
            <w:pPr>
              <w:rPr/>
            </w:pPr>
            <w:r w:rsidDel="00000000" w:rsidR="00000000" w:rsidRPr="00000000">
              <w:rPr>
                <w:rtl w:val="0"/>
              </w:rPr>
            </w:r>
          </w:p>
        </w:tc>
        <w:tc>
          <w:tcPr/>
          <w:p w:rsidR="00000000" w:rsidDel="00000000" w:rsidP="00000000" w:rsidRDefault="00000000" w:rsidRPr="00000000" w14:paraId="00000153">
            <w:pPr>
              <w:rPr/>
            </w:pPr>
            <w:r w:rsidDel="00000000" w:rsidR="00000000" w:rsidRPr="00000000">
              <w:rPr>
                <w:rtl w:val="0"/>
              </w:rPr>
            </w:r>
          </w:p>
        </w:tc>
        <w:tc>
          <w:tcPr/>
          <w:p w:rsidR="00000000" w:rsidDel="00000000" w:rsidP="00000000" w:rsidRDefault="00000000" w:rsidRPr="00000000" w14:paraId="00000154">
            <w:pPr>
              <w:rPr/>
            </w:pPr>
            <w:r w:rsidDel="00000000" w:rsidR="00000000" w:rsidRPr="00000000">
              <w:rPr>
                <w:rtl w:val="0"/>
              </w:rPr>
            </w:r>
          </w:p>
        </w:tc>
        <w:tc>
          <w:tcPr/>
          <w:p w:rsidR="00000000" w:rsidDel="00000000" w:rsidP="00000000" w:rsidRDefault="00000000" w:rsidRPr="00000000" w14:paraId="00000155">
            <w:pPr>
              <w:rPr/>
            </w:pPr>
            <w:r w:rsidDel="00000000" w:rsidR="00000000" w:rsidRPr="00000000">
              <w:rPr>
                <w:rtl w:val="0"/>
              </w:rPr>
            </w:r>
          </w:p>
        </w:tc>
        <w:tc>
          <w:tcPr/>
          <w:p w:rsidR="00000000" w:rsidDel="00000000" w:rsidP="00000000" w:rsidRDefault="00000000" w:rsidRPr="00000000" w14:paraId="00000156">
            <w:pPr>
              <w:rPr/>
            </w:pPr>
            <w:r w:rsidDel="00000000" w:rsidR="00000000" w:rsidRPr="00000000">
              <w:rPr>
                <w:rtl w:val="0"/>
              </w:rPr>
            </w:r>
          </w:p>
        </w:tc>
      </w:tr>
    </w:tbl>
    <w:p w:rsidR="00000000" w:rsidDel="00000000" w:rsidP="00000000" w:rsidRDefault="00000000" w:rsidRPr="00000000" w14:paraId="00000157">
      <w:pPr>
        <w:ind w:left="1598" w:hanging="1598"/>
        <w:jc w:val="both"/>
        <w:rPr/>
      </w:pPr>
      <w:r w:rsidDel="00000000" w:rsidR="00000000" w:rsidRPr="00000000">
        <w:rPr>
          <w:rtl w:val="0"/>
        </w:rPr>
      </w:r>
    </w:p>
    <w:p w:rsidR="00000000" w:rsidDel="00000000" w:rsidP="00000000" w:rsidRDefault="00000000" w:rsidRPr="00000000" w14:paraId="000001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9">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5A">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5B">
      <w:pPr>
        <w:tabs>
          <w:tab w:val="left" w:leader="none" w:pos="720"/>
        </w:tabs>
        <w:rPr>
          <w:color w:val="000000"/>
        </w:rPr>
      </w:pPr>
      <w:r w:rsidDel="00000000" w:rsidR="00000000" w:rsidRPr="00000000">
        <w:rPr>
          <w:rtl w:val="0"/>
        </w:rPr>
      </w:r>
    </w:p>
    <w:p w:rsidR="00000000" w:rsidDel="00000000" w:rsidP="00000000" w:rsidRDefault="00000000" w:rsidRPr="00000000" w14:paraId="0000015C">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5D">
      <w:pPr>
        <w:rPr>
          <w:color w:val="000000"/>
        </w:rPr>
      </w:pPr>
      <w:r w:rsidDel="00000000" w:rsidR="00000000" w:rsidRPr="00000000">
        <w:rPr>
          <w:rtl w:val="0"/>
        </w:rPr>
      </w:r>
    </w:p>
    <w:p w:rsidR="00000000" w:rsidDel="00000000" w:rsidP="00000000" w:rsidRDefault="00000000" w:rsidRPr="00000000" w14:paraId="0000015E">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5F">
      <w:pPr>
        <w:rPr>
          <w:color w:val="000000"/>
        </w:rPr>
      </w:pPr>
      <w:r w:rsidDel="00000000" w:rsidR="00000000" w:rsidRPr="00000000">
        <w:rPr>
          <w:rtl w:val="0"/>
        </w:rPr>
      </w:r>
    </w:p>
    <w:p w:rsidR="00000000" w:rsidDel="00000000" w:rsidP="00000000" w:rsidRDefault="00000000" w:rsidRPr="00000000" w14:paraId="00000160">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61">
      <w:pPr>
        <w:rPr>
          <w:sz w:val="22"/>
          <w:szCs w:val="22"/>
        </w:rPr>
      </w:pPr>
      <w:r w:rsidDel="00000000" w:rsidR="00000000" w:rsidRPr="00000000">
        <w:rPr>
          <w:rtl w:val="0"/>
        </w:rPr>
      </w:r>
    </w:p>
    <w:p w:rsidR="00000000" w:rsidDel="00000000" w:rsidP="00000000" w:rsidRDefault="00000000" w:rsidRPr="00000000" w14:paraId="00000162">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8">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6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6B">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6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4465</wp:posOffset>
                </wp:positionH>
                <wp:positionV relativeFrom="paragraph">
                  <wp:posOffset>-79359</wp:posOffset>
                </wp:positionV>
                <wp:extent cx="1477645" cy="215900"/>
                <wp:effectExtent b="0" l="0" r="0" t="0"/>
                <wp:wrapNone/>
                <wp:docPr id="7"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6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6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VG6qKlaSAV4ASfOd9rGctoKMKjw==">CgMxLjAyDmguYnEzbW1nMmlsZ3VkMg5oLndqMzBjdnN6OTdiMTIOaC5uaHJjeDVpa2M5YTYyDmgucnlqdzNzdnFrODdhMg5oLmRqNTd6eGsyaGowbTgAciExY1B5MEp4Wm1ZY2VIRTl5azV5NW5tMDBSczY2RnJnLUQ=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