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60" w:line="240" w:lineRule="auto"/>
        <w:rPr>
          <w:b w:val="1"/>
        </w:rPr>
      </w:pPr>
      <w:bookmarkStart w:colFirst="0" w:colLast="0" w:name="_heading=h.zbv8s0hd54c7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-66674</wp:posOffset>
            </wp:positionH>
            <wp:positionV relativeFrom="paragraph">
              <wp:posOffset>104775</wp:posOffset>
            </wp:positionV>
            <wp:extent cx="1292543" cy="765583"/>
            <wp:effectExtent b="0" l="0" r="0" t="0"/>
            <wp:wrapNone/>
            <wp:docPr id="1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2543" cy="7655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60" w:before="60" w:line="240" w:lineRule="auto"/>
        <w:rPr>
          <w:b w:val="1"/>
          <w:sz w:val="36"/>
          <w:szCs w:val="36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rtl w:val="0"/>
        </w:rPr>
        <w:t xml:space="preserve">                                                  </w:t>
      </w:r>
      <w:r w:rsidDel="00000000" w:rsidR="00000000" w:rsidRPr="00000000">
        <w:rPr>
          <w:b w:val="1"/>
          <w:sz w:val="36"/>
          <w:szCs w:val="36"/>
          <w:rtl w:val="0"/>
        </w:rPr>
        <w:t xml:space="preserve">Marqueur de Genre : Auto-évaluation</w:t>
      </w:r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60" w:before="60" w:line="240" w:lineRule="auto"/>
        <w:rPr>
          <w:b w:val="1"/>
        </w:rPr>
      </w:pPr>
      <w:bookmarkStart w:colFirst="0" w:colLast="0" w:name="_heading=h.ymcvynrqnx1c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before="60" w:line="240" w:lineRule="auto"/>
        <w:rPr>
          <w:b w:val="1"/>
        </w:rPr>
      </w:pPr>
      <w:bookmarkStart w:colFirst="0" w:colLast="0" w:name="_heading=h.e4waqefv6ap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60" w:before="6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0.0" w:type="dxa"/>
        <w:jc w:val="left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1555"/>
        <w:gridCol w:w="8505"/>
        <w:tblGridChange w:id="0">
          <w:tblGrid>
            <w:gridCol w:w="1555"/>
            <w:gridCol w:w="8505"/>
          </w:tblGrid>
        </w:tblGridChange>
      </w:tblGrid>
      <w:tr>
        <w:trPr>
          <w:cantSplit w:val="0"/>
          <w:trHeight w:val="372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Titre de la proposition 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compléter]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Bève Description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compléter]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Evaluation Globale</w:t>
            </w:r>
            <w:r w:rsidDel="00000000" w:rsidR="00000000" w:rsidRPr="00000000">
              <w:rPr>
                <w:b w:val="1"/>
                <w:sz w:val="22"/>
                <w:szCs w:val="22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60" w:before="60" w:line="276" w:lineRule="auto"/>
              <w:ind w:right="187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fournir une auto-évaluation basée sur ces directives  </w:t>
            </w:r>
            <w:hyperlink r:id="rId9">
              <w:r w:rsidDel="00000000" w:rsidR="00000000" w:rsidRPr="00000000">
                <w:rPr>
                  <w:color w:val="0563c1"/>
                  <w:sz w:val="22"/>
                  <w:szCs w:val="22"/>
                  <w:u w:val="single"/>
                  <w:rtl w:val="0"/>
                </w:rPr>
                <w:t xml:space="preserve">Guidances pour le Gender Marker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0C">
      <w:pPr>
        <w:spacing w:after="60" w:before="6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75.0" w:type="dxa"/>
        <w:jc w:val="left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20"/>
      </w:tblPr>
      <w:tblGrid>
        <w:gridCol w:w="1885"/>
        <w:gridCol w:w="3213"/>
        <w:gridCol w:w="426"/>
        <w:gridCol w:w="4551"/>
        <w:tblGridChange w:id="0">
          <w:tblGrid>
            <w:gridCol w:w="1885"/>
            <w:gridCol w:w="3213"/>
            <w:gridCol w:w="426"/>
            <w:gridCol w:w="4551"/>
          </w:tblGrid>
        </w:tblGridChange>
      </w:tblGrid>
      <w:tr>
        <w:trPr>
          <w:cantSplit w:val="0"/>
          <w:tblHeader w:val="1"/>
        </w:trP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spacing w:after="120" w:before="1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Section de Modèle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spacing w:after="120" w:before="120" w:lineRule="auto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Points à considérer lors de l’évaluation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F">
            <w:pPr>
              <w:spacing w:after="120" w:before="120" w:lineRule="auto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0"/>
                <w:color w:val="000000"/>
                <w:sz w:val="22"/>
                <w:szCs w:val="22"/>
                <w:rtl w:val="0"/>
              </w:rPr>
              <w:t xml:space="preserve">          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spacing w:after="120" w:before="120" w:lineRule="auto"/>
              <w:rPr>
                <w:b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Evaluation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11">
            <w:pPr>
              <w:spacing w:after="120" w:before="120" w:lineRule="auto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Section 1: Contexte du Projet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60" w:before="6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Quels sont les problèmes clés à traiter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60" w:before="6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60" w:before="6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Dans le contexte du projet, la proposition identifie-t-elle les besoins et les vulnérabilités différentes des femmes et d'autres groupes marginalisés par rapport aux problèmes clés abordés dans le projet 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1B">
            <w:pPr>
              <w:spacing w:after="120" w:before="12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Section 2: Description du projet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Quel est l'objectif principal du projet ?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garantit-elle que les activités et les résultats du projet abordent de manière appropriée et adéquate les questions de genre identifiées dans la section 1 ?</w:t>
            </w:r>
          </w:p>
          <w:p w:rsidR="00000000" w:rsidDel="00000000" w:rsidP="00000000" w:rsidRDefault="00000000" w:rsidRPr="00000000" w14:paraId="00000021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inclut-elle des interventions pour promouvoir l'égalité des genres et/ou l'autonomisation des femmes (par exemple, renforcement des capacités des femmes, formation sur le genre avec les hommes, soutien aux petites entreprises) ?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Quels sont les composants, les activités et les résultats du projet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garantit-elle que les activités et les résultats du projet abordent de manière appropriée et adéquate les questions de genre identifiées dans la section 1 ?</w:t>
            </w:r>
          </w:p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inclut-elle des interventions pour promouvoir l'égalité des genres et/ou l'autonomisation des femmes (par exemple, renforcement des capacités des femmes, formation sur le genre avec les hommes, soutien aux petites entreprises) ?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center" w:leader="none" w:pos="105"/>
              </w:tabs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2C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0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Comment le projet facilitera-t-il la large participation des parties prenantes parmi les acteurs urbains ?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applique-t-elle un processus participatif significatif pour impliquer les différentes parties prenantes liées au genre à chaque étape du projet ?</w:t>
            </w:r>
          </w:p>
          <w:p w:rsidR="00000000" w:rsidDel="00000000" w:rsidP="00000000" w:rsidRDefault="00000000" w:rsidRPr="00000000" w14:paraId="0000002F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3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Comment le projet intégrera-t-il les questions de genre ?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Au minimum, le projet considérera–t-il les questions ci-dessus? </w:t>
            </w:r>
          </w:p>
          <w:p w:rsidR="00000000" w:rsidDel="00000000" w:rsidP="00000000" w:rsidRDefault="00000000" w:rsidRPr="00000000" w14:paraId="00000035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 plus, disposez-vous d'une expertise/assistance technique en matière de genre, en particulier parmi les membres de l'équipe ?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39">
            <w:pPr>
              <w:spacing w:after="120" w:before="120" w:lineRule="auto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Section 3: Risques et dispositions fiduciaires du projet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D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Veuillez décrire les principales entités impliquées dans l'administration de la subvention et les activités de mise en œuvre du projet, leurs lignes de responsabilité et les transferts financiers relatifs à la subvention.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 projet reconnaît-il comment les différents risques peuvent affecter les hommes et les femmes, les garçons et les filles de manière différente? 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garantit-elle l’application de normes éthiques rigoureuses dans le travail avec les femmes, les enfants et/ou autres groupes vulnérables? 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60" w:before="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 proposition garantit-elle que les activités du projets sont planifiées de manière sensible au genre (par exemple, le projet vise-t-il à réduire la discrimination à l’égard des femmes, et cela sera-t-il surveillé)? 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4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808080" w:val="clear"/>
          </w:tcPr>
          <w:p w:rsidR="00000000" w:rsidDel="00000000" w:rsidP="00000000" w:rsidRDefault="00000000" w:rsidRPr="00000000" w14:paraId="0000004D">
            <w:pPr>
              <w:spacing w:after="60" w:before="60" w:lineRule="auto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ffff"/>
                <w:sz w:val="22"/>
                <w:szCs w:val="22"/>
                <w:rtl w:val="0"/>
              </w:rPr>
              <w:t xml:space="preserve">Section 4: Assumptions budgétaires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spacing w:after="60" w:before="60" w:lineRule="auto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Les ressources sont-elles alignées avec les objectifs spécifiques en matière de genre ?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5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before="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Des ressources adéquates ont-elles été fournies et allouées pour les activités liées au genre proposées ? 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60" w:before="6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[Veuillez élaborer]</w:t>
            </w:r>
          </w:p>
          <w:p w:rsidR="00000000" w:rsidDel="00000000" w:rsidP="00000000" w:rsidRDefault="00000000" w:rsidRPr="00000000" w14:paraId="0000005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60" w:before="60" w:line="240" w:lineRule="auto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1080" w:left="1080" w:right="1080" w:header="720" w:footer="27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hyperlink r:id="rId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Gender mainstreaming projects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240" w:lineRule="auto"/>
    </w:pPr>
    <w:rPr>
      <w:rFonts w:ascii="Calibri" w:cs="Calibri" w:eastAsia="Calibri" w:hAnsi="Calibri"/>
      <w:color w:val="44546a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8" w:hanging="578"/>
    </w:pPr>
    <w:rPr>
      <w:rFonts w:ascii="Calibri" w:cs="Calibri" w:eastAsia="Calibri" w:hAnsi="Calibri"/>
      <w:b w:val="1"/>
      <w:color w:val="ed7d3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40" w:lineRule="auto"/>
    </w:pPr>
    <w:rPr>
      <w:rFonts w:ascii="Calibri" w:cs="Calibri" w:eastAsia="Calibri" w:hAnsi="Calibri"/>
      <w:b w:val="1"/>
      <w:i w:val="1"/>
      <w:color w:val="ed7d3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line="240" w:lineRule="auto"/>
      <w:ind w:left="862" w:hanging="862"/>
    </w:pPr>
    <w:rPr>
      <w:rFonts w:ascii="Calibri" w:cs="Calibri" w:eastAsia="Calibri" w:hAnsi="Calibri"/>
      <w:i w:val="1"/>
      <w:color w:val="ed7d3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240" w:lineRule="auto"/>
    </w:pPr>
    <w:rPr>
      <w:rFonts w:ascii="Calibri" w:cs="Calibri" w:eastAsia="Calibri" w:hAnsi="Calibri"/>
      <w:color w:val="44546a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8" w:hanging="578"/>
    </w:pPr>
    <w:rPr>
      <w:rFonts w:ascii="Calibri" w:cs="Calibri" w:eastAsia="Calibri" w:hAnsi="Calibri"/>
      <w:b w:val="1"/>
      <w:color w:val="ed7d3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40" w:lineRule="auto"/>
    </w:pPr>
    <w:rPr>
      <w:rFonts w:ascii="Calibri" w:cs="Calibri" w:eastAsia="Calibri" w:hAnsi="Calibri"/>
      <w:b w:val="1"/>
      <w:i w:val="1"/>
      <w:color w:val="ed7d3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line="240" w:lineRule="auto"/>
      <w:ind w:left="862" w:hanging="862"/>
    </w:pPr>
    <w:rPr>
      <w:rFonts w:ascii="Calibri" w:cs="Calibri" w:eastAsia="Calibri" w:hAnsi="Calibri"/>
      <w:i w:val="1"/>
      <w:color w:val="ed7d3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240" w:lineRule="auto"/>
      <w:ind w:left="432" w:hanging="432"/>
    </w:pPr>
    <w:rPr>
      <w:rFonts w:ascii="Calibri" w:cs="Calibri" w:eastAsia="Calibri" w:hAnsi="Calibri"/>
      <w:color w:val="44546a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  <w:ind w:left="578" w:hanging="578"/>
    </w:pPr>
    <w:rPr>
      <w:rFonts w:ascii="Calibri" w:cs="Calibri" w:eastAsia="Calibri" w:hAnsi="Calibri"/>
      <w:b w:val="1"/>
      <w:color w:val="ed7d3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line="240" w:lineRule="auto"/>
      <w:ind w:left="720" w:hanging="720"/>
    </w:pPr>
    <w:rPr>
      <w:rFonts w:ascii="Calibri" w:cs="Calibri" w:eastAsia="Calibri" w:hAnsi="Calibri"/>
      <w:b w:val="1"/>
      <w:i w:val="1"/>
      <w:color w:val="ed7d3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line="240" w:lineRule="auto"/>
      <w:ind w:left="862" w:hanging="862"/>
    </w:pPr>
    <w:rPr>
      <w:rFonts w:ascii="Calibri" w:cs="Calibri" w:eastAsia="Calibri" w:hAnsi="Calibri"/>
      <w:i w:val="1"/>
      <w:color w:val="ed7d3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428D4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428D4"/>
    <w:pPr>
      <w:keepNext w:val="1"/>
      <w:keepLines w:val="1"/>
      <w:numPr>
        <w:numId w:val="1"/>
      </w:numPr>
      <w:spacing w:after="240" w:line="240" w:lineRule="auto"/>
      <w:outlineLvl w:val="0"/>
    </w:pPr>
    <w:rPr>
      <w:rFonts w:asciiTheme="majorHAnsi" w:cstheme="majorBidi" w:eastAsiaTheme="majorEastAsia" w:hAnsiTheme="majorHAnsi"/>
      <w:color w:val="44546a" w:themeColor="tex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5428D4"/>
    <w:pPr>
      <w:keepNext w:val="1"/>
      <w:keepLines w:val="1"/>
      <w:numPr>
        <w:ilvl w:val="1"/>
        <w:numId w:val="1"/>
      </w:numPr>
      <w:spacing w:after="120" w:line="240" w:lineRule="auto"/>
      <w:ind w:left="578" w:hanging="578"/>
      <w:outlineLvl w:val="1"/>
    </w:pPr>
    <w:rPr>
      <w:rFonts w:asciiTheme="majorHAnsi" w:cstheme="majorBidi" w:eastAsiaTheme="majorEastAsia" w:hAnsiTheme="majorHAnsi"/>
      <w:b w:val="1"/>
      <w:color w:val="ed7d31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5428D4"/>
    <w:pPr>
      <w:keepNext w:val="1"/>
      <w:keepLines w:val="1"/>
      <w:numPr>
        <w:ilvl w:val="2"/>
        <w:numId w:val="1"/>
      </w:numPr>
      <w:spacing w:after="120" w:line="240" w:lineRule="auto"/>
      <w:outlineLvl w:val="2"/>
    </w:pPr>
    <w:rPr>
      <w:rFonts w:asciiTheme="majorHAnsi" w:cstheme="majorBidi" w:eastAsiaTheme="majorEastAsia" w:hAnsiTheme="majorHAnsi"/>
      <w:b w:val="1"/>
      <w:i w:val="1"/>
      <w:color w:val="ed7d31" w:themeColor="accen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5428D4"/>
    <w:pPr>
      <w:keepNext w:val="1"/>
      <w:keepLines w:val="1"/>
      <w:numPr>
        <w:ilvl w:val="3"/>
        <w:numId w:val="1"/>
      </w:numPr>
      <w:spacing w:after="60" w:line="240" w:lineRule="auto"/>
      <w:ind w:left="862" w:hanging="862"/>
      <w:outlineLvl w:val="3"/>
    </w:pPr>
    <w:rPr>
      <w:rFonts w:asciiTheme="majorHAnsi" w:cstheme="majorBidi" w:eastAsiaTheme="majorEastAsia" w:hAnsiTheme="majorHAnsi"/>
      <w:i w:val="1"/>
      <w:iCs w:val="1"/>
      <w:color w:val="ed7d31" w:themeColor="accent2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428D4"/>
    <w:rPr>
      <w:rFonts w:asciiTheme="majorHAnsi" w:cstheme="majorBidi" w:eastAsiaTheme="majorEastAsia" w:hAnsiTheme="majorHAnsi"/>
      <w:color w:val="44546a" w:themeColor="text2"/>
      <w:sz w:val="40"/>
      <w:szCs w:val="40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rsid w:val="005428D4"/>
    <w:rPr>
      <w:rFonts w:asciiTheme="majorHAnsi" w:cstheme="majorBidi" w:eastAsiaTheme="majorEastAsia" w:hAnsiTheme="majorHAnsi"/>
      <w:b w:val="1"/>
      <w:color w:val="ed7d31" w:themeColor="accent2"/>
      <w:sz w:val="28"/>
      <w:szCs w:val="28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5428D4"/>
    <w:rPr>
      <w:rFonts w:asciiTheme="majorHAnsi" w:cstheme="majorBidi" w:eastAsiaTheme="majorEastAsia" w:hAnsiTheme="majorHAnsi"/>
      <w:b w:val="1"/>
      <w:i w:val="1"/>
      <w:color w:val="ed7d31" w:themeColor="accent2"/>
      <w:sz w:val="24"/>
      <w:szCs w:val="24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5428D4"/>
    <w:rPr>
      <w:rFonts w:asciiTheme="majorHAnsi" w:cstheme="majorBidi" w:eastAsiaTheme="majorEastAsia" w:hAnsiTheme="majorHAnsi"/>
      <w:i w:val="1"/>
      <w:iCs w:val="1"/>
      <w:color w:val="ed7d31" w:themeColor="accent2"/>
      <w:sz w:val="24"/>
      <w:szCs w:val="24"/>
      <w:lang w:val="en-GB"/>
    </w:rPr>
  </w:style>
  <w:style w:type="table" w:styleId="SDDblue" w:customStyle="1">
    <w:name w:val="SDD blue"/>
    <w:basedOn w:val="TableGrid"/>
    <w:uiPriority w:val="99"/>
    <w:rsid w:val="005428D4"/>
    <w:rPr>
      <w:sz w:val="18"/>
      <w:szCs w:val="20"/>
      <w:lang w:eastAsia="en-GB" w:val="en-GB"/>
    </w:rPr>
    <w:tblPr>
      <w:tblBorders>
        <w:top w:color="44546a" w:space="0" w:sz="4" w:themeColor="text2" w:val="single"/>
        <w:left w:color="44546a" w:space="0" w:sz="4" w:themeColor="text2" w:val="single"/>
        <w:bottom w:color="44546a" w:space="0" w:sz="4" w:themeColor="text2" w:val="single"/>
        <w:right w:color="44546a" w:space="0" w:sz="4" w:themeColor="text2" w:val="single"/>
        <w:insideH w:color="44546a" w:space="0" w:sz="4" w:themeColor="text2" w:val="single"/>
        <w:insideV w:color="44546a" w:space="0" w:sz="4" w:themeColor="text2" w:val="single"/>
      </w:tblBorders>
    </w:tblPr>
    <w:tblStylePr w:type="firstRow">
      <w:rPr>
        <w:rFonts w:asciiTheme="minorHAnsi" w:hAnsiTheme="minorHAnsi"/>
        <w:b w:val="1"/>
        <w:color w:val="ffffff" w:themeColor="background1"/>
        <w:sz w:val="18"/>
      </w:rPr>
      <w:tblPr/>
      <w:tcPr>
        <w:shd w:color="auto" w:fill="44546a" w:themeFill="text2" w:val="clear"/>
      </w:tcPr>
    </w:tblStylePr>
  </w:style>
  <w:style w:type="paragraph" w:styleId="NoSpacing">
    <w:name w:val="No Spacing"/>
    <w:link w:val="NoSpacingChar"/>
    <w:uiPriority w:val="1"/>
    <w:qFormat w:val="1"/>
    <w:rsid w:val="005428D4"/>
    <w:pPr>
      <w:spacing w:after="0" w:line="240" w:lineRule="auto"/>
    </w:pPr>
    <w:rPr>
      <w:rFonts w:ascii="Calibri" w:cs="Times New Roman" w:eastAsia="Calibri" w:hAnsi="Calibri"/>
    </w:rPr>
  </w:style>
  <w:style w:type="character" w:styleId="NoSpacingChar" w:customStyle="1">
    <w:name w:val="No Spacing Char"/>
    <w:link w:val="NoSpacing"/>
    <w:uiPriority w:val="1"/>
    <w:rsid w:val="005428D4"/>
    <w:rPr>
      <w:rFonts w:ascii="Calibri" w:cs="Times New Roman" w:eastAsia="Calibri" w:hAnsi="Calibri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2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428D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428D4"/>
    <w:rPr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5428D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28D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28D4"/>
    <w:rPr>
      <w:rFonts w:ascii="Segoe UI" w:cs="Segoe UI" w:hAnsi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 w:val="1"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428D4"/>
    <w:rPr>
      <w:lang w:val="en-GB"/>
    </w:rPr>
  </w:style>
  <w:style w:type="paragraph" w:styleId="Footer">
    <w:name w:val="footer"/>
    <w:basedOn w:val="Normal"/>
    <w:link w:val="FooterChar"/>
    <w:unhideWhenUsed w:val="1"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428D4"/>
    <w:rPr>
      <w:lang w:val="en-GB"/>
    </w:rPr>
  </w:style>
  <w:style w:type="paragraph" w:styleId="ListParagraph">
    <w:name w:val="List Paragraph"/>
    <w:basedOn w:val="Normal"/>
    <w:link w:val="ListParagraphChar"/>
    <w:uiPriority w:val="34"/>
    <w:qFormat w:val="1"/>
    <w:rsid w:val="008C6F54"/>
    <w:pPr>
      <w:ind w:left="720"/>
      <w:contextualSpacing w:val="1"/>
    </w:pPr>
  </w:style>
  <w:style w:type="character" w:styleId="PlaceholderText">
    <w:name w:val="Placeholder Text"/>
    <w:basedOn w:val="DefaultParagraphFont"/>
    <w:uiPriority w:val="99"/>
    <w:semiHidden w:val="1"/>
    <w:rsid w:val="00345EFF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E97B0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97B0E"/>
    <w:rPr>
      <w:b w:val="1"/>
      <w:bCs w:val="1"/>
      <w:sz w:val="20"/>
      <w:szCs w:val="20"/>
      <w:lang w:val="en-GB"/>
    </w:rPr>
  </w:style>
  <w:style w:type="character" w:styleId="ListParagraphChar" w:customStyle="1">
    <w:name w:val="List Paragraph Char"/>
    <w:link w:val="ListParagraph"/>
    <w:uiPriority w:val="34"/>
    <w:locked w:val="1"/>
    <w:rsid w:val="004E4EC5"/>
    <w:rPr>
      <w:lang w:val="en-GB"/>
    </w:rPr>
  </w:style>
  <w:style w:type="character" w:styleId="fontstyle01" w:customStyle="1">
    <w:name w:val="fontstyle01"/>
    <w:basedOn w:val="DefaultParagraphFont"/>
    <w:rsid w:val="007243A1"/>
    <w:rPr>
      <w:rFonts w:ascii="Times New Roman" w:cs="Times New Roman" w:hAnsi="Times New Roman" w:hint="default"/>
      <w:b w:val="1"/>
      <w:bCs w:val="1"/>
      <w:i w:val="0"/>
      <w:iCs w:val="0"/>
      <w:color w:val="000000"/>
      <w:sz w:val="22"/>
      <w:szCs w:val="22"/>
    </w:rPr>
  </w:style>
  <w:style w:type="paragraph" w:styleId="MediumGrid21" w:customStyle="1">
    <w:name w:val="Medium Grid 21"/>
    <w:rsid w:val="000C458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Calibri" w:cs="Arial Unicode MS" w:eastAsia="Arial Unicode MS" w:hAnsi="Calibri"/>
      <w:color w:val="000000"/>
      <w:u w:color="000000"/>
      <w:bdr w:space="0" w:sz="0" w:val="nil"/>
    </w:rPr>
  </w:style>
  <w:style w:type="paragraph" w:styleId="Body" w:customStyle="1">
    <w:name w:val="Body"/>
    <w:rsid w:val="003E559F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line="240" w:lineRule="auto"/>
    </w:pPr>
    <w:rPr>
      <w:rFonts w:ascii="Times New Roman" w:cs="Arial Unicode MS" w:eastAsia="Arial Unicode MS" w:hAnsi="Times New Roman"/>
      <w:color w:val="000000"/>
      <w:sz w:val="24"/>
      <w:szCs w:val="24"/>
      <w:u w:color="000000"/>
      <w:bdr w:space="0" w:sz="0" w:val="nil"/>
    </w:rPr>
  </w:style>
  <w:style w:type="character" w:styleId="MediumGrid2-Accent1Char" w:customStyle="1">
    <w:name w:val="Medium Grid 2 - Accent 1 Char"/>
    <w:link w:val="MediumGrid2-Accent1"/>
    <w:uiPriority w:val="1"/>
    <w:rsid w:val="00492CF7"/>
    <w:rPr>
      <w:sz w:val="22"/>
      <w:szCs w:val="22"/>
      <w:lang w:bidi="ar-SA" w:eastAsia="en-US" w:val="en-US"/>
    </w:rPr>
  </w:style>
  <w:style w:type="table" w:styleId="MediumGrid2-Accent1">
    <w:name w:val="Medium Grid 2 Accent 1"/>
    <w:basedOn w:val="TableNormal"/>
    <w:link w:val="MediumGrid2-Accent1Char"/>
    <w:uiPriority w:val="1"/>
    <w:semiHidden w:val="1"/>
    <w:unhideWhenUsed w:val="1"/>
    <w:rsid w:val="00492CF7"/>
    <w:pPr>
      <w:spacing w:after="0" w:line="240" w:lineRule="auto"/>
    </w:pPr>
    <w:tblPr>
      <w:tblStyleRowBandSize w:val="1"/>
      <w:tblStyleColBandSize w:val="1"/>
      <w:tblBorders>
        <w:top w:color="5b9bd5" w:space="0" w:sz="8" w:themeColor="accent1" w:val="single"/>
        <w:left w:color="5b9bd5" w:space="0" w:sz="8" w:themeColor="accent1" w:val="single"/>
        <w:bottom w:color="5b9bd5" w:space="0" w:sz="8" w:themeColor="accent1" w:val="single"/>
        <w:right w:color="5b9bd5" w:space="0" w:sz="8" w:themeColor="accent1" w:val="single"/>
        <w:insideH w:color="5b9bd5" w:space="0" w:sz="8" w:themeColor="accent1" w:val="single"/>
        <w:insideV w:color="5b9bd5" w:space="0" w:sz="8" w:themeColor="accent1" w:val="single"/>
      </w:tblBorders>
    </w:tblPr>
    <w:tcPr>
      <w:shd w:color="auto" w:fill="d6e6f4" w:themeFill="accent1" w:themeFillTint="00003F" w:val="clear"/>
    </w:tcPr>
    <w:tblStylePr w:type="firstRow">
      <w:tblPr/>
      <w:tcPr>
        <w:shd w:color="auto" w:fill="eef5fb" w:themeFill="accent1" w:themeFillTint="000019" w:val="clear"/>
      </w:tcPr>
    </w:tblStylePr>
    <w:tblStylePr w:type="lastRow"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eeaf6" w:themeFill="accent1" w:themeFillTint="000033" w:val="clear"/>
      </w:tcPr>
    </w:tblStylePr>
    <w:tblStylePr w:type="band1Vert">
      <w:tblPr/>
      <w:tcPr>
        <w:shd w:color="auto" w:fill="adccea" w:themeFill="accent1" w:themeFillTint="00007F" w:val="clear"/>
      </w:tcPr>
    </w:tblStylePr>
    <w:tblStylePr w:type="band1Horz">
      <w:tblPr/>
      <w:tcPr>
        <w:tcBorders>
          <w:insideH w:color="5b9bd5" w:space="0" w:sz="6" w:themeColor="accent1" w:val="single"/>
          <w:insideV w:color="5b9bd5" w:space="0" w:sz="6" w:themeColor="accent1" w:val="single"/>
        </w:tcBorders>
        <w:shd w:color="auto" w:fill="adccea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0C7E0D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0C7E0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0C7E0D"/>
    <w:rPr>
      <w:vertAlign w:val="superscript"/>
    </w:rPr>
  </w:style>
  <w:style w:type="character" w:styleId="Hyperlink">
    <w:name w:val="Hyperlink"/>
    <w:basedOn w:val="DefaultParagraphFont"/>
    <w:uiPriority w:val="99"/>
    <w:unhideWhenUsed w:val="1"/>
    <w:rsid w:val="000C7E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0C7E0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  <w:tblStylePr w:type="firstRow">
      <w:rPr>
        <w:rFonts w:ascii="Calibri" w:cs="Calibri" w:eastAsia="Calibri" w:hAnsi="Calibri"/>
        <w:b w:val="1"/>
        <w:color w:val="ffffff"/>
        <w:sz w:val="18"/>
        <w:szCs w:val="18"/>
      </w:rPr>
      <w:tcPr>
        <w:shd w:fill="44546a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  <w:tblStylePr w:type="firstRow">
      <w:rPr>
        <w:rFonts w:ascii="Calibri" w:cs="Calibri" w:eastAsia="Calibri" w:hAnsi="Calibri"/>
        <w:b w:val="1"/>
        <w:color w:val="ffffff"/>
        <w:sz w:val="18"/>
        <w:szCs w:val="18"/>
      </w:rPr>
      <w:tcPr>
        <w:shd w:fill="44546a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  <w:tblStylePr w:type="firstRow">
      <w:rPr>
        <w:rFonts w:ascii="Calibri" w:cs="Calibri" w:eastAsia="Calibri" w:hAnsi="Calibri"/>
        <w:b w:val="1"/>
        <w:color w:val="ffffff"/>
        <w:sz w:val="18"/>
        <w:szCs w:val="18"/>
      </w:rPr>
      <w:tcPr>
        <w:shd w:fill="44546a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s://www.citiesalliance.org/sites/default/files/2020-03/200221%20Cities%20Alliance%20gender%20mainstreaming%20in%20projects%20handout%20(1).pdf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jp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citiesalliance.org/sites/default/files/2020-03/200221%20Cities%20Alliance%20gender%20mainstreaming%20in%20projects%20handout%20(1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6Uj0Ipr+YvvyLkZkc3qpcx7nWg==">CgMxLjAyDmguemJ2OHMwaGQ1NGM3MghoLmdqZGd4czIOaC55bWN2eW5ycW54MWMyDmguZTR3YXFlZnY2YXBsOAByITFZdXlTbFVzUzRuWFFHYkE5dGJ1Q0VjYkRJTEw1Z0oyTg==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2022-08-12T09:24:00Z</dcterms:created>
  <dc:creator>Zahrah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lpwstr>4171600.0</vt:lpwstr>
  </property>
</Properties>
</file>