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Section II: Schedule of Requirements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rPr>
          <w:b w:val="1"/>
        </w:rPr>
      </w:pPr>
      <w:r w:rsidDel="00000000" w:rsidR="00000000" w:rsidRPr="00000000">
        <w:rPr>
          <w:b w:val="1"/>
          <w:rtl w:val="0"/>
        </w:rPr>
        <w:t xml:space="preserve">Summary of Requirements for:</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keepNext w:val="1"/>
        <w:spacing w:line="360" w:lineRule="auto"/>
        <w:ind w:left="720" w:firstLine="0"/>
        <w:jc w:val="both"/>
        <w:rPr>
          <w:b w:val="1"/>
          <w:highlight w:val="white"/>
        </w:rPr>
      </w:pPr>
      <w:r w:rsidDel="00000000" w:rsidR="00000000" w:rsidRPr="00000000">
        <w:rPr>
          <w:b w:val="1"/>
          <w:highlight w:val="white"/>
          <w:rtl w:val="0"/>
        </w:rPr>
        <w:t xml:space="preserve">Item 1. Wheeled tractor - 1 PCS</w:t>
      </w:r>
    </w:p>
    <w:p w:rsidR="00000000" w:rsidDel="00000000" w:rsidP="00000000" w:rsidRDefault="00000000" w:rsidRPr="00000000" w14:paraId="00000006">
      <w:pPr>
        <w:keepNext w:val="1"/>
        <w:spacing w:line="360" w:lineRule="auto"/>
        <w:ind w:left="720" w:firstLine="0"/>
        <w:jc w:val="both"/>
        <w:rPr>
          <w:b w:val="1"/>
          <w:highlight w:val="white"/>
        </w:rPr>
      </w:pPr>
      <w:r w:rsidDel="00000000" w:rsidR="00000000" w:rsidRPr="00000000">
        <w:rPr>
          <w:b w:val="1"/>
          <w:highlight w:val="white"/>
          <w:rtl w:val="0"/>
        </w:rPr>
        <w:t xml:space="preserve">Item 2. Mulcher for milling stumps, roots and stones - 1 PCS</w:t>
      </w:r>
    </w:p>
    <w:p w:rsidR="00000000" w:rsidDel="00000000" w:rsidP="00000000" w:rsidRDefault="00000000" w:rsidRPr="00000000" w14:paraId="00000007">
      <w:pPr>
        <w:keepNext w:val="1"/>
        <w:spacing w:line="360" w:lineRule="auto"/>
        <w:jc w:val="both"/>
        <w:rPr>
          <w:b w:val="1"/>
        </w:rPr>
      </w:pP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008">
      <w:pPr>
        <w:numPr>
          <w:ilvl w:val="0"/>
          <w:numId w:val="1"/>
        </w:numPr>
        <w:ind w:left="720" w:hanging="360"/>
        <w:rPr>
          <w:b w:val="1"/>
        </w:rPr>
      </w:pPr>
      <w:r w:rsidDel="00000000" w:rsidR="00000000" w:rsidRPr="00000000">
        <w:rPr>
          <w:b w:val="1"/>
          <w:rtl w:val="0"/>
        </w:rPr>
        <w:t xml:space="preserve">Technical Specifications for Services – Comparative Data Table</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highlight w:val="white"/>
          <w:rtl w:val="0"/>
        </w:rPr>
        <w:t xml:space="preserve">Item 1: Supply of </w:t>
      </w:r>
      <w:r w:rsidDel="00000000" w:rsidR="00000000" w:rsidRPr="00000000">
        <w:rPr>
          <w:b w:val="1"/>
          <w:sz w:val="22"/>
          <w:szCs w:val="22"/>
          <w:rtl w:val="0"/>
        </w:rPr>
        <w:t xml:space="preserve">Wheeled tractor as further described in the table</w:t>
      </w:r>
    </w:p>
    <w:p w:rsidR="00000000" w:rsidDel="00000000" w:rsidP="00000000" w:rsidRDefault="00000000" w:rsidRPr="00000000" w14:paraId="0000000B">
      <w:pPr>
        <w:rPr>
          <w:b w:val="1"/>
          <w:sz w:val="22"/>
          <w:szCs w:val="22"/>
        </w:rPr>
      </w:pPr>
      <w:r w:rsidDel="00000000" w:rsidR="00000000" w:rsidRPr="00000000">
        <w:rPr>
          <w:rtl w:val="0"/>
        </w:rPr>
      </w:r>
    </w:p>
    <w:p w:rsidR="00000000" w:rsidDel="00000000" w:rsidP="00000000" w:rsidRDefault="00000000" w:rsidRPr="00000000" w14:paraId="0000000C">
      <w:pPr>
        <w:spacing w:after="280" w:lineRule="auto"/>
        <w:rPr>
          <w:b w:val="1"/>
          <w:sz w:val="22"/>
          <w:szCs w:val="22"/>
        </w:rPr>
      </w:pPr>
      <w:r w:rsidDel="00000000" w:rsidR="00000000" w:rsidRPr="00000000">
        <w:rPr>
          <w:b w:val="1"/>
          <w:sz w:val="22"/>
          <w:szCs w:val="22"/>
          <w:rtl w:val="0"/>
        </w:rPr>
        <w:t xml:space="preserve">B 1. Technical specifications for Goods and Comparative Data Tables - Item 1:</w:t>
      </w:r>
    </w:p>
    <w:tbl>
      <w:tblPr>
        <w:tblStyle w:val="Table1"/>
        <w:tblW w:w="10440.0" w:type="dxa"/>
        <w:jc w:val="left"/>
        <w:tblInd w:w="-5.0" w:type="dxa"/>
        <w:tblLayout w:type="fixed"/>
        <w:tblLook w:val="0400"/>
      </w:tblPr>
      <w:tblGrid>
        <w:gridCol w:w="675"/>
        <w:gridCol w:w="6885"/>
        <w:gridCol w:w="1575"/>
        <w:gridCol w:w="1305"/>
        <w:tblGridChange w:id="0">
          <w:tblGrid>
            <w:gridCol w:w="675"/>
            <w:gridCol w:w="6885"/>
            <w:gridCol w:w="1575"/>
            <w:gridCol w:w="1305"/>
          </w:tblGrid>
        </w:tblGridChange>
      </w:tblGrid>
      <w:tr>
        <w:trPr>
          <w:cantSplit w:val="0"/>
          <w:trHeight w:val="141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D">
            <w:pPr>
              <w:widowControl w:val="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E">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F">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Bidder to complete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1">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Bidder to complete</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2">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3">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Wheeled tractor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5">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301"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6">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Engine type - diesel</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9">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A">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Rated engine power not less than 145 hp</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D">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Traction: 4x4 (4-wheel drive)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rPr/>
            </w:pPr>
            <w:r w:rsidDel="00000000" w:rsidR="00000000" w:rsidRPr="00000000">
              <w:rPr>
                <w:rFonts w:ascii="Arial" w:cs="Arial" w:eastAsia="Arial" w:hAnsi="Arial"/>
                <w:sz w:val="20"/>
                <w:szCs w:val="20"/>
                <w:rtl w:val="0"/>
              </w:rPr>
              <w:t xml:space="preserve">Transmission - min. 10 forward /2 reverse </w:t>
            </w:r>
            <w:r w:rsidDel="00000000" w:rsidR="00000000" w:rsidRPr="00000000">
              <w:rPr>
                <w:rtl w:val="0"/>
              </w:rPr>
              <w:t xml:space="preserve">or CVT or similar</w:t>
            </w:r>
          </w:p>
          <w:p w:rsidR="00000000" w:rsidDel="00000000" w:rsidP="00000000" w:rsidRDefault="00000000" w:rsidRPr="00000000" w14:paraId="00000024">
            <w:pPr>
              <w:widowControl w:val="0"/>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widowControl w:val="0"/>
              <w:spacing w:line="276" w:lineRule="auto"/>
              <w:rPr>
                <w:rFonts w:ascii="Arial" w:cs="Arial" w:eastAsia="Arial" w:hAnsi="Arial"/>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rear PTO speed: 540 and 1000 rpm. Must match offered Mulcher as per lot 2</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Rear PTO shanks splines, 6,8,21. Must match offered Mulcher as per lot 2</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0">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Maximum speed - not less than 40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612.978515625"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Lifting force of the rear lift ball ends- min.4500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717.978515625"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Rear lift category - 3</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Road legal light system. Headlights, min. 2, working lighting on the back - min.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0">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counterweight - min. 14 x 50 = 700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Creeper function, max 0.5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linkage - min. 1.5 tons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Front PTO - 1000 rpm.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400"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gridSpan w:val="3"/>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Additional equipment</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pPr>
            <w:r w:rsidDel="00000000" w:rsidR="00000000" w:rsidRPr="00000000">
              <w:rPr>
                <w:sz w:val="20"/>
                <w:szCs w:val="20"/>
                <w:rtl w:val="0"/>
              </w:rPr>
              <w:t xml:space="preserve">2.1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tl w:val="0"/>
              </w:rPr>
              <w:t xml:space="preserve">Traction bar 30 mm in diameter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pPr>
            <w:r w:rsidDel="00000000" w:rsidR="00000000" w:rsidRPr="00000000">
              <w:rPr>
                <w:sz w:val="20"/>
                <w:szCs w:val="20"/>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rtl w:val="0"/>
              </w:rPr>
              <w:t xml:space="preserve">HVAC in cabin, non CFC AC</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pPr>
            <w:r w:rsidDel="00000000" w:rsidR="00000000" w:rsidRPr="00000000">
              <w:rPr>
                <w:sz w:val="20"/>
                <w:szCs w:val="20"/>
                <w:rtl w:val="0"/>
              </w:rPr>
              <w:t xml:space="preserve">2.3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pPr>
            <w:r w:rsidDel="00000000" w:rsidR="00000000" w:rsidRPr="00000000">
              <w:rPr>
                <w:rtl w:val="0"/>
              </w:rPr>
              <w:t xml:space="preserve">Passenger seat with seat belt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pPr>
            <w:r w:rsidDel="00000000" w:rsidR="00000000" w:rsidRPr="00000000">
              <w:rPr>
                <w:sz w:val="20"/>
                <w:szCs w:val="20"/>
                <w:rtl w:val="0"/>
              </w:rPr>
              <w:t xml:space="preserve">2.4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tl w:val="0"/>
              </w:rPr>
              <w:t xml:space="preserve">Fire extinguisher, 2 kg. min.</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pPr>
            <w:r w:rsidDel="00000000" w:rsidR="00000000" w:rsidRPr="00000000">
              <w:rPr>
                <w:sz w:val="20"/>
                <w:szCs w:val="20"/>
                <w:rtl w:val="0"/>
              </w:rPr>
              <w:t xml:space="preserve">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rPr/>
            </w:pPr>
            <w:r w:rsidDel="00000000" w:rsidR="00000000" w:rsidRPr="00000000">
              <w:rPr>
                <w:rtl w:val="0"/>
              </w:rPr>
              <w:t xml:space="preserve">First aid kit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jc w:val="center"/>
              <w:rPr/>
            </w:pPr>
            <w:r w:rsidDel="00000000" w:rsidR="00000000" w:rsidRPr="00000000">
              <w:rPr>
                <w:sz w:val="20"/>
                <w:szCs w:val="20"/>
                <w:rtl w:val="0"/>
              </w:rPr>
              <w:t xml:space="preserve">2.6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rPr/>
            </w:pPr>
            <w:r w:rsidDel="00000000" w:rsidR="00000000" w:rsidRPr="00000000">
              <w:rPr>
                <w:rtl w:val="0"/>
              </w:rPr>
              <w:t xml:space="preserve">Operation manual (in English and/or Ukrainian)</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pPr>
            <w:r w:rsidDel="00000000" w:rsidR="00000000" w:rsidRPr="00000000">
              <w:rPr>
                <w:sz w:val="20"/>
                <w:szCs w:val="20"/>
                <w:rtl w:val="0"/>
              </w:rPr>
              <w:t xml:space="preserve">2.7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tl w:val="0"/>
              </w:rPr>
              <w:t xml:space="preserve">A set of tools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302"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pPr>
            <w:r w:rsidDel="00000000" w:rsidR="00000000" w:rsidRPr="00000000">
              <w:rPr>
                <w:sz w:val="20"/>
                <w:szCs w:val="20"/>
                <w:rtl w:val="0"/>
              </w:rPr>
              <w:t xml:space="preserve">2.8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rPr/>
            </w:pPr>
            <w:r w:rsidDel="00000000" w:rsidR="00000000" w:rsidRPr="00000000">
              <w:rPr>
                <w:rtl w:val="0"/>
              </w:rPr>
              <w:t xml:space="preserve">Warning triangle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4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4">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 and documents</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pPr>
            <w:r w:rsidDel="00000000" w:rsidR="00000000" w:rsidRPr="00000000">
              <w:rPr>
                <w:sz w:val="20"/>
                <w:szCs w:val="20"/>
                <w:rtl w:val="0"/>
              </w:rPr>
              <w:t xml:space="preserve">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pPr>
            <w:r w:rsidDel="00000000" w:rsidR="00000000" w:rsidRPr="00000000">
              <w:rPr>
                <w:rtl w:val="0"/>
              </w:rPr>
              <w:t xml:space="preserve">Bid includes brand/model of the goods and manufacturer's technical literature/catalogue, all confirming that the offered items comply with required specifications.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pPr>
            <w:r w:rsidDel="00000000" w:rsidR="00000000" w:rsidRPr="00000000">
              <w:rPr>
                <w:sz w:val="20"/>
                <w:szCs w:val="20"/>
                <w:rtl w:val="0"/>
              </w:rPr>
              <w:t xml:space="preserve">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rtl w:val="0"/>
              </w:rPr>
              <w:t xml:space="preserve">Bidder or manufacturer of the vehicle must have a representative office in Ukraine that provides after sale service available in Ukraine or agreement with the local representative of the manufacturer or service company that can provide maintenance of the vehicle. The Bidder must provide contact details of the service centre as well as co  nfirmation from the service centre that it will provide after sale services for the proposed vehicle.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t xml:space="preserve">The warranty on the vehicle min. 1 year or 1500 hours whatever occurs first. Warranty must include manufacturing defects and labour charges.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pPr>
            <w:r w:rsidDel="00000000" w:rsidR="00000000" w:rsidRPr="00000000">
              <w:rPr>
                <w:sz w:val="20"/>
                <w:szCs w:val="20"/>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pPr>
            <w:r w:rsidDel="00000000" w:rsidR="00000000" w:rsidRPr="00000000">
              <w:rPr>
                <w:rtl w:val="0"/>
              </w:rPr>
              <w:t xml:space="preserve">Warranty service. The name of the company, address, telephone- and fax numbers, e-mail address must be mentioned in the bid. The service centre shall have at least one certified engineer in its staff.</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pPr>
            <w:r w:rsidDel="00000000" w:rsidR="00000000" w:rsidRPr="00000000">
              <w:rPr>
                <w:sz w:val="20"/>
                <w:szCs w:val="20"/>
                <w:rtl w:val="0"/>
              </w:rPr>
              <w:t xml:space="preserve">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pPr>
            <w:r w:rsidDel="00000000" w:rsidR="00000000" w:rsidRPr="00000000">
              <w:rPr>
                <w:rtl w:val="0"/>
              </w:rPr>
              <w:t xml:space="preserve">Technical documentation for maintenance and repair of the supplied goods. The minimum set of technical documents to be provided with each piece of equipment delivered is the following:</w:t>
            </w:r>
          </w:p>
          <w:p w:rsidR="00000000" w:rsidDel="00000000" w:rsidP="00000000" w:rsidRDefault="00000000" w:rsidRPr="00000000" w14:paraId="0000008A">
            <w:pPr>
              <w:widowControl w:val="0"/>
              <w:spacing w:line="276" w:lineRule="auto"/>
              <w:rPr/>
            </w:pPr>
            <w:r w:rsidDel="00000000" w:rsidR="00000000" w:rsidRPr="00000000">
              <w:rPr>
                <w:rtl w:val="0"/>
              </w:rPr>
              <w:t xml:space="preserve">• User Manual and Operating Instructions (in Ukrainian) </w:t>
            </w:r>
          </w:p>
          <w:p w:rsidR="00000000" w:rsidDel="00000000" w:rsidP="00000000" w:rsidRDefault="00000000" w:rsidRPr="00000000" w14:paraId="0000008B">
            <w:pPr>
              <w:widowControl w:val="0"/>
              <w:spacing w:line="276" w:lineRule="auto"/>
              <w:rPr/>
            </w:pPr>
            <w:r w:rsidDel="00000000" w:rsidR="00000000" w:rsidRPr="00000000">
              <w:rPr>
                <w:rtl w:val="0"/>
              </w:rPr>
              <w:t xml:space="preserve">• Technical Certificate/maintenance guidelines (in Ukrainian or English). </w:t>
            </w:r>
          </w:p>
          <w:p w:rsidR="00000000" w:rsidDel="00000000" w:rsidP="00000000" w:rsidRDefault="00000000" w:rsidRPr="00000000" w14:paraId="0000008C">
            <w:pPr>
              <w:widowControl w:val="0"/>
              <w:spacing w:line="276" w:lineRule="auto"/>
              <w:rPr/>
            </w:pPr>
            <w:r w:rsidDel="00000000" w:rsidR="00000000" w:rsidRPr="00000000">
              <w:rPr>
                <w:rtl w:val="0"/>
              </w:rPr>
              <w:t xml:space="preserve">All tags/labels on the equipment shall be in English or Ukrainian language.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pPr>
            <w:r w:rsidDel="00000000" w:rsidR="00000000" w:rsidRPr="00000000">
              <w:rPr>
                <w:sz w:val="20"/>
                <w:szCs w:val="20"/>
                <w:rtl w:val="0"/>
              </w:rPr>
              <w:t xml:space="preserve">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pPr>
            <w:r w:rsidDel="00000000" w:rsidR="00000000" w:rsidRPr="00000000">
              <w:rPr>
                <w:rtl w:val="0"/>
              </w:rPr>
              <w:t xml:space="preserve">Please provide shipping dimension: L x W x H, as well as Kerb/shipping weight in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1">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pPr>
            <w:r w:rsidDel="00000000" w:rsidR="00000000" w:rsidRPr="00000000">
              <w:rPr>
                <w:sz w:val="20"/>
                <w:szCs w:val="20"/>
                <w:rtl w:val="0"/>
              </w:rPr>
              <w:t xml:space="preserve">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pPr>
            <w:r w:rsidDel="00000000" w:rsidR="00000000" w:rsidRPr="00000000">
              <w:rPr>
                <w:rtl w:val="0"/>
              </w:rPr>
              <w:t xml:space="preserve">Bid includes the Country of origin of the goods.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6">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bl>
    <w:p w:rsidR="00000000" w:rsidDel="00000000" w:rsidP="00000000" w:rsidRDefault="00000000" w:rsidRPr="00000000" w14:paraId="00000097">
      <w:pPr>
        <w:rPr>
          <w:b w:val="1"/>
          <w:sz w:val="22"/>
          <w:szCs w:val="22"/>
        </w:rPr>
      </w:pPr>
      <w:r w:rsidDel="00000000" w:rsidR="00000000" w:rsidRPr="00000000">
        <w:rPr>
          <w:rtl w:val="0"/>
        </w:rPr>
      </w:r>
    </w:p>
    <w:p w:rsidR="00000000" w:rsidDel="00000000" w:rsidP="00000000" w:rsidRDefault="00000000" w:rsidRPr="00000000" w14:paraId="00000098">
      <w:pPr>
        <w:rPr>
          <w:b w:val="1"/>
          <w:sz w:val="22"/>
          <w:szCs w:val="22"/>
          <w:highlight w:val="white"/>
        </w:rPr>
      </w:pPr>
      <w:r w:rsidDel="00000000" w:rsidR="00000000" w:rsidRPr="00000000">
        <w:rPr>
          <w:rtl w:val="0"/>
        </w:rPr>
      </w:r>
    </w:p>
    <w:p w:rsidR="00000000" w:rsidDel="00000000" w:rsidP="00000000" w:rsidRDefault="00000000" w:rsidRPr="00000000" w14:paraId="00000099">
      <w:pPr>
        <w:rPr>
          <w:b w:val="1"/>
          <w:sz w:val="22"/>
          <w:szCs w:val="22"/>
        </w:rPr>
      </w:pPr>
      <w:r w:rsidDel="00000000" w:rsidR="00000000" w:rsidRPr="00000000">
        <w:rPr>
          <w:b w:val="1"/>
          <w:sz w:val="22"/>
          <w:szCs w:val="22"/>
          <w:highlight w:val="white"/>
          <w:rtl w:val="0"/>
        </w:rPr>
        <w:t xml:space="preserve">Item 2: Supply of </w:t>
      </w:r>
      <w:r w:rsidDel="00000000" w:rsidR="00000000" w:rsidRPr="00000000">
        <w:rPr>
          <w:b w:val="1"/>
          <w:sz w:val="22"/>
          <w:szCs w:val="22"/>
          <w:rtl w:val="0"/>
        </w:rPr>
        <w:t xml:space="preserve">Mulcher for milling stumps, roots and stones as further described in the table</w:t>
      </w:r>
    </w:p>
    <w:p w:rsidR="00000000" w:rsidDel="00000000" w:rsidP="00000000" w:rsidRDefault="00000000" w:rsidRPr="00000000" w14:paraId="0000009A">
      <w:pPr>
        <w:rPr>
          <w:b w:val="1"/>
          <w:sz w:val="22"/>
          <w:szCs w:val="22"/>
        </w:rPr>
      </w:pPr>
      <w:r w:rsidDel="00000000" w:rsidR="00000000" w:rsidRPr="00000000">
        <w:rPr>
          <w:rtl w:val="0"/>
        </w:rPr>
      </w:r>
    </w:p>
    <w:p w:rsidR="00000000" w:rsidDel="00000000" w:rsidP="00000000" w:rsidRDefault="00000000" w:rsidRPr="00000000" w14:paraId="0000009B">
      <w:pPr>
        <w:spacing w:after="280" w:lineRule="auto"/>
        <w:rPr>
          <w:b w:val="1"/>
          <w:sz w:val="22"/>
          <w:szCs w:val="22"/>
        </w:rPr>
      </w:pPr>
      <w:r w:rsidDel="00000000" w:rsidR="00000000" w:rsidRPr="00000000">
        <w:rPr>
          <w:b w:val="1"/>
          <w:sz w:val="22"/>
          <w:szCs w:val="22"/>
          <w:rtl w:val="0"/>
        </w:rPr>
        <w:t xml:space="preserve">B 2. Technical specifications for Goods and Comparative Data Tables - Item 2:</w:t>
      </w:r>
    </w:p>
    <w:tbl>
      <w:tblPr>
        <w:tblStyle w:val="Table2"/>
        <w:tblW w:w="10440.0" w:type="dxa"/>
        <w:jc w:val="left"/>
        <w:tblInd w:w="-5.0" w:type="dxa"/>
        <w:tblLayout w:type="fixed"/>
        <w:tblLook w:val="0400"/>
      </w:tblPr>
      <w:tblGrid>
        <w:gridCol w:w="675"/>
        <w:gridCol w:w="6885"/>
        <w:gridCol w:w="1575"/>
        <w:gridCol w:w="1305"/>
        <w:tblGridChange w:id="0">
          <w:tblGrid>
            <w:gridCol w:w="675"/>
            <w:gridCol w:w="6885"/>
            <w:gridCol w:w="1575"/>
            <w:gridCol w:w="1305"/>
          </w:tblGrid>
        </w:tblGridChange>
      </w:tblGrid>
      <w:tr>
        <w:trPr>
          <w:cantSplit w:val="0"/>
          <w:trHeight w:val="141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widowControl w:val="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D">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Bidder to complete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0">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Bidder to complete</w:t>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Mulcher for milling stumps, roots and stones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pPr>
            <w:r w:rsidDel="00000000" w:rsidR="00000000" w:rsidRPr="00000000">
              <w:rPr>
                <w:sz w:val="20"/>
                <w:szCs w:val="20"/>
                <w:rtl w:val="0"/>
              </w:rPr>
              <w:t xml:space="preserve">1.1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pPr>
            <w:r w:rsidDel="00000000" w:rsidR="00000000" w:rsidRPr="00000000">
              <w:rPr>
                <w:rtl w:val="0"/>
              </w:rPr>
              <w:t xml:space="preserve">Working width, min 175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pPr>
            <w:r w:rsidDel="00000000" w:rsidR="00000000" w:rsidRPr="00000000">
              <w:rPr>
                <w:sz w:val="20"/>
                <w:szCs w:val="20"/>
                <w:rtl w:val="0"/>
              </w:rPr>
              <w:t xml:space="preserve">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pPr>
            <w:r w:rsidDel="00000000" w:rsidR="00000000" w:rsidRPr="00000000">
              <w:rPr>
                <w:rtl w:val="0"/>
              </w:rPr>
              <w:t xml:space="preserve">Total width - 205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pPr>
            <w:r w:rsidDel="00000000" w:rsidR="00000000" w:rsidRPr="00000000">
              <w:rPr>
                <w:sz w:val="20"/>
                <w:szCs w:val="20"/>
                <w:rtl w:val="0"/>
              </w:rPr>
              <w:t xml:space="preserve">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pPr>
            <w:r w:rsidDel="00000000" w:rsidR="00000000" w:rsidRPr="00000000">
              <w:rPr>
                <w:rtl w:val="0"/>
              </w:rPr>
              <w:t xml:space="preserve">depth without roller/with roller - max 113cm/max160cm.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pPr>
            <w:r w:rsidDel="00000000" w:rsidR="00000000" w:rsidRPr="00000000">
              <w:rPr>
                <w:sz w:val="20"/>
                <w:szCs w:val="20"/>
                <w:rtl w:val="0"/>
              </w:rPr>
              <w:t xml:space="preserve">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pPr>
            <w:r w:rsidDel="00000000" w:rsidR="00000000" w:rsidRPr="00000000">
              <w:rPr>
                <w:rtl w:val="0"/>
              </w:rPr>
              <w:t xml:space="preserve">height max 125cm.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pPr>
            <w:r w:rsidDel="00000000" w:rsidR="00000000" w:rsidRPr="00000000">
              <w:rPr>
                <w:sz w:val="20"/>
                <w:szCs w:val="20"/>
                <w:rtl w:val="0"/>
              </w:rPr>
              <w:t xml:space="preserve">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pPr>
            <w:r w:rsidDel="00000000" w:rsidR="00000000" w:rsidRPr="00000000">
              <w:rPr>
                <w:rtl w:val="0"/>
              </w:rPr>
              <w:t xml:space="preserve">Required tractor power, min 100 hp. Must match the offered tractor in Lot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pPr>
            <w:r w:rsidDel="00000000" w:rsidR="00000000" w:rsidRPr="00000000">
              <w:rPr>
                <w:sz w:val="20"/>
                <w:szCs w:val="20"/>
                <w:rtl w:val="0"/>
              </w:rPr>
              <w:t xml:space="preserve">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pPr>
            <w:r w:rsidDel="00000000" w:rsidR="00000000" w:rsidRPr="00000000">
              <w:rPr>
                <w:rtl w:val="0"/>
              </w:rPr>
              <w:t xml:space="preserve">Crushing stones up to 25 cm Ø</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pPr>
            <w:r w:rsidDel="00000000" w:rsidR="00000000" w:rsidRPr="00000000">
              <w:rPr>
                <w:sz w:val="20"/>
                <w:szCs w:val="20"/>
                <w:rtl w:val="0"/>
              </w:rPr>
              <w:t xml:space="preserve">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pPr>
            <w:r w:rsidDel="00000000" w:rsidR="00000000" w:rsidRPr="00000000">
              <w:rPr>
                <w:rtl w:val="0"/>
              </w:rPr>
              <w:t xml:space="preserve">Wood chopping up to 25 cm Ø</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pPr>
            <w:r w:rsidDel="00000000" w:rsidR="00000000" w:rsidRPr="00000000">
              <w:rPr>
                <w:sz w:val="20"/>
                <w:szCs w:val="20"/>
                <w:rtl w:val="0"/>
              </w:rPr>
              <w:t xml:space="preserve">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pPr>
            <w:r w:rsidDel="00000000" w:rsidR="00000000" w:rsidRPr="00000000">
              <w:rPr>
                <w:rtl w:val="0"/>
              </w:rPr>
              <w:t xml:space="preserve">Work at a depth of min. 25 cm</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pPr>
            <w:r w:rsidDel="00000000" w:rsidR="00000000" w:rsidRPr="00000000">
              <w:rPr>
                <w:sz w:val="20"/>
                <w:szCs w:val="20"/>
                <w:rtl w:val="0"/>
              </w:rPr>
              <w:t xml:space="preserve">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pPr>
            <w:r w:rsidDel="00000000" w:rsidR="00000000" w:rsidRPr="00000000">
              <w:rPr>
                <w:rtl w:val="0"/>
              </w:rPr>
              <w:t xml:space="preserve">Rotor: a combination of fixed cutters (hammers) with additional tungsten carbide inserts for removing residues and soil from the body walls of the SUPER MONO PROTECT + SUPER MONO EXTREME, with wear-resistant holders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pPr>
            <w:r w:rsidDel="00000000" w:rsidR="00000000" w:rsidRPr="00000000">
              <w:rPr>
                <w:sz w:val="20"/>
                <w:szCs w:val="20"/>
                <w:rtl w:val="0"/>
              </w:rPr>
              <w:t xml:space="preserve">1.10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pPr>
            <w:r w:rsidDel="00000000" w:rsidR="00000000" w:rsidRPr="00000000">
              <w:rPr>
                <w:rtl w:val="0"/>
              </w:rPr>
              <w:t xml:space="preserve">Working speed 0- min. 2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pPr>
            <w:r w:rsidDel="00000000" w:rsidR="00000000" w:rsidRPr="00000000">
              <w:rPr>
                <w:sz w:val="20"/>
                <w:szCs w:val="20"/>
                <w:rtl w:val="0"/>
              </w:rPr>
              <w:t xml:space="preserve">1.11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pPr>
            <w:r w:rsidDel="00000000" w:rsidR="00000000" w:rsidRPr="00000000">
              <w:rPr>
                <w:rtl w:val="0"/>
              </w:rPr>
              <w:t xml:space="preserve">Reducing gear required (deceleration): Creeper function, max. 0.5 km/h</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pPr>
            <w:r w:rsidDel="00000000" w:rsidR="00000000" w:rsidRPr="00000000">
              <w:rPr>
                <w:sz w:val="20"/>
                <w:szCs w:val="20"/>
                <w:rtl w:val="0"/>
              </w:rPr>
              <w:t xml:space="preserve">1.12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pPr>
            <w:r w:rsidDel="00000000" w:rsidR="00000000" w:rsidRPr="00000000">
              <w:rPr>
                <w:rtl w:val="0"/>
              </w:rPr>
              <w:t xml:space="preserve">3-point linkage according to ISO II cat.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pPr>
            <w:r w:rsidDel="00000000" w:rsidR="00000000" w:rsidRPr="00000000">
              <w:rPr>
                <w:sz w:val="20"/>
                <w:szCs w:val="20"/>
                <w:rtl w:val="0"/>
              </w:rPr>
              <w:t xml:space="preserve">1.13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pPr>
            <w:r w:rsidDel="00000000" w:rsidR="00000000" w:rsidRPr="00000000">
              <w:rPr>
                <w:rtl w:val="0"/>
              </w:rPr>
              <w:t xml:space="preserve">1000 rpm gearbox with overrunning clutch.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pPr>
            <w:r w:rsidDel="00000000" w:rsidR="00000000" w:rsidRPr="00000000">
              <w:rPr>
                <w:sz w:val="20"/>
                <w:szCs w:val="20"/>
                <w:rtl w:val="0"/>
              </w:rPr>
              <w:t xml:space="preserve">1.14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pPr>
            <w:r w:rsidDel="00000000" w:rsidR="00000000" w:rsidRPr="00000000">
              <w:rPr>
                <w:rtl w:val="0"/>
              </w:rPr>
              <w:t xml:space="preserve">Input shaft 1 3/4” Z=6 or equivalent. Must match offered tractor Item 1</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pPr>
            <w:r w:rsidDel="00000000" w:rsidR="00000000" w:rsidRPr="00000000">
              <w:rPr>
                <w:sz w:val="20"/>
                <w:szCs w:val="20"/>
                <w:rtl w:val="0"/>
              </w:rPr>
              <w:t xml:space="preserve">1.15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rPr/>
            </w:pPr>
            <w:r w:rsidDel="00000000" w:rsidR="00000000" w:rsidRPr="00000000">
              <w:rPr>
                <w:rtl w:val="0"/>
              </w:rPr>
              <w:t xml:space="preserve">Integrated torque limiter</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pPr>
            <w:r w:rsidDel="00000000" w:rsidR="00000000" w:rsidRPr="00000000">
              <w:rPr>
                <w:sz w:val="20"/>
                <w:szCs w:val="20"/>
                <w:rtl w:val="0"/>
              </w:rPr>
              <w:t xml:space="preserve">1.16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pPr>
            <w:r w:rsidDel="00000000" w:rsidR="00000000" w:rsidRPr="00000000">
              <w:rPr>
                <w:rtl w:val="0"/>
              </w:rPr>
              <w:t xml:space="preserve">Double drive with parallel gear transmission; integrated active cooling system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pPr>
            <w:r w:rsidDel="00000000" w:rsidR="00000000" w:rsidRPr="00000000">
              <w:rPr>
                <w:sz w:val="20"/>
                <w:szCs w:val="20"/>
                <w:rtl w:val="0"/>
              </w:rPr>
              <w:t xml:space="preserve">1.17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pPr>
            <w:r w:rsidDel="00000000" w:rsidR="00000000" w:rsidRPr="00000000">
              <w:rPr>
                <w:rtl w:val="0"/>
              </w:rPr>
              <w:t xml:space="preserve">Electric temperature and cooling control system (ISOBUS for tractor terminal)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pPr>
            <w:r w:rsidDel="00000000" w:rsidR="00000000" w:rsidRPr="00000000">
              <w:rPr>
                <w:sz w:val="20"/>
                <w:szCs w:val="20"/>
                <w:rtl w:val="0"/>
              </w:rPr>
              <w:t xml:space="preserve">1.18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pPr>
            <w:r w:rsidDel="00000000" w:rsidR="00000000" w:rsidRPr="00000000">
              <w:rPr>
                <w:rtl w:val="0"/>
              </w:rPr>
              <w:t xml:space="preserve">Interchangeable rotor necks (bolted)</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pPr>
            <w:r w:rsidDel="00000000" w:rsidR="00000000" w:rsidRPr="00000000">
              <w:rPr>
                <w:sz w:val="20"/>
                <w:szCs w:val="20"/>
                <w:rtl w:val="0"/>
              </w:rPr>
              <w:t xml:space="preserve">1.19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rPr/>
            </w:pPr>
            <w:r w:rsidDel="00000000" w:rsidR="00000000" w:rsidRPr="00000000">
              <w:rPr>
                <w:rtl w:val="0"/>
              </w:rPr>
              <w:t xml:space="preserve">Narrow in depth skids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pPr>
            <w:r w:rsidDel="00000000" w:rsidR="00000000" w:rsidRPr="00000000">
              <w:rPr>
                <w:sz w:val="20"/>
                <w:szCs w:val="20"/>
                <w:rtl w:val="0"/>
              </w:rPr>
              <w:t xml:space="preserve">1.20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pPr>
            <w:r w:rsidDel="00000000" w:rsidR="00000000" w:rsidRPr="00000000">
              <w:rPr>
                <w:rtl w:val="0"/>
              </w:rPr>
              <w:t xml:space="preserve">Protection by double chain curtain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jc w:val="center"/>
              <w:rPr/>
            </w:pPr>
            <w:r w:rsidDel="00000000" w:rsidR="00000000" w:rsidRPr="00000000">
              <w:rPr>
                <w:sz w:val="20"/>
                <w:szCs w:val="20"/>
                <w:rtl w:val="0"/>
              </w:rPr>
              <w:t xml:space="preserve">1.21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rPr/>
            </w:pPr>
            <w:r w:rsidDel="00000000" w:rsidR="00000000" w:rsidRPr="00000000">
              <w:rPr>
                <w:rtl w:val="0"/>
              </w:rPr>
              <w:t xml:space="preserve">Hydraulically adjustable compaction roller, which can also be used as a frame pusher or equivalent</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pPr>
            <w:r w:rsidDel="00000000" w:rsidR="00000000" w:rsidRPr="00000000">
              <w:rPr>
                <w:sz w:val="20"/>
                <w:szCs w:val="20"/>
                <w:rtl w:val="0"/>
              </w:rPr>
              <w:t xml:space="preserve">1.22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widowControl w:val="0"/>
              <w:rPr/>
            </w:pPr>
            <w:r w:rsidDel="00000000" w:rsidR="00000000" w:rsidRPr="00000000">
              <w:rPr>
                <w:rFonts w:ascii="Arial" w:cs="Arial" w:eastAsia="Arial" w:hAnsi="Arial"/>
                <w:sz w:val="20"/>
                <w:szCs w:val="20"/>
                <w:rtl w:val="0"/>
              </w:rPr>
              <w:t xml:space="preserve">To be installed from both sides (if possible) or, if not, from behind. </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widowControl w:val="0"/>
              <w:jc w:val="center"/>
              <w:rPr>
                <w:rFonts w:ascii="Arial" w:cs="Arial" w:eastAsia="Arial" w:hAnsi="Arial"/>
                <w:sz w:val="20"/>
                <w:szCs w:val="20"/>
                <w:highlight w:val="cyan"/>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C">
            <w:pPr>
              <w:widowControl w:val="0"/>
              <w:jc w:val="center"/>
              <w:rPr>
                <w:rFonts w:ascii="Arial" w:cs="Arial" w:eastAsia="Arial" w:hAnsi="Arial"/>
                <w:sz w:val="20"/>
                <w:szCs w:val="20"/>
                <w:highlight w:val="cyan"/>
              </w:rPr>
            </w:pPr>
            <w:r w:rsidDel="00000000" w:rsidR="00000000" w:rsidRPr="00000000">
              <w:rPr>
                <w:rtl w:val="0"/>
              </w:rPr>
            </w:r>
          </w:p>
        </w:tc>
      </w:tr>
      <w:tr>
        <w:trPr>
          <w:cantSplit w:val="0"/>
          <w:trHeight w:val="4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pPr>
            <w:r w:rsidDel="00000000" w:rsidR="00000000" w:rsidRPr="00000000">
              <w:rPr>
                <w:b w:val="1"/>
                <w:rtl w:val="0"/>
              </w:rPr>
              <w:t xml:space="preserve">2</w:t>
            </w:r>
            <w:r w:rsidDel="00000000" w:rsidR="00000000" w:rsidRPr="00000000">
              <w:rPr>
                <w:rtl w:val="0"/>
              </w:rPr>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pPr>
            <w:r w:rsidDel="00000000" w:rsidR="00000000" w:rsidRPr="00000000">
              <w:rPr>
                <w:b w:val="1"/>
                <w:sz w:val="20"/>
                <w:szCs w:val="20"/>
                <w:rtl w:val="0"/>
              </w:rPr>
              <w:t xml:space="preserve">Additional equipment</w:t>
            </w:r>
            <w:r w:rsidDel="00000000" w:rsidR="00000000" w:rsidRPr="00000000">
              <w:rPr>
                <w:rtl w:val="0"/>
              </w:rPr>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shd w:fill="f8f9fa" w:val="clear"/>
            <w:tcMar>
              <w:top w:w="0.0" w:type="dxa"/>
              <w:left w:w="40.0" w:type="dxa"/>
              <w:bottom w:w="0.0" w:type="dxa"/>
              <w:right w:w="40.0" w:type="dxa"/>
            </w:tcMar>
            <w:vAlign w:val="top"/>
          </w:tcPr>
          <w:p w:rsidR="00000000" w:rsidDel="00000000" w:rsidP="00000000" w:rsidRDefault="00000000" w:rsidRPr="00000000" w14:paraId="00000102">
            <w:pPr>
              <w:widowControl w:val="0"/>
              <w:spacing w:line="276" w:lineRule="auto"/>
              <w:rPr/>
            </w:pPr>
            <w:r w:rsidDel="00000000" w:rsidR="00000000" w:rsidRPr="00000000">
              <w:rPr>
                <w:color w:val="1f1f1f"/>
                <w:rtl w:val="0"/>
              </w:rPr>
              <w:t xml:space="preserve">Body to be made from high-strength AR400 wear-resistant steel or equivalent with internal replaceable plates to protect against wear</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pPr>
            <w:r w:rsidDel="00000000" w:rsidR="00000000" w:rsidRPr="00000000">
              <w:rPr>
                <w:sz w:val="20"/>
                <w:szCs w:val="20"/>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8f9fa" w:val="clear"/>
            <w:tcMar>
              <w:top w:w="0.0" w:type="dxa"/>
              <w:left w:w="40.0" w:type="dxa"/>
              <w:bottom w:w="0.0" w:type="dxa"/>
              <w:right w:w="40.0" w:type="dxa"/>
            </w:tcMar>
            <w:vAlign w:val="top"/>
          </w:tcPr>
          <w:p w:rsidR="00000000" w:rsidDel="00000000" w:rsidP="00000000" w:rsidRDefault="00000000" w:rsidRPr="00000000" w14:paraId="00000106">
            <w:pPr>
              <w:widowControl w:val="0"/>
              <w:spacing w:line="276" w:lineRule="auto"/>
              <w:rPr/>
            </w:pPr>
            <w:r w:rsidDel="00000000" w:rsidR="00000000" w:rsidRPr="00000000">
              <w:rPr>
                <w:color w:val="1f1f1f"/>
                <w:rtl w:val="0"/>
              </w:rPr>
              <w:t xml:space="preserve">Hardened anti-cutting plates, adjustable impact bar and provision for adjusting the level of grinding must be included</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gridSpan w:val="3"/>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A">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 and documents</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pPr>
            <w:r w:rsidDel="00000000" w:rsidR="00000000" w:rsidRPr="00000000">
              <w:rPr>
                <w:rtl w:val="0"/>
              </w:rPr>
              <w:t xml:space="preserve">3.1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rPr>
                <w:color w:val="1f1f1f"/>
              </w:rPr>
            </w:pPr>
            <w:r w:rsidDel="00000000" w:rsidR="00000000" w:rsidRPr="00000000">
              <w:rPr>
                <w:color w:val="1f1f1f"/>
                <w:rtl w:val="0"/>
              </w:rPr>
              <w:t xml:space="preserve">Bid includes brand/model of the goods and manufacturer's technical literature/catalogue, all confirming that the offered items comply with required specifications.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pPr>
            <w:r w:rsidDel="00000000" w:rsidR="00000000" w:rsidRPr="00000000">
              <w:rPr>
                <w:sz w:val="20"/>
                <w:szCs w:val="20"/>
                <w:rtl w:val="0"/>
              </w:rPr>
              <w:t xml:space="preserve">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color w:val="1f1f1f"/>
              </w:rPr>
            </w:pPr>
            <w:r w:rsidDel="00000000" w:rsidR="00000000" w:rsidRPr="00000000">
              <w:rPr>
                <w:color w:val="1f1f1f"/>
                <w:rtl w:val="0"/>
              </w:rPr>
              <w:t xml:space="preserve">Bidder or manufacturer of the vehicle must have a representative office in Ukraine that provides after sale service available in Ukraine or agreement with the local representative of the manufacturer or service company that can provide maintenance of the vehicle. Bidder must provide contact details of the service centre as well as confirmation from the service centre that it will provide after sale services for the proposed vehicle.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pPr>
            <w:r w:rsidDel="00000000" w:rsidR="00000000" w:rsidRPr="00000000">
              <w:rPr>
                <w:sz w:val="20"/>
                <w:szCs w:val="20"/>
                <w:rtl w:val="0"/>
              </w:rPr>
              <w:t xml:space="preserve">3.3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color w:val="1f1f1f"/>
              </w:rPr>
            </w:pPr>
            <w:r w:rsidDel="00000000" w:rsidR="00000000" w:rsidRPr="00000000">
              <w:rPr>
                <w:color w:val="1f1f1f"/>
                <w:rtl w:val="0"/>
              </w:rPr>
              <w:t xml:space="preserve">The warranty on the mulcher min. 1 year. Warranty must include manufacturing defects and labour charges.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pPr>
            <w:r w:rsidDel="00000000" w:rsidR="00000000" w:rsidRPr="00000000">
              <w:rPr>
                <w:sz w:val="20"/>
                <w:szCs w:val="20"/>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color w:val="1f1f1f"/>
              </w:rPr>
            </w:pPr>
            <w:r w:rsidDel="00000000" w:rsidR="00000000" w:rsidRPr="00000000">
              <w:rPr>
                <w:color w:val="1f1f1f"/>
                <w:rtl w:val="0"/>
              </w:rPr>
              <w:t xml:space="preserve">Warranty service. The name of the company, address, telephone- and fax numbers, e-mail address must be mentioned in the bid. The service centre shall have at least one certified engineer in its staff.</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pPr>
            <w:r w:rsidDel="00000000" w:rsidR="00000000" w:rsidRPr="00000000">
              <w:rPr>
                <w:sz w:val="20"/>
                <w:szCs w:val="20"/>
                <w:rtl w:val="0"/>
              </w:rPr>
              <w:t xml:space="preserve">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rPr>
                <w:color w:val="1f1f1f"/>
              </w:rPr>
            </w:pPr>
            <w:r w:rsidDel="00000000" w:rsidR="00000000" w:rsidRPr="00000000">
              <w:rPr>
                <w:color w:val="1f1f1f"/>
                <w:rtl w:val="0"/>
              </w:rPr>
              <w:t xml:space="preserve">Technical documentation for maintenance and repair of the supplied goods. The minimum set of technical documents to be provided with each piece of equipment delivered is the following: • User Manual and Operating Instructions (in Ukrainian) • Technical Certificate / maintenance guidelines (in Ukrainian or English). All tags/labels on the equipment shall be in English or Ukrainian language.</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pPr>
            <w:r w:rsidDel="00000000" w:rsidR="00000000" w:rsidRPr="00000000">
              <w:rPr>
                <w:sz w:val="20"/>
                <w:szCs w:val="20"/>
                <w:rtl w:val="0"/>
              </w:rPr>
              <w:t xml:space="preserve">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rPr>
                <w:color w:val="1f1f1f"/>
              </w:rPr>
            </w:pPr>
            <w:r w:rsidDel="00000000" w:rsidR="00000000" w:rsidRPr="00000000">
              <w:rPr>
                <w:color w:val="1f1f1f"/>
                <w:rtl w:val="0"/>
              </w:rPr>
              <w:t xml:space="preserve">Please provide shipping dimension: L x W x H, as well as Kerb/shipping weight in kg.</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r>
        <w:trPr>
          <w:cantSplit w:val="0"/>
          <w:trHeight w:val="288"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pPr>
            <w:r w:rsidDel="00000000" w:rsidR="00000000" w:rsidRPr="00000000">
              <w:rPr>
                <w:sz w:val="20"/>
                <w:szCs w:val="20"/>
                <w:rtl w:val="0"/>
              </w:rPr>
              <w:t xml:space="preserve">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color w:val="1f1f1f"/>
              </w:rPr>
            </w:pPr>
            <w:r w:rsidDel="00000000" w:rsidR="00000000" w:rsidRPr="00000000">
              <w:rPr>
                <w:color w:val="1f1f1f"/>
                <w:rtl w:val="0"/>
              </w:rPr>
              <w:t xml:space="preserve">Bid includes the Country of origin of the goods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8">
            <w:pPr>
              <w:widowControl w:val="0"/>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 </w:t>
            </w:r>
          </w:p>
        </w:tc>
      </w:tr>
    </w:tbl>
    <w:p w:rsidR="00000000" w:rsidDel="00000000" w:rsidP="00000000" w:rsidRDefault="00000000" w:rsidRPr="00000000" w14:paraId="00000129">
      <w:pPr>
        <w:rPr>
          <w:b w:val="1"/>
          <w:sz w:val="22"/>
          <w:szCs w:val="22"/>
        </w:rPr>
      </w:pPr>
      <w:r w:rsidDel="00000000" w:rsidR="00000000" w:rsidRPr="00000000">
        <w:rPr>
          <w:rtl w:val="0"/>
        </w:rPr>
      </w:r>
    </w:p>
    <w:p w:rsidR="00000000" w:rsidDel="00000000" w:rsidP="00000000" w:rsidRDefault="00000000" w:rsidRPr="00000000" w14:paraId="0000012A">
      <w:pPr>
        <w:rPr>
          <w:b w:val="1"/>
          <w:sz w:val="22"/>
          <w:szCs w:val="22"/>
          <w:highlight w:val="white"/>
        </w:rPr>
      </w:pPr>
      <w:r w:rsidDel="00000000" w:rsidR="00000000" w:rsidRPr="00000000">
        <w:rPr>
          <w:rtl w:val="0"/>
        </w:rPr>
      </w:r>
    </w:p>
    <w:p w:rsidR="00000000" w:rsidDel="00000000" w:rsidP="00000000" w:rsidRDefault="00000000" w:rsidRPr="00000000" w14:paraId="0000012B">
      <w:pPr>
        <w:rPr/>
      </w:pPr>
      <w:r w:rsidDel="00000000" w:rsidR="00000000" w:rsidRPr="00000000">
        <w:rPr>
          <w:b w:val="1"/>
          <w:sz w:val="22"/>
          <w:szCs w:val="22"/>
          <w:rtl w:val="0"/>
        </w:rPr>
        <w:t xml:space="preserve">C. Delivery requirements and Comparative Data Table</w:t>
      </w:r>
      <w:r w:rsidDel="00000000" w:rsidR="00000000" w:rsidRPr="00000000">
        <w:rPr>
          <w:rtl w:val="0"/>
        </w:rPr>
      </w:r>
    </w:p>
    <w:p w:rsidR="00000000" w:rsidDel="00000000" w:rsidP="00000000" w:rsidRDefault="00000000" w:rsidRPr="00000000" w14:paraId="0000012C">
      <w:pPr>
        <w:rPr>
          <w:b w:val="1"/>
        </w:rPr>
      </w:pPr>
      <w:r w:rsidDel="00000000" w:rsidR="00000000" w:rsidRPr="00000000">
        <w:rPr>
          <w:rtl w:val="0"/>
        </w:rPr>
      </w:r>
    </w:p>
    <w:tbl>
      <w:tblPr>
        <w:tblStyle w:val="Table3"/>
        <w:tblW w:w="1046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8"/>
        <w:gridCol w:w="5582"/>
        <w:gridCol w:w="1523"/>
        <w:gridCol w:w="1380"/>
        <w:tblGridChange w:id="0">
          <w:tblGrid>
            <w:gridCol w:w="1978"/>
            <w:gridCol w:w="5582"/>
            <w:gridCol w:w="1523"/>
            <w:gridCol w:w="138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2D">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12F">
            <w:pPr>
              <w:widowControl w:val="0"/>
              <w:jc w:val="center"/>
              <w:rPr>
                <w:rFonts w:ascii="Arial" w:cs="Arial" w:eastAsia="Arial" w:hAnsi="Arial"/>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30">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Details </w:t>
            </w:r>
            <w:r w:rsidDel="00000000" w:rsidR="00000000" w:rsidRPr="00000000">
              <w:rPr>
                <w:rtl w:val="0"/>
              </w:rPr>
            </w:r>
          </w:p>
          <w:p w:rsidR="00000000" w:rsidDel="00000000" w:rsidP="00000000" w:rsidRDefault="00000000" w:rsidRPr="00000000" w14:paraId="00000131">
            <w:pPr>
              <w:widowControl w:val="0"/>
              <w:jc w:val="center"/>
              <w:rPr>
                <w:rFonts w:ascii="Arial" w:cs="Arial" w:eastAsia="Arial" w:hAnsi="Arial"/>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32">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and unload the goods as soon as possible, but not later than within 120 calendar days after the Contract signature. </w:t>
            </w:r>
          </w:p>
          <w:p w:rsidR="00000000" w:rsidDel="00000000" w:rsidP="00000000" w:rsidRDefault="00000000" w:rsidRPr="00000000" w14:paraId="00000134">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Shorter delivery is strongly encouraged. </w:t>
            </w:r>
          </w:p>
          <w:p w:rsidR="00000000" w:rsidDel="00000000" w:rsidP="00000000" w:rsidRDefault="00000000" w:rsidRPr="00000000" w14:paraId="00000135">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bidders are also encouraged to offer the goods that are available on stock with immediate delivery.</w:t>
            </w:r>
          </w:p>
        </w:tc>
        <w:tc>
          <w:tcPr>
            <w:vAlign w:val="center"/>
          </w:tcPr>
          <w:p w:rsidR="00000000" w:rsidDel="00000000" w:rsidP="00000000" w:rsidRDefault="00000000" w:rsidRPr="00000000" w14:paraId="00000136">
            <w:pPr>
              <w:widowControl w:val="0"/>
              <w:jc w:val="center"/>
              <w:rPr>
                <w:rFonts w:ascii="Arial" w:cs="Arial" w:eastAsia="Arial" w:hAnsi="Arial"/>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37">
            <w:pPr>
              <w:widowControl w:val="0"/>
              <w:jc w:val="center"/>
              <w:rPr>
                <w:rFonts w:ascii="Arial" w:cs="Arial" w:eastAsia="Arial" w:hAnsi="Arial"/>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844" w:hRule="atLeast"/>
          <w:tblHeader w:val="0"/>
        </w:trPr>
        <w:tc>
          <w:tcPr>
            <w:shd w:fill="d9d9d9" w:val="clear"/>
            <w:vAlign w:val="center"/>
          </w:tcPr>
          <w:p w:rsidR="00000000" w:rsidDel="00000000" w:rsidP="00000000" w:rsidRDefault="00000000" w:rsidRPr="00000000" w14:paraId="00000138">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DAP (delivered at place) Voznesensky district, Mykolaiv region, Ukraine.</w:t>
            </w:r>
          </w:p>
          <w:p w:rsidR="00000000" w:rsidDel="00000000" w:rsidP="00000000" w:rsidRDefault="00000000" w:rsidRPr="00000000" w14:paraId="0000013A">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Net of any direct taxes, customs duties, indirect taxes. </w:t>
            </w:r>
          </w:p>
          <w:p w:rsidR="00000000" w:rsidDel="00000000" w:rsidP="00000000" w:rsidRDefault="00000000" w:rsidRPr="00000000" w14:paraId="0000013B">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Details regarding delivery will be shared accordingly. </w:t>
            </w:r>
          </w:p>
        </w:tc>
        <w:tc>
          <w:tcPr>
            <w:vAlign w:val="center"/>
          </w:tcPr>
          <w:p w:rsidR="00000000" w:rsidDel="00000000" w:rsidP="00000000" w:rsidRDefault="00000000" w:rsidRPr="00000000" w14:paraId="0000013C">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3D">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3E">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goods should be delivered to: Voznesensky district, Mykolaiv region, Ukraine (address will be provided to the awarded bidder)</w:t>
            </w:r>
          </w:p>
        </w:tc>
        <w:tc>
          <w:tcPr>
            <w:vAlign w:val="center"/>
          </w:tcPr>
          <w:p w:rsidR="00000000" w:rsidDel="00000000" w:rsidP="00000000" w:rsidRDefault="00000000" w:rsidRPr="00000000" w14:paraId="00000140">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41">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42">
            <w:pPr>
              <w:widowControl w:val="0"/>
              <w:rPr>
                <w:rFonts w:ascii="Arial" w:cs="Arial" w:eastAsia="Arial" w:hAnsi="Arial"/>
                <w:b w:val="1"/>
              </w:rPr>
            </w:pPr>
            <w:r w:rsidDel="00000000" w:rsidR="00000000" w:rsidRPr="00000000">
              <w:rPr>
                <w:rFonts w:ascii="Arial" w:cs="Arial" w:eastAsia="Arial" w:hAnsi="Arial"/>
                <w:b w:val="1"/>
                <w:sz w:val="20"/>
                <w:szCs w:val="20"/>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143">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 shall ensure the best international packing standards of goods supplied, including use of eco-friendly packing materials.</w:t>
            </w:r>
          </w:p>
          <w:p w:rsidR="00000000" w:rsidDel="00000000" w:rsidP="00000000" w:rsidRDefault="00000000" w:rsidRPr="00000000" w14:paraId="00000144">
            <w:pPr>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145">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46">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b w:val="1"/>
          <w:sz w:val="22"/>
          <w:szCs w:val="22"/>
          <w:rtl w:val="0"/>
        </w:rPr>
        <w:t xml:space="preserve">D. Sustainability Criteria:</w:t>
      </w:r>
      <w:r w:rsidDel="00000000" w:rsidR="00000000" w:rsidRPr="00000000">
        <w:rPr>
          <w:rtl w:val="0"/>
        </w:rPr>
      </w:r>
    </w:p>
    <w:p w:rsidR="00000000" w:rsidDel="00000000" w:rsidP="00000000" w:rsidRDefault="00000000" w:rsidRPr="00000000" w14:paraId="00000149">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4"/>
        <w:tblW w:w="1046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4"/>
        <w:gridCol w:w="5956"/>
        <w:gridCol w:w="1523"/>
        <w:gridCol w:w="1380"/>
        <w:tblGridChange w:id="0">
          <w:tblGrid>
            <w:gridCol w:w="1604"/>
            <w:gridCol w:w="5956"/>
            <w:gridCol w:w="1523"/>
            <w:gridCol w:w="138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4A">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14C">
            <w:pPr>
              <w:widowControl w:val="0"/>
              <w:jc w:val="center"/>
              <w:rPr>
                <w:rFonts w:ascii="Arial" w:cs="Arial" w:eastAsia="Arial" w:hAnsi="Arial"/>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D">
            <w:pPr>
              <w:widowControl w:val="0"/>
              <w:jc w:val="center"/>
              <w:rPr>
                <w:rFonts w:ascii="Arial" w:cs="Arial" w:eastAsia="Arial" w:hAnsi="Arial"/>
                <w:b w:val="1"/>
              </w:rPr>
            </w:pPr>
            <w:r w:rsidDel="00000000" w:rsidR="00000000" w:rsidRPr="00000000">
              <w:rPr>
                <w:rFonts w:ascii="Arial" w:cs="Arial" w:eastAsia="Arial" w:hAnsi="Arial"/>
                <w:b w:val="1"/>
                <w:sz w:val="20"/>
                <w:szCs w:val="20"/>
                <w:rtl w:val="0"/>
              </w:rPr>
              <w:t xml:space="preserve">Details </w:t>
            </w:r>
            <w:r w:rsidDel="00000000" w:rsidR="00000000" w:rsidRPr="00000000">
              <w:rPr>
                <w:rtl w:val="0"/>
              </w:rPr>
            </w:r>
          </w:p>
          <w:p w:rsidR="00000000" w:rsidDel="00000000" w:rsidP="00000000" w:rsidRDefault="00000000" w:rsidRPr="00000000" w14:paraId="0000014E">
            <w:pPr>
              <w:widowControl w:val="0"/>
              <w:jc w:val="center"/>
              <w:rPr>
                <w:rFonts w:ascii="Arial" w:cs="Arial" w:eastAsia="Arial" w:hAnsi="Arial"/>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4F">
            <w:pPr>
              <w:widowControl w:val="0"/>
              <w:jc w:val="both"/>
              <w:rPr>
                <w:rFonts w:ascii="Arial" w:cs="Arial" w:eastAsia="Arial" w:hAnsi="Arial"/>
                <w:b w:val="1"/>
              </w:rPr>
            </w:pPr>
            <w:r w:rsidDel="00000000" w:rsidR="00000000" w:rsidRPr="00000000">
              <w:rPr>
                <w:rFonts w:ascii="Arial" w:cs="Arial" w:eastAsia="Arial" w:hAnsi="Arial"/>
                <w:b w:val="1"/>
                <w:sz w:val="20"/>
                <w:szCs w:val="20"/>
                <w:rtl w:val="0"/>
              </w:rPr>
              <w:t xml:space="preserve">Sustainability Requirements – Local after-sales service </w:t>
            </w:r>
            <w:r w:rsidDel="00000000" w:rsidR="00000000" w:rsidRPr="00000000">
              <w:rPr>
                <w:rtl w:val="0"/>
              </w:rPr>
            </w:r>
          </w:p>
        </w:tc>
        <w:tc>
          <w:tcPr>
            <w:vAlign w:val="center"/>
          </w:tcPr>
          <w:p w:rsidR="00000000" w:rsidDel="00000000" w:rsidP="00000000" w:rsidRDefault="00000000" w:rsidRPr="00000000" w14:paraId="0000015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The bidder will provide an after-sales service component for the product to be procured, which utilizes local suppliers. </w:t>
            </w:r>
          </w:p>
          <w:p w:rsidR="00000000" w:rsidDel="00000000" w:rsidP="00000000" w:rsidRDefault="00000000" w:rsidRPr="00000000" w14:paraId="0000015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Bidders will provide documentation that clearly outlines:</w:t>
            </w:r>
          </w:p>
          <w:p w:rsidR="00000000" w:rsidDel="00000000" w:rsidP="00000000" w:rsidRDefault="00000000" w:rsidRPr="00000000" w14:paraId="0000015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what current partnerships exist with local after-sales service providers (and in which locations)</w:t>
            </w:r>
          </w:p>
          <w:p w:rsidR="00000000" w:rsidDel="00000000" w:rsidP="00000000" w:rsidRDefault="00000000" w:rsidRPr="00000000" w14:paraId="00000153">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which geographical areas are not covered by current partnerships</w:t>
            </w:r>
          </w:p>
          <w:p w:rsidR="00000000" w:rsidDel="00000000" w:rsidP="00000000" w:rsidRDefault="00000000" w:rsidRPr="00000000" w14:paraId="0000015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what is covered under the terms and conditions/scope of the service, and what is not covered</w:t>
            </w:r>
          </w:p>
          <w:p w:rsidR="00000000" w:rsidDel="00000000" w:rsidP="00000000" w:rsidRDefault="00000000" w:rsidRPr="00000000" w14:paraId="00000155">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contact information for a sample of those partnerships (for verification purposes)</w:t>
            </w:r>
          </w:p>
          <w:p w:rsidR="00000000" w:rsidDel="00000000" w:rsidP="00000000" w:rsidRDefault="00000000" w:rsidRPr="00000000" w14:paraId="00000156">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process that End User personnel will need to follow to access the after-sales service networks,</w:t>
            </w:r>
          </w:p>
          <w:p w:rsidR="00000000" w:rsidDel="00000000" w:rsidP="00000000" w:rsidRDefault="00000000" w:rsidRPr="00000000" w14:paraId="0000015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the availability of spare parts (e.g. in stock quantities), equipment for maintenance/repair and trained personnel in after-sales service networks</w:t>
            </w:r>
          </w:p>
          <w:p w:rsidR="00000000" w:rsidDel="00000000" w:rsidP="00000000" w:rsidRDefault="00000000" w:rsidRPr="00000000" w14:paraId="0000015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references of quality for a sample of local partners.</w:t>
            </w:r>
          </w:p>
        </w:tc>
        <w:tc>
          <w:tcPr>
            <w:vAlign w:val="center"/>
          </w:tcPr>
          <w:p w:rsidR="00000000" w:rsidDel="00000000" w:rsidP="00000000" w:rsidRDefault="00000000" w:rsidRPr="00000000" w14:paraId="00000159">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A">
            <w:pPr>
              <w:widowControl w:val="0"/>
              <w:jc w:val="center"/>
              <w:rPr>
                <w:rFonts w:ascii="Arial" w:cs="Arial" w:eastAsia="Arial" w:hAnsi="Arial"/>
                <w:highlight w:val="cyan"/>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15B">
      <w:pPr>
        <w:rPr>
          <w:b w:val="1"/>
        </w:rPr>
      </w:pPr>
      <w:r w:rsidDel="00000000" w:rsidR="00000000" w:rsidRPr="00000000">
        <w:rPr>
          <w:rtl w:val="0"/>
        </w:rPr>
      </w:r>
    </w:p>
    <w:p w:rsidR="00000000" w:rsidDel="00000000" w:rsidP="00000000" w:rsidRDefault="00000000" w:rsidRPr="00000000" w14:paraId="0000015C">
      <w:pPr>
        <w:rPr>
          <w:b w:val="1"/>
          <w:highlight w:val="white"/>
        </w:rPr>
      </w:pPr>
      <w:r w:rsidDel="00000000" w:rsidR="00000000" w:rsidRPr="00000000">
        <w:rPr>
          <w:rtl w:val="0"/>
        </w:rPr>
      </w:r>
    </w:p>
    <w:p w:rsidR="00000000" w:rsidDel="00000000" w:rsidP="00000000" w:rsidRDefault="00000000" w:rsidRPr="00000000" w14:paraId="0000015D">
      <w:pPr>
        <w:rPr>
          <w:b w:val="1"/>
          <w:highlight w:val="white"/>
        </w:rPr>
      </w:pPr>
      <w:r w:rsidDel="00000000" w:rsidR="00000000" w:rsidRPr="00000000">
        <w:rPr>
          <w:rtl w:val="0"/>
        </w:rPr>
      </w:r>
    </w:p>
    <w:p w:rsidR="00000000" w:rsidDel="00000000" w:rsidP="00000000" w:rsidRDefault="00000000" w:rsidRPr="00000000" w14:paraId="0000015E">
      <w:pPr>
        <w:rPr>
          <w:b w:val="1"/>
          <w:highlight w:val="white"/>
        </w:rPr>
      </w:pPr>
      <w:r w:rsidDel="00000000" w:rsidR="00000000" w:rsidRPr="00000000">
        <w:rPr>
          <w:rtl w:val="0"/>
        </w:rPr>
      </w:r>
    </w:p>
    <w:p w:rsidR="00000000" w:rsidDel="00000000" w:rsidP="00000000" w:rsidRDefault="00000000" w:rsidRPr="00000000" w14:paraId="0000015F">
      <w:pPr>
        <w:rPr>
          <w:b w:val="1"/>
        </w:rPr>
      </w:pPr>
      <w:r w:rsidDel="00000000" w:rsidR="00000000" w:rsidRPr="00000000">
        <w:rPr>
          <w:rtl w:val="0"/>
        </w:rPr>
      </w:r>
    </w:p>
    <w:p w:rsidR="00000000" w:rsidDel="00000000" w:rsidP="00000000" w:rsidRDefault="00000000" w:rsidRPr="00000000" w14:paraId="00000160">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161">
      <w:pPr>
        <w:rPr>
          <w:b w:val="1"/>
        </w:rPr>
      </w:pPr>
      <w:r w:rsidDel="00000000" w:rsidR="00000000" w:rsidRPr="00000000">
        <w:rPr>
          <w:rtl w:val="0"/>
        </w:rPr>
      </w:r>
    </w:p>
    <w:p w:rsidR="00000000" w:rsidDel="00000000" w:rsidP="00000000" w:rsidRDefault="00000000" w:rsidRPr="00000000" w14:paraId="00000162">
      <w:pPr>
        <w:rPr>
          <w:b w:val="1"/>
        </w:rPr>
      </w:pPr>
      <w:r w:rsidDel="00000000" w:rsidR="00000000" w:rsidRPr="00000000">
        <w:rPr>
          <w:rtl w:val="0"/>
        </w:rPr>
      </w:r>
    </w:p>
    <w:p w:rsidR="00000000" w:rsidDel="00000000" w:rsidP="00000000" w:rsidRDefault="00000000" w:rsidRPr="00000000" w14:paraId="00000163">
      <w:pPr>
        <w:rPr>
          <w:b w:val="1"/>
        </w:rPr>
      </w:pPr>
      <w:r w:rsidDel="00000000" w:rsidR="00000000" w:rsidRPr="00000000">
        <w:rPr>
          <w:rtl w:val="0"/>
        </w:rPr>
      </w:r>
    </w:p>
    <w:p w:rsidR="00000000" w:rsidDel="00000000" w:rsidP="00000000" w:rsidRDefault="00000000" w:rsidRPr="00000000" w14:paraId="00000164">
      <w:pPr>
        <w:rPr>
          <w:b w:val="1"/>
        </w:rPr>
      </w:pPr>
      <w:r w:rsidDel="00000000" w:rsidR="00000000" w:rsidRPr="00000000">
        <w:rPr>
          <w:rtl w:val="0"/>
        </w:rPr>
      </w:r>
    </w:p>
    <w:p w:rsidR="00000000" w:rsidDel="00000000" w:rsidP="00000000" w:rsidRDefault="00000000" w:rsidRPr="00000000" w14:paraId="00000165">
      <w:pPr>
        <w:rPr>
          <w:b w:val="1"/>
        </w:rPr>
      </w:pPr>
      <w:r w:rsidDel="00000000" w:rsidR="00000000" w:rsidRPr="00000000">
        <w:rPr>
          <w:rtl w:val="0"/>
        </w:rPr>
      </w:r>
    </w:p>
    <w:p w:rsidR="00000000" w:rsidDel="00000000" w:rsidP="00000000" w:rsidRDefault="00000000" w:rsidRPr="00000000" w14:paraId="00000166">
      <w:pPr>
        <w:rPr>
          <w:b w:val="1"/>
        </w:rPr>
      </w:pPr>
      <w:r w:rsidDel="00000000" w:rsidR="00000000" w:rsidRPr="00000000">
        <w:rPr>
          <w:rtl w:val="0"/>
        </w:rPr>
      </w:r>
    </w:p>
    <w:p w:rsidR="00000000" w:rsidDel="00000000" w:rsidP="00000000" w:rsidRDefault="00000000" w:rsidRPr="00000000" w14:paraId="00000167">
      <w:pPr>
        <w:rPr>
          <w:b w:val="1"/>
        </w:rPr>
      </w:pPr>
      <w:r w:rsidDel="00000000" w:rsidR="00000000" w:rsidRPr="00000000">
        <w:rPr>
          <w:rtl w:val="0"/>
        </w:rPr>
      </w:r>
    </w:p>
    <w:p w:rsidR="00000000" w:rsidDel="00000000" w:rsidP="00000000" w:rsidRDefault="00000000" w:rsidRPr="00000000" w14:paraId="00000168">
      <w:pPr>
        <w:rPr>
          <w:b w:val="1"/>
        </w:rPr>
      </w:pPr>
      <w:r w:rsidDel="00000000" w:rsidR="00000000" w:rsidRPr="00000000">
        <w:rPr>
          <w:rtl w:val="0"/>
        </w:rPr>
      </w:r>
    </w:p>
    <w:p w:rsidR="00000000" w:rsidDel="00000000" w:rsidP="00000000" w:rsidRDefault="00000000" w:rsidRPr="00000000" w14:paraId="00000169">
      <w:pPr>
        <w:rPr>
          <w:b w:val="1"/>
        </w:rPr>
      </w:pPr>
      <w:r w:rsidDel="00000000" w:rsidR="00000000" w:rsidRPr="00000000">
        <w:rPr>
          <w:rtl w:val="0"/>
        </w:rPr>
      </w:r>
    </w:p>
    <w:p w:rsidR="00000000" w:rsidDel="00000000" w:rsidP="00000000" w:rsidRDefault="00000000" w:rsidRPr="00000000" w14:paraId="0000016A">
      <w:pPr>
        <w:rPr>
          <w:b w:val="1"/>
        </w:rPr>
      </w:pPr>
      <w:r w:rsidDel="00000000" w:rsidR="00000000" w:rsidRPr="00000000">
        <w:rPr>
          <w:rtl w:val="0"/>
        </w:rPr>
      </w:r>
    </w:p>
    <w:p w:rsidR="00000000" w:rsidDel="00000000" w:rsidP="00000000" w:rsidRDefault="00000000" w:rsidRPr="00000000" w14:paraId="0000016B">
      <w:pPr>
        <w:rPr>
          <w:b w:val="1"/>
        </w:rPr>
      </w:pPr>
      <w:r w:rsidDel="00000000" w:rsidR="00000000" w:rsidRPr="00000000">
        <w:rPr>
          <w:rtl w:val="0"/>
        </w:rPr>
      </w:r>
    </w:p>
    <w:p w:rsidR="00000000" w:rsidDel="00000000" w:rsidP="00000000" w:rsidRDefault="00000000" w:rsidRPr="00000000" w14:paraId="0000016C">
      <w:pPr>
        <w:rPr>
          <w:b w:val="1"/>
        </w:rPr>
      </w:pPr>
      <w:r w:rsidDel="00000000" w:rsidR="00000000" w:rsidRPr="00000000">
        <w:rPr>
          <w:rtl w:val="0"/>
        </w:rPr>
      </w:r>
    </w:p>
    <w:p w:rsidR="00000000" w:rsidDel="00000000" w:rsidP="00000000" w:rsidRDefault="00000000" w:rsidRPr="00000000" w14:paraId="0000016D">
      <w:pPr>
        <w:rPr>
          <w:b w:val="1"/>
        </w:rPr>
      </w:pPr>
      <w:r w:rsidDel="00000000" w:rsidR="00000000" w:rsidRPr="00000000">
        <w:rPr>
          <w:rtl w:val="0"/>
        </w:rPr>
      </w:r>
    </w:p>
    <w:p w:rsidR="00000000" w:rsidDel="00000000" w:rsidP="00000000" w:rsidRDefault="00000000" w:rsidRPr="00000000" w14:paraId="0000016E">
      <w:pPr>
        <w:rPr>
          <w:b w:val="1"/>
        </w:rPr>
      </w:pPr>
      <w:r w:rsidDel="00000000" w:rsidR="00000000" w:rsidRPr="00000000">
        <w:rPr>
          <w:rtl w:val="0"/>
        </w:rPr>
      </w:r>
    </w:p>
    <w:p w:rsidR="00000000" w:rsidDel="00000000" w:rsidP="00000000" w:rsidRDefault="00000000" w:rsidRPr="00000000" w14:paraId="0000016F">
      <w:pPr>
        <w:rPr>
          <w:b w:val="1"/>
        </w:rPr>
      </w:pPr>
      <w:r w:rsidDel="00000000" w:rsidR="00000000" w:rsidRPr="00000000">
        <w:rPr>
          <w:rtl w:val="0"/>
        </w:rPr>
      </w:r>
    </w:p>
    <w:p w:rsidR="00000000" w:rsidDel="00000000" w:rsidP="00000000" w:rsidRDefault="00000000" w:rsidRPr="00000000" w14:paraId="00000170">
      <w:pPr>
        <w:rPr>
          <w:b w:val="1"/>
        </w:rPr>
      </w:pPr>
      <w:r w:rsidDel="00000000" w:rsidR="00000000" w:rsidRPr="00000000">
        <w:rPr>
          <w:rtl w:val="0"/>
        </w:rPr>
      </w:r>
    </w:p>
    <w:p w:rsidR="00000000" w:rsidDel="00000000" w:rsidP="00000000" w:rsidRDefault="00000000" w:rsidRPr="00000000" w14:paraId="00000171">
      <w:pPr>
        <w:rPr>
          <w:b w:val="1"/>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1"/>
          <w:i w:val="0"/>
          <w:smallCaps w:val="0"/>
          <w:strike w:val="0"/>
          <w:color w:val="ffffff"/>
          <w:sz w:val="23"/>
          <w:szCs w:val="23"/>
          <w:u w:val="none"/>
          <w:shd w:fill="auto" w:val="clear"/>
          <w:vertAlign w:val="baseline"/>
        </w:rPr>
      </w:pPr>
      <w:r w:rsidDel="00000000" w:rsidR="00000000" w:rsidRPr="00000000">
        <w:rPr>
          <w:rtl w:val="0"/>
        </w:rPr>
      </w:r>
    </w:p>
    <w:sectPr>
      <w:headerReference r:id="rId6" w:type="default"/>
      <w:headerReference r:id="rId7" w:type="first"/>
      <w:footerReference r:id="rId8" w:type="default"/>
      <w:pgSz w:h="16838" w:w="11906"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8.0" w:type="dxa"/>
      <w:jc w:val="left"/>
      <w:tblLayout w:type="fixed"/>
      <w:tblLook w:val="0400"/>
    </w:tblPr>
    <w:tblGrid>
      <w:gridCol w:w="4596"/>
      <w:gridCol w:w="5292"/>
      <w:tblGridChange w:id="0">
        <w:tblGrid>
          <w:gridCol w:w="4596"/>
          <w:gridCol w:w="5292"/>
        </w:tblGrid>
      </w:tblGridChange>
    </w:tblGrid>
    <w:tr>
      <w:trPr>
        <w:cantSplit w:val="0"/>
        <w:tblHeader w:val="0"/>
      </w:trPr>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8.0" w:type="dxa"/>
      <w:jc w:val="left"/>
      <w:tblLayout w:type="fixed"/>
      <w:tblLook w:val="0400"/>
    </w:tblPr>
    <w:tblGrid>
      <w:gridCol w:w="4944"/>
      <w:gridCol w:w="4944"/>
      <w:tblGridChange w:id="0">
        <w:tblGrid>
          <w:gridCol w:w="4944"/>
          <w:gridCol w:w="4944"/>
        </w:tblGrid>
      </w:tblGridChange>
    </w:tblGrid>
    <w:tr>
      <w:trPr>
        <w:cantSplit w:val="0"/>
        <w:tblHeader w:val="0"/>
      </w:trPr>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w:t>
          </w:r>
          <w:r w:rsidDel="00000000" w:rsidR="00000000" w:rsidRPr="00000000">
            <w:rPr>
              <w:rFonts w:ascii="Arial" w:cs="Arial" w:eastAsia="Arial" w:hAnsi="Arial"/>
              <w:sz w:val="18"/>
              <w:szCs w:val="18"/>
              <w:rtl w:val="0"/>
            </w:rPr>
            <w:t xml:space="preserve">RFQ/2024/52277 </w:t>
          </w:r>
          <w:r w:rsidDel="00000000" w:rsidR="00000000" w:rsidRPr="00000000">
            <w:rPr>
              <w:rtl w:val="0"/>
            </w:rPr>
          </w:r>
        </w:p>
      </w:tc>
    </w:tr>
  </w:tbl>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166370</wp:posOffset>
          </wp:positionH>
          <wp:positionV relativeFrom="paragraph">
            <wp:posOffset>-31731</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