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360" w:lineRule="auto"/>
        <w:rPr>
          <w:b w:val="1"/>
          <w:color w:val="0095d1"/>
          <w:sz w:val="28"/>
          <w:szCs w:val="28"/>
        </w:rPr>
      </w:pPr>
      <w:r w:rsidDel="00000000" w:rsidR="00000000" w:rsidRPr="00000000">
        <w:rPr>
          <w:b w:val="1"/>
          <w:color w:val="0095d1"/>
          <w:sz w:val="28"/>
          <w:szCs w:val="28"/>
          <w:rtl w:val="0"/>
        </w:rPr>
        <w:t xml:space="preserve">EOI/2024/52263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360" w:lineRule="auto"/>
        <w:rPr>
          <w:b w:val="1"/>
          <w:color w:val="0095d1"/>
          <w:sz w:val="28"/>
          <w:szCs w:val="28"/>
        </w:rPr>
      </w:pPr>
      <w:r w:rsidDel="00000000" w:rsidR="00000000" w:rsidRPr="00000000">
        <w:rPr>
          <w:b w:val="1"/>
          <w:color w:val="0095d1"/>
          <w:sz w:val="28"/>
          <w:szCs w:val="28"/>
          <w:rtl w:val="0"/>
        </w:rPr>
        <w:t xml:space="preserve">EOI Submission Form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lineRule="auto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Name of Offeror: </w:t>
      </w:r>
      <w:r w:rsidDel="00000000" w:rsidR="00000000" w:rsidRPr="00000000">
        <w:rPr>
          <w:color w:val="000000"/>
          <w:highlight w:val="cyan"/>
          <w:rtl w:val="0"/>
        </w:rPr>
        <w:t xml:space="preserve">[insert name of offeror]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  <w:t xml:space="preserve">The Supplier’s offer must be organised to follow the format of this Submission Form. Where the supplier is presented with a requirement or asked to use a specific approach, the supplier must not only state its acceptance, but also describe, where appropriate, how it intends to comply. Where a descriptive response is requested, failure to provide the same will be viewed as non-responsive. Any relevant documentation may be attached to this form.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u w:val="single"/>
          <w:rtl w:val="0"/>
        </w:rPr>
        <w:t xml:space="preserve">EOI Evaluation sections</w:t>
      </w:r>
      <w:r w:rsidDel="00000000" w:rsidR="00000000" w:rsidRPr="00000000">
        <w:rPr>
          <w:rtl w:val="0"/>
        </w:rPr>
        <w:t xml:space="preserve">: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b w:val="1"/>
          <w:rtl w:val="0"/>
        </w:rPr>
        <w:t xml:space="preserve">Section 1: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Eligibility and formal criteria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  <w:color w:val="0000ff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53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15"/>
        <w:gridCol w:w="6598"/>
        <w:gridCol w:w="2340"/>
        <w:tblGridChange w:id="0">
          <w:tblGrid>
            <w:gridCol w:w="715"/>
            <w:gridCol w:w="6598"/>
            <w:gridCol w:w="2340"/>
          </w:tblGrid>
        </w:tblGridChange>
      </w:tblGrid>
      <w:tr>
        <w:trPr>
          <w:cantSplit w:val="0"/>
          <w:trHeight w:val="28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C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Section 1: Eligibility and formal criteria (PASS/FAIL)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Offeror’s response – Please check Yes or No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1.1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Suppliers shall not be eligible to be shortlisted in this EOI process if at the time of creating the shortlist, the supplier is included in: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72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the Ineligibility List, that aggregates information disclosed by UNOPS and other Agencies, Funds or Programs of the UN System; 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72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UN/PD's suspended and removed vendors list; 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72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the Consolidated United Nations Security Council Sanctions List, including the 1267/1989 list; iv. the World Bank’s ineligibility lists</w:t>
            </w:r>
          </w:p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rPr>
                <w:b w:val="1"/>
              </w:rPr>
            </w:pP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YES  </w:t>
            </w: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1.2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Supplier accepts UNOPS General Conditions of Contract. Any reservations must be clearly stated and will be reviewed by UNOPS Legal for acceptance or not.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rPr>
                <w:rFonts w:ascii="MS Gothic" w:cs="MS Gothic" w:eastAsia="MS Gothic" w:hAnsi="MS Gothic"/>
              </w:rPr>
            </w:pP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YES  </w:t>
            </w: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1.3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Subject to shortlisting, the supplier agrees to do a detailed Proof-of-concept demo for the shared use-cases </w:t>
            </w:r>
            <w:r w:rsidDel="00000000" w:rsidR="00000000" w:rsidRPr="00000000">
              <w:rPr>
                <w:rtl w:val="0"/>
              </w:rPr>
              <w:t xml:space="preserve">at no cost to UNOPS.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rPr>
                <w:rFonts w:ascii="MS Gothic" w:cs="MS Gothic" w:eastAsia="MS Gothic" w:hAnsi="MS Gothic"/>
              </w:rPr>
            </w:pP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YES  </w:t>
            </w: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rPr>
          <w:b w:val="1"/>
          <w:color w:val="00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Section 2: Shortlisting criteria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51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25"/>
        <w:gridCol w:w="6590"/>
        <w:gridCol w:w="2295"/>
        <w:tblGridChange w:id="0">
          <w:tblGrid>
            <w:gridCol w:w="625"/>
            <w:gridCol w:w="6590"/>
            <w:gridCol w:w="2295"/>
          </w:tblGrid>
        </w:tblGridChange>
      </w:tblGrid>
      <w:tr>
        <w:trPr>
          <w:cantSplit w:val="0"/>
          <w:trHeight w:val="28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Section 2A: </w:t>
            </w:r>
            <w:r w:rsidDel="00000000" w:rsidR="00000000" w:rsidRPr="00000000">
              <w:rPr>
                <w:b w:val="1"/>
                <w:rtl w:val="0"/>
              </w:rPr>
              <w:t xml:space="preserve">Qualification evaluation (PASS/</w:t>
            </w:r>
            <w:r w:rsidDel="00000000" w:rsidR="00000000" w:rsidRPr="00000000">
              <w:rPr>
                <w:b w:val="1"/>
                <w:rtl w:val="0"/>
              </w:rPr>
              <w:t xml:space="preserve">FAIL</w:t>
            </w:r>
            <w:r w:rsidDel="00000000" w:rsidR="00000000" w:rsidRPr="00000000">
              <w:rPr>
                <w:b w:val="1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1">
            <w:pPr>
              <w:widowControl w:val="0"/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Offeror’s response</w:t>
            </w:r>
          </w:p>
          <w:p w:rsidR="00000000" w:rsidDel="00000000" w:rsidP="00000000" w:rsidRDefault="00000000" w:rsidRPr="00000000" w14:paraId="00000022">
            <w:pPr>
              <w:widowControl w:val="0"/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Please check Yes or No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Suppliers should be in continuous business of supplying similar services for the last 2 years – Evidence of this should be seen in the company presentation to be attached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rPr>
                <w:b w:val="1"/>
              </w:rPr>
            </w:pP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YES  </w:t>
            </w: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Solution should be 100% Web based and not require local user installations for the requested key features (100% SaaS delivered)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rPr>
                <w:b w:val="1"/>
              </w:rPr>
            </w:pP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YES  </w:t>
            </w: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2.3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All Forms, Workflows, Reports &amp; Dashboards must be configurable as per UNOPS requirements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YES  </w:t>
            </w: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NO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2.4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  <w:t xml:space="preserve">Role Based Access Control (RBAC) should allow for different user types such as (administrators, application owners, viewers, etc.)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rPr>
                <w:b w:val="1"/>
              </w:rPr>
            </w:pP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YES  </w:t>
            </w: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2.5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Audit log of object changes and system access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rPr>
                <w:b w:val="1"/>
              </w:rPr>
            </w:pP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YES  </w:t>
            </w: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2.6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  <w:t xml:space="preserve">Solution should provide standard capabilities in a native way (configuration only required) for the scope described in section 2 of the EOI document.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rPr>
                <w:rFonts w:ascii="MS Gothic" w:cs="MS Gothic" w:eastAsia="MS Gothic" w:hAnsi="MS Gothic"/>
              </w:rPr>
            </w:pP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YES  </w:t>
            </w: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2.7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  <w:t xml:space="preserve">The solution needs to provide</w:t>
            </w:r>
            <w:r w:rsidDel="00000000" w:rsidR="00000000" w:rsidRPr="00000000">
              <w:rPr>
                <w:rtl w:val="0"/>
              </w:rPr>
              <w:t xml:space="preserve"> native API/Integration gateways that enable automated data input, efficient data output, and seamless integration with other systems.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rPr>
                <w:rFonts w:ascii="MS Gothic" w:cs="MS Gothic" w:eastAsia="MS Gothic" w:hAnsi="MS Gothic"/>
              </w:rPr>
            </w:pP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YES  </w:t>
            </w: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2.8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  <w:t xml:space="preserve">More than 90% compliance to Functional requirements and 100% compliance to Technical/Non-functional requirements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rPr>
                <w:rFonts w:ascii="MS Gothic" w:cs="MS Gothic" w:eastAsia="MS Gothic" w:hAnsi="MS Gothic"/>
              </w:rPr>
            </w:pP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YES  </w:t>
            </w: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2.9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  <w:t xml:space="preserve">Single Sign On access that supports OAuth and/or SAML 2.0 or Google Login (OAuth2 with OpenID Connect)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rPr>
                <w:rFonts w:ascii="MS Gothic" w:cs="MS Gothic" w:eastAsia="MS Gothic" w:hAnsi="MS Gothic"/>
              </w:rPr>
            </w:pP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YES  </w:t>
            </w: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2.10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  <w:t xml:space="preserve">Offered solution should offer SLA min 99.5 % uptime</w:t>
            </w:r>
            <w:r w:rsidDel="00000000" w:rsidR="00000000" w:rsidRPr="00000000">
              <w:rPr>
                <w:rtl w:val="0"/>
              </w:rPr>
              <w:t xml:space="preserve"> for a global organisation operating across the globe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rPr>
                <w:rFonts w:ascii="MS Gothic" w:cs="MS Gothic" w:eastAsia="MS Gothic" w:hAnsi="MS Gothic"/>
              </w:rPr>
            </w:pP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YES  </w:t>
            </w: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rPr>
          <w:b w:val="1"/>
          <w:color w:val="00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1"/>
        <w:keepLines w:val="1"/>
        <w:spacing w:after="120" w:before="360" w:lineRule="auto"/>
        <w:ind w:left="720" w:firstLine="0"/>
        <w:rPr>
          <w:rFonts w:ascii="Roboto" w:cs="Roboto" w:eastAsia="Roboto" w:hAnsi="Roboto"/>
          <w:b w:val="1"/>
          <w:color w:val="2c3e50"/>
          <w:sz w:val="23"/>
          <w:szCs w:val="23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1"/>
        <w:keepLines w:val="1"/>
        <w:spacing w:after="120" w:before="360" w:lineRule="auto"/>
        <w:ind w:left="720" w:firstLine="0"/>
        <w:rPr>
          <w:rFonts w:ascii="Roboto" w:cs="Roboto" w:eastAsia="Roboto" w:hAnsi="Roboto"/>
          <w:b w:val="1"/>
          <w:color w:val="2c3e50"/>
          <w:sz w:val="23"/>
          <w:szCs w:val="23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1"/>
        <w:keepLines w:val="1"/>
        <w:spacing w:after="120" w:before="360" w:lineRule="auto"/>
        <w:ind w:left="720" w:firstLine="0"/>
        <w:rPr>
          <w:rFonts w:ascii="Roboto" w:cs="Roboto" w:eastAsia="Roboto" w:hAnsi="Roboto"/>
          <w:b w:val="1"/>
          <w:color w:val="2c3e50"/>
          <w:sz w:val="23"/>
          <w:szCs w:val="23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1"/>
        <w:keepLines w:val="1"/>
        <w:spacing w:after="120" w:before="360" w:lineRule="auto"/>
        <w:ind w:left="720" w:firstLine="0"/>
        <w:rPr>
          <w:rFonts w:ascii="Roboto" w:cs="Roboto" w:eastAsia="Roboto" w:hAnsi="Roboto"/>
          <w:b w:val="1"/>
          <w:color w:val="2c3e50"/>
          <w:sz w:val="23"/>
          <w:szCs w:val="23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1"/>
        <w:keepLines w:val="1"/>
        <w:spacing w:after="120" w:before="360" w:lineRule="auto"/>
        <w:ind w:left="720" w:firstLine="0"/>
        <w:rPr>
          <w:rFonts w:ascii="Roboto" w:cs="Roboto" w:eastAsia="Roboto" w:hAnsi="Roboto"/>
          <w:b w:val="1"/>
          <w:color w:val="2c3e50"/>
          <w:sz w:val="23"/>
          <w:szCs w:val="23"/>
          <w:highlight w:val="whit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MS Gothic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Roman"/>
      <w:lvlText w:val="%1."/>
      <w:lvlJc w:val="left"/>
      <w:pPr>
        <w:ind w:left="1080" w:hanging="72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