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RFP_2024_52251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hyperlink r:id="rId7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1155cc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UNOPS General Conditions of Contract for the provision of Services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8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4464</wp:posOffset>
                </wp:positionH>
                <wp:positionV relativeFrom="paragraph">
                  <wp:posOffset>-69835</wp:posOffset>
                </wp:positionV>
                <wp:extent cx="1477645" cy="215900"/>
                <wp:effectExtent b="0" l="0" r="0" t="0"/>
                <wp:wrapNone/>
                <wp:docPr id="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content.unops.org/service-Line-Documents/Procurement/UNOPS-General-Conditions-Services-2017_EN.PDF" TargetMode="External"/><Relationship Id="rId8" Type="http://schemas.openxmlformats.org/officeDocument/2006/relationships/hyperlink" Target="http://www.unops.org/english/Opportunities/suppliers/how-we-procure/Pages/default.aspx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0GPHdIt2fPRuhPaVWG6E+d76uA==">CgMxLjA4AHIhMUpubjZwSTlUMmJ0aEh5RlRlUG1oaENLaWVXcFV2U0Rq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