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Sección III: Anexos de la cotización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 eSourcing: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RFQ/2024/52151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Nota para los licitantes: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 siguiente formulario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parte de esta solicitud de cotización y los licitantes deberán completarlo y presentarlo como parte de su cotización. El texto resaltado en azul son instrucciones para completar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formulario. Complete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formulario según las instrucciones y preséntelo como parte de su cotización, subiéndolo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rFonts w:ascii="Open Sans" w:cs="Open Sans" w:eastAsia="Open Sans" w:hAnsi="Open Sans"/>
          <w:color w:val="0092d1"/>
        </w:rPr>
      </w:pPr>
      <w:r w:rsidDel="00000000" w:rsidR="00000000" w:rsidRPr="00000000">
        <w:rPr>
          <w:rFonts w:ascii="Open Sans" w:cs="Open Sans" w:eastAsia="Open Sans" w:hAnsi="Open Sans"/>
          <w:color w:val="0092d1"/>
          <w:rtl w:val="0"/>
        </w:rPr>
        <w:t xml:space="preserve">Anexo B: Formulario de oferta de precios</w:t>
      </w:r>
    </w:p>
    <w:p w:rsidR="00000000" w:rsidDel="00000000" w:rsidP="00000000" w:rsidRDefault="00000000" w:rsidRPr="00000000" w14:paraId="00000005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El licitante deberá completar este formulario de conformidad con las instrucciones indicadas. </w:t>
      </w:r>
    </w:p>
    <w:p w:rsidR="00000000" w:rsidDel="00000000" w:rsidP="00000000" w:rsidRDefault="00000000" w:rsidRPr="00000000" w14:paraId="00000006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RFQ/2024/52151</w:t>
      </w:r>
      <w:r w:rsidDel="00000000" w:rsidR="00000000" w:rsidRPr="00000000">
        <w:rPr>
          <w:rtl w:val="0"/>
        </w:rPr>
      </w:r>
    </w:p>
    <w:tbl>
      <w:tblPr>
        <w:tblStyle w:val="Table1"/>
        <w:tblW w:w="5177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4"/>
        <w:gridCol w:w="2643"/>
        <w:tblGridChange w:id="0">
          <w:tblGrid>
            <w:gridCol w:w="2534"/>
            <w:gridCol w:w="2643"/>
          </w:tblGrid>
        </w:tblGridChange>
      </w:tblGrid>
      <w:tr>
        <w:trPr>
          <w:cantSplit w:val="0"/>
          <w:trHeight w:val="29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Divisa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Dólares Americanos USD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LOTE NO. 1 /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Contratación del Servicio de Desarrollo del Módulo de Imagenología para el Instituto Guatemalteco de Seguridad Social (IGSS) (02 Analistas funcionales y 03 Desarrolladores Senior)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5.0" w:type="dxa"/>
        <w:jc w:val="left"/>
        <w:tblInd w:w="33.0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2520"/>
        <w:gridCol w:w="2460"/>
        <w:gridCol w:w="3375"/>
        <w:tblGridChange w:id="0">
          <w:tblGrid>
            <w:gridCol w:w="540"/>
            <w:gridCol w:w="2520"/>
            <w:gridCol w:w="2460"/>
            <w:gridCol w:w="337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No.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Cargo Profesional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Indique el valor hora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120" w:before="12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hombre para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horario laboral</w:t>
            </w:r>
          </w:p>
          <w:p w:rsidR="00000000" w:rsidDel="00000000" w:rsidP="00000000" w:rsidRDefault="00000000" w:rsidRPr="00000000" w14:paraId="00000013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Precio Unitario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(Expresado en Dólares Americanos USD)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Indique el valor hora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120" w:before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hombre 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fuera de horario laboral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Precio Unitario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(Expresado en Dólares Americanos USD)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Analista Funcional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Desarrollador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Estos precios únicamente determinan el valor unitario hora de cada profesional. En cada solicitud durante la vigencia del BPA, se determinará la cantidad de profesionales y número de horas laborales y fuera de horario laboral que se requieran.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LOTE NO. 2 /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Contratación del Servicio de Integración de Sistemas para el Instituto Guatemalteco de Seguridad Social (IGSS) (03 Programadores)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10.0" w:type="dxa"/>
        <w:jc w:val="left"/>
        <w:tblInd w:w="-2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2505"/>
        <w:gridCol w:w="2655"/>
        <w:gridCol w:w="2475"/>
        <w:gridCol w:w="2205"/>
        <w:tblGridChange w:id="0">
          <w:tblGrid>
            <w:gridCol w:w="570"/>
            <w:gridCol w:w="2505"/>
            <w:gridCol w:w="2655"/>
            <w:gridCol w:w="2475"/>
            <w:gridCol w:w="220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No.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Cargo Profesional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Indique el valor hora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0"/>
              </w:rPr>
              <w:t xml:space="preserve">hombre para horario laboral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Precio Unitario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(Expresado en Dólares Americanos USD)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Indique el valor hora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0"/>
              </w:rPr>
              <w:t xml:space="preserve">hombre fuera de horario laboral 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Precio Unitario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120" w:before="12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(Expresado en Dólares Americanos USD)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6"/>
                <w:szCs w:val="16"/>
                <w:rtl w:val="0"/>
              </w:rPr>
              <w:t xml:space="preserve">Comentarios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Programador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Open Sans" w:cs="Open Sans" w:eastAsia="Open Sans" w:hAnsi="Open Sans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inserte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Estos precios únicamente determinan el valor unitario hora de cada profesional. En cada solicitud durante la vigencia del BPA, se determinará la cantidad de profesionales y número de horas laborales y fuera de horario laboral que se requieran.</w:t>
      </w:r>
    </w:p>
    <w:p w:rsidR="00000000" w:rsidDel="00000000" w:rsidP="00000000" w:rsidRDefault="00000000" w:rsidRPr="00000000" w14:paraId="0000003C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Descuento ofrecido por pronto pago: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____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% del precio total por cada día, menos de treinta (30) días.</w:t>
      </w:r>
    </w:p>
    <w:p w:rsidR="00000000" w:rsidDel="00000000" w:rsidP="00000000" w:rsidRDefault="00000000" w:rsidRPr="00000000" w14:paraId="0000003F">
      <w:pPr>
        <w:tabs>
          <w:tab w:val="center" w:leader="none" w:pos="4320"/>
          <w:tab w:val="right" w:leader="none" w:pos="8640"/>
        </w:tabs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center" w:leader="none" w:pos="4320"/>
          <w:tab w:val="right" w:leader="none" w:pos="8640"/>
        </w:tabs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Lista de subcontratistas o proveedores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center" w:leader="none" w:pos="4320"/>
          <w:tab w:val="right" w:leader="none" w:pos="8640"/>
        </w:tabs>
        <w:jc w:val="both"/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El licitante debe proporcionar los nombres de todos los subcontratistas/proveedores que suministrarán bienes/servicios en virtud de este contrato, así como el tipo de trabajo que se está subcontratando, si corresponde.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tabs>
          <w:tab w:val="center" w:leader="none" w:pos="4320"/>
          <w:tab w:val="right" w:leader="none" w:pos="8640"/>
        </w:tabs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_[</w:t>
      </w:r>
      <w:r w:rsidDel="00000000" w:rsidR="00000000" w:rsidRPr="00000000">
        <w:rPr>
          <w:rFonts w:ascii="Open Sans" w:cs="Open Sans" w:eastAsia="Open Sans" w:hAnsi="Open Sans"/>
          <w:highlight w:val="cyan"/>
          <w:u w:val="single"/>
          <w:rtl w:val="0"/>
        </w:rPr>
        <w:t xml:space="preserve">Nombre legal completo y dirección de los subcontratistas</w:t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tabs>
          <w:tab w:val="center" w:leader="none" w:pos="4320"/>
          <w:tab w:val="right" w:leader="none" w:pos="8640"/>
        </w:tabs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44">
      <w:pPr>
        <w:tabs>
          <w:tab w:val="center" w:leader="none" w:pos="4320"/>
          <w:tab w:val="right" w:leader="none" w:pos="8640"/>
        </w:tabs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46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Sello de la empresa: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4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rHeight w:val="378.515625" w:hRule="atLeast"/>
        <w:tblHeader w:val="0"/>
      </w:trPr>
      <w:tc>
        <w:tcPr/>
        <w:p w:rsidR="00000000" w:rsidDel="00000000" w:rsidP="00000000" w:rsidRDefault="00000000" w:rsidRPr="00000000" w14:paraId="0000004D">
          <w:pPr>
            <w:tabs>
              <w:tab w:val="center" w:leader="none" w:pos="4320"/>
              <w:tab w:val="right" w:leader="none" w:pos="8640"/>
            </w:tabs>
            <w:spacing w:after="120" w:before="120" w:lineRule="auto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jFFdj0b2+1rFX9mioFa7qRQ57g==">CgMxLjA4AHIhMUVXQjgyaFA1NGIxeFNEUVM5blJ0SFJFUjdGMVl2dHEw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