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right="0" w:hanging="360"/>
        <w:jc w:val="both"/>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jc w:val="both"/>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Technical support to Regional Climate Action Transparency Hub (ReCATH) in Central Africa</w:t>
      </w:r>
      <w:r w:rsidDel="00000000" w:rsidR="00000000" w:rsidRPr="00000000">
        <w:rPr>
          <w:sz w:val="17"/>
          <w:szCs w:val="17"/>
          <w:rtl w:val="0"/>
        </w:rPr>
        <w:t xml:space="preserve">, CFP document ref. No. CFP-11875-2024-02,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jc w:val="both"/>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jc w:val="both"/>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jc w:val="both"/>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jc w:val="both"/>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jc w:val="both"/>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jc w:val="both"/>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jc w:val="both"/>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jc w:val="both"/>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jc w:val="both"/>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jc w:val="both"/>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jc w:val="both"/>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jc w:val="both"/>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366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005"/>
        <w:gridCol w:w="4770"/>
        <w:gridCol w:w="320"/>
        <w:gridCol w:w="1600"/>
        <w:gridCol w:w="2580"/>
        <w:tblGridChange w:id="0">
          <w:tblGrid>
            <w:gridCol w:w="1005"/>
            <w:gridCol w:w="2385"/>
            <w:gridCol w:w="1005"/>
            <w:gridCol w:w="477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0"/>
        <w:jc w:val="both"/>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i w:val="1"/>
          <w:sz w:val="17"/>
          <w:szCs w:val="17"/>
          <w:rtl w:val="0"/>
        </w:rPr>
        <w:t xml:space="preserve">Technical support to Regional Climate Action Transparency Hub (ReCATH) in Central Africa</w:t>
      </w:r>
      <w:r w:rsidDel="00000000" w:rsidR="00000000" w:rsidRPr="00000000">
        <w:rPr>
          <w:sz w:val="17"/>
          <w:szCs w:val="17"/>
          <w:rtl w:val="0"/>
        </w:rPr>
        <w:t xml:space="preserve">, CFP ref. No. CFP-11875-2024-02,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209430452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28512460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3048749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29811144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41146427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212782522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49817150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6100865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60779485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9439207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0"/>
        <w:jc w:val="both"/>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1785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11625"/>
        <w:gridCol w:w="345"/>
        <w:gridCol w:w="1770"/>
        <w:gridCol w:w="2835"/>
        <w:tblGridChange w:id="0">
          <w:tblGrid>
            <w:gridCol w:w="1275"/>
            <w:gridCol w:w="11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1020"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CFP-11875-2024-02</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