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Section </w:t>
      </w:r>
      <w:r w:rsidR="0009040E">
        <w:rPr>
          <w:rFonts w:ascii="Open Sans" w:eastAsia="Open Sans" w:hAnsi="Open Sans" w:cs="Open Sans"/>
          <w:b/>
          <w:color w:val="0092D1"/>
          <w:sz w:val="28"/>
          <w:szCs w:val="28"/>
        </w:rPr>
        <w:t>III</w:t>
      </w:r>
      <w:r>
        <w:rPr>
          <w:rFonts w:ascii="Open Sans" w:eastAsia="Open Sans" w:hAnsi="Open Sans" w:cs="Open Sans"/>
          <w:b/>
          <w:color w:val="0092D1"/>
          <w:sz w:val="28"/>
          <w:szCs w:val="28"/>
        </w:rPr>
        <w:t>: Returnable Bidding Forms</w:t>
      </w:r>
      <w:r w:rsidR="00597AAE">
        <w:rPr>
          <w:rFonts w:ascii="Open Sans" w:eastAsia="Open Sans" w:hAnsi="Open Sans" w:cs="Open Sans"/>
          <w:b/>
          <w:color w:val="0092D1"/>
          <w:sz w:val="28"/>
          <w:szCs w:val="28"/>
        </w:rPr>
        <w:t xml:space="preserve"> </w:t>
      </w:r>
    </w:p>
    <w:p w:rsidR="00950C53" w:rsidRDefault="0009040E"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Automatic Voltage Regulator/Stabiliser</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E07917">
        <w:rPr>
          <w:rFonts w:ascii="Open Sans" w:eastAsia="Open Sans" w:hAnsi="Open Sans" w:cs="Open Sans"/>
          <w:color w:val="000000"/>
        </w:rPr>
        <w:t>A</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E07917">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E07917">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E07917">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E07917">
        <w:rPr>
          <w:rFonts w:ascii="Open Sans" w:eastAsia="Open Sans" w:hAnsi="Open Sans" w:cs="Open Sans"/>
          <w:color w:val="000000"/>
        </w:rPr>
        <w:t>E</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E07917">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Bid Submission Form</w:t>
      </w:r>
      <w:r w:rsidR="00094D45">
        <w:rPr>
          <w:rFonts w:ascii="Open Sans" w:eastAsia="Open Sans" w:hAnsi="Open Sans" w:cs="Open Sans"/>
          <w:b/>
          <w:color w:val="0092D1"/>
          <w:sz w:val="28"/>
          <w:szCs w:val="28"/>
        </w:rPr>
        <w:t xml:space="preserve"> –</w:t>
      </w:r>
      <w:r w:rsidR="0009040E">
        <w:rPr>
          <w:rFonts w:ascii="Open Sans" w:eastAsia="Open Sans" w:hAnsi="Open Sans" w:cs="Open Sans"/>
          <w:b/>
          <w:color w:val="0092D1"/>
          <w:sz w:val="28"/>
          <w:szCs w:val="28"/>
        </w:rPr>
        <w:t xml:space="preserve"> </w:t>
      </w:r>
      <w:r w:rsidR="0009040E" w:rsidRPr="0009040E">
        <w:rPr>
          <w:rFonts w:ascii="Open Sans" w:eastAsia="Open Sans" w:hAnsi="Open Sans" w:cs="Open Sans"/>
          <w:b/>
          <w:i/>
          <w:color w:val="0092D1"/>
          <w:sz w:val="28"/>
          <w:szCs w:val="28"/>
        </w:rPr>
        <w:t xml:space="preserve">Supply and Installation of </w:t>
      </w:r>
      <w:r w:rsidR="0009040E" w:rsidRPr="0009040E">
        <w:rPr>
          <w:rFonts w:ascii="Open Sans" w:eastAsia="Open Sans" w:hAnsi="Open Sans" w:cs="Open Sans"/>
          <w:b/>
          <w:color w:val="0092D1"/>
          <w:sz w:val="28"/>
          <w:szCs w:val="28"/>
        </w:rPr>
        <w:t>Two Automatic Voltage Regulators at the Jakusko and Yusufari General Hospitals</w:t>
      </w:r>
      <w:r w:rsidR="0009040E" w:rsidRPr="0009040E">
        <w:rPr>
          <w:rFonts w:ascii="Open Sans" w:eastAsia="Open Sans" w:hAnsi="Open Sans" w:cs="Open Sans"/>
          <w:b/>
          <w:i/>
          <w:color w:val="0092D1"/>
          <w:sz w:val="28"/>
          <w:szCs w:val="28"/>
        </w:rPr>
        <w:t xml:space="preserve">, </w:t>
      </w:r>
      <w:r w:rsidR="0009040E" w:rsidRPr="0009040E">
        <w:rPr>
          <w:rFonts w:ascii="Open Sans" w:eastAsia="Open Sans" w:hAnsi="Open Sans" w:cs="Open Sans"/>
          <w:b/>
          <w:color w:val="0092D1"/>
          <w:sz w:val="28"/>
          <w:szCs w:val="28"/>
        </w:rPr>
        <w:t>Yobe State, Republic of Nigeria</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Bidders are requested to complete this form, sign it</w:t>
      </w:r>
      <w:r w:rsidR="0009040E">
        <w:rPr>
          <w:rFonts w:ascii="Open Sans" w:eastAsia="Open Sans" w:hAnsi="Open Sans" w:cs="Open Sans"/>
          <w:color w:val="000000"/>
        </w:rPr>
        <w:t>,</w:t>
      </w:r>
      <w:r>
        <w:rPr>
          <w:rFonts w:ascii="Open Sans" w:eastAsia="Open Sans" w:hAnsi="Open Sans" w:cs="Open Sans"/>
          <w:color w:val="000000"/>
        </w:rPr>
        <w:t xml:space="preserve">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0D51A2">
      <w:pPr>
        <w:ind w:left="720" w:hanging="720"/>
        <w:jc w:val="both"/>
        <w:rPr>
          <w:rFonts w:ascii="Open Sans" w:eastAsia="Open Sans" w:hAnsi="Open Sans" w:cs="Open Sans"/>
          <w:b/>
        </w:rPr>
      </w:pPr>
      <w:r>
        <w:rPr>
          <w:rFonts w:ascii="Open Sans" w:eastAsia="Open Sans" w:hAnsi="Open Sans" w:cs="Open Sans"/>
          <w:b/>
          <w:color w:val="000000"/>
        </w:rPr>
        <w:t xml:space="preserve">Subject: </w:t>
      </w:r>
      <w:r w:rsidR="0009040E" w:rsidRPr="0009040E">
        <w:rPr>
          <w:rFonts w:ascii="Open Sans" w:eastAsia="Open Sans" w:hAnsi="Open Sans" w:cs="Open Sans"/>
          <w:b/>
          <w:i/>
          <w:color w:val="000000"/>
        </w:rPr>
        <w:t>RFQ for the Supply and Installation of Two Automatic Voltage Regulators at the Jakusko and Yusufari General Hospitals, Yobe State, Republic of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A30A62" w:rsidRPr="00A30A62">
        <w:rPr>
          <w:rFonts w:ascii="Open Sans" w:eastAsia="Open Sans" w:hAnsi="Open Sans" w:cs="Open Sans"/>
          <w:b/>
          <w:i/>
          <w:lang w:val="en-US"/>
        </w:rPr>
        <w:t>ITB/202</w:t>
      </w:r>
      <w:r w:rsidR="0009040E">
        <w:rPr>
          <w:rFonts w:ascii="Open Sans" w:eastAsia="Open Sans" w:hAnsi="Open Sans" w:cs="Open Sans"/>
          <w:b/>
          <w:i/>
          <w:lang w:val="en-US"/>
        </w:rPr>
        <w:t>4</w:t>
      </w:r>
      <w:r w:rsidR="00A30A62" w:rsidRPr="00A30A62">
        <w:rPr>
          <w:rFonts w:ascii="Open Sans" w:eastAsia="Open Sans" w:hAnsi="Open Sans" w:cs="Open Sans"/>
          <w:b/>
          <w:i/>
          <w:lang w:val="en-US"/>
        </w:rPr>
        <w:t>/</w:t>
      </w:r>
      <w:r w:rsidR="0009040E">
        <w:rPr>
          <w:rFonts w:ascii="Open Sans" w:eastAsia="Open Sans" w:hAnsi="Open Sans" w:cs="Open Sans"/>
          <w:b/>
          <w:i/>
          <w:lang w:val="en-US"/>
        </w:rPr>
        <w:t>51040</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09040E">
        <w:rPr>
          <w:rFonts w:ascii="Open Sans" w:eastAsia="Open Sans" w:hAnsi="Open Sans" w:cs="Open Sans"/>
          <w:b/>
        </w:rPr>
        <w:t>12</w:t>
      </w:r>
      <w:r w:rsidR="0009040E" w:rsidRPr="0009040E">
        <w:rPr>
          <w:rFonts w:ascii="Open Sans" w:eastAsia="Open Sans" w:hAnsi="Open Sans" w:cs="Open Sans"/>
          <w:b/>
          <w:vertAlign w:val="superscript"/>
        </w:rPr>
        <w:t>th</w:t>
      </w:r>
      <w:r w:rsidR="0009040E">
        <w:rPr>
          <w:rFonts w:ascii="Open Sans" w:eastAsia="Open Sans" w:hAnsi="Open Sans" w:cs="Open Sans"/>
          <w:b/>
        </w:rPr>
        <w:t xml:space="preserve"> March  2024</w:t>
      </w:r>
    </w:p>
    <w:p w:rsidR="000D51A2" w:rsidRDefault="000D51A2" w:rsidP="00BB1B60">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its affiliates or subsidiaries—including any subcontractors or suppliers for any part of the contract—has not been declared ineligible by UNOPS, nor is included in the suspended/ineligibility list </w:t>
      </w:r>
      <w:r>
        <w:rPr>
          <w:rFonts w:ascii="Open Sans" w:eastAsia="Open Sans" w:hAnsi="Open Sans" w:cs="Open Sans"/>
          <w:color w:val="000000"/>
        </w:rPr>
        <w:lastRenderedPageBreak/>
        <w:t>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E07917">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Price Schedule Form</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7B06F1">
        <w:trPr>
          <w:trHeight w:val="560"/>
        </w:trPr>
        <w:tc>
          <w:tcPr>
            <w:tcW w:w="5370" w:type="dxa"/>
            <w:shd w:val="clear" w:color="auto" w:fill="D9D9D9"/>
            <w:vAlign w:val="center"/>
          </w:tcPr>
          <w:p w:rsidR="007B06F1" w:rsidRDefault="00091743" w:rsidP="0009040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Bidder’s Total prices</w:t>
            </w:r>
            <w:r w:rsidR="0009040E">
              <w:rPr>
                <w:rFonts w:ascii="Open Sans" w:eastAsia="Open Sans" w:hAnsi="Open Sans" w:cs="Open Sans"/>
                <w:b/>
              </w:rPr>
              <w:t>,</w:t>
            </w:r>
            <w:r>
              <w:rPr>
                <w:rFonts w:ascii="Open Sans" w:eastAsia="Open Sans" w:hAnsi="Open Sans" w:cs="Open Sans"/>
                <w:b/>
              </w:rPr>
              <w:t xml:space="preserve"> </w:t>
            </w:r>
            <w:r w:rsidR="002F62B6">
              <w:rPr>
                <w:rFonts w:ascii="Open Sans" w:eastAsia="Open Sans" w:hAnsi="Open Sans" w:cs="Open Sans"/>
                <w:b/>
              </w:rPr>
              <w:t xml:space="preserve">Bidder’s Total prices </w:t>
            </w:r>
            <w:r w:rsidR="0009040E" w:rsidRPr="0009040E">
              <w:rPr>
                <w:rFonts w:ascii="Open Sans" w:eastAsia="Open Sans" w:hAnsi="Open Sans" w:cs="Open Sans"/>
                <w:b/>
                <w:highlight w:val="yellow"/>
              </w:rPr>
              <w:t>DAP (Delivery At Place) Incoterm 2020 Jakusko and Yusufari General Hospitals, Yobe State, Nigeria</w:t>
            </w:r>
            <w:r w:rsidR="002F62B6" w:rsidRPr="005E4855">
              <w:rPr>
                <w:rFonts w:ascii="Open Sans" w:eastAsia="Open Sans" w:hAnsi="Open Sans" w:cs="Open Sans"/>
                <w:b/>
                <w:highlight w:val="yellow"/>
              </w:rPr>
              <w:t xml:space="preserve"> </w:t>
            </w:r>
            <w:r w:rsidR="002F62B6">
              <w:rPr>
                <w:rFonts w:ascii="Open Sans" w:eastAsia="Open Sans" w:hAnsi="Open Sans" w:cs="Open Sans"/>
                <w:b/>
              </w:rPr>
              <w:t xml:space="preserve">(Price of goods </w:t>
            </w:r>
            <w:r w:rsidR="0009040E">
              <w:rPr>
                <w:rFonts w:ascii="Open Sans" w:eastAsia="Open Sans" w:hAnsi="Open Sans" w:cs="Open Sans"/>
                <w:b/>
                <w:highlight w:val="yellow"/>
              </w:rPr>
              <w:t>DAP</w:t>
            </w:r>
            <w:r w:rsidR="002F62B6">
              <w:rPr>
                <w:rFonts w:ascii="Open Sans" w:eastAsia="Open Sans" w:hAnsi="Open Sans" w:cs="Open Sans"/>
                <w:b/>
                <w:highlight w:val="yellow"/>
              </w:rPr>
              <w:t xml:space="preserve"> </w:t>
            </w:r>
            <w:r w:rsidR="002F62B6">
              <w:rPr>
                <w:rFonts w:ascii="Open Sans" w:eastAsia="Open Sans" w:hAnsi="Open Sans" w:cs="Open Sans"/>
                <w:b/>
              </w:rPr>
              <w:t xml:space="preserve">+ Related Services) </w:t>
            </w:r>
            <w:r>
              <w:rPr>
                <w:rFonts w:ascii="Open Sans" w:eastAsia="Open Sans" w:hAnsi="Open Sans" w:cs="Open Sans"/>
                <w:b/>
              </w:rPr>
              <w:t xml:space="preserve"> </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2F62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2F62B6">
              <w:rPr>
                <w:rFonts w:ascii="Open Sans" w:eastAsia="Open Sans" w:hAnsi="Open Sans" w:cs="Open Sans"/>
                <w:b/>
              </w:rPr>
              <w:t xml:space="preserve">Bidder’s Total prices </w:t>
            </w:r>
            <w:r w:rsidR="0009040E">
              <w:rPr>
                <w:rFonts w:ascii="Open Sans" w:eastAsia="Open Sans" w:hAnsi="Open Sans" w:cs="Open Sans"/>
                <w:b/>
                <w:highlight w:val="yellow"/>
              </w:rPr>
              <w:t>DAP (Delivery At Place) Incoterm 2020 Jakusko and Yusufari General Hospitals, Yobe State, Nigeria</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FA204B" w:rsidTr="00FA204B">
        <w:trPr>
          <w:trHeight w:val="470"/>
        </w:trPr>
        <w:tc>
          <w:tcPr>
            <w:tcW w:w="5370" w:type="dxa"/>
            <w:shd w:val="clear" w:color="auto" w:fill="D9D9D9"/>
            <w:vAlign w:val="center"/>
          </w:tcPr>
          <w:p w:rsidR="00FA204B" w:rsidRDefault="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4530" w:type="dxa"/>
            <w:vAlign w:val="center"/>
          </w:tcPr>
          <w:p w:rsidR="00FA204B" w:rsidRDefault="00FA204B" w:rsidP="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3286"/>
        <w:gridCol w:w="720"/>
        <w:gridCol w:w="810"/>
        <w:gridCol w:w="2340"/>
        <w:gridCol w:w="2699"/>
      </w:tblGrid>
      <w:tr w:rsidR="00657525" w:rsidTr="0009040E">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3286"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2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Qty</w:t>
            </w:r>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81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039" w:type="dxa"/>
            <w:gridSpan w:val="2"/>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09040E" w:rsidTr="0009040E">
        <w:tc>
          <w:tcPr>
            <w:tcW w:w="780" w:type="dxa"/>
            <w:vMerge/>
            <w:shd w:val="clear" w:color="auto" w:fill="D9D9D9"/>
            <w:vAlign w:val="center"/>
          </w:tcPr>
          <w:p w:rsidR="0009040E" w:rsidRDefault="0009040E" w:rsidP="007B06F1">
            <w:pPr>
              <w:widowControl w:val="0"/>
              <w:pBdr>
                <w:top w:val="nil"/>
                <w:left w:val="nil"/>
                <w:bottom w:val="nil"/>
                <w:right w:val="nil"/>
                <w:between w:val="nil"/>
              </w:pBdr>
              <w:spacing w:line="276" w:lineRule="auto"/>
              <w:rPr>
                <w:rFonts w:ascii="Open Sans" w:eastAsia="Open Sans" w:hAnsi="Open Sans" w:cs="Open Sans"/>
                <w:b/>
              </w:rPr>
            </w:pPr>
          </w:p>
        </w:tc>
        <w:tc>
          <w:tcPr>
            <w:tcW w:w="3286" w:type="dxa"/>
            <w:vMerge/>
            <w:shd w:val="clear" w:color="auto" w:fill="D9D9D9"/>
            <w:vAlign w:val="center"/>
          </w:tcPr>
          <w:p w:rsidR="0009040E" w:rsidRDefault="0009040E" w:rsidP="007B06F1">
            <w:pPr>
              <w:widowControl w:val="0"/>
              <w:pBdr>
                <w:top w:val="nil"/>
                <w:left w:val="nil"/>
                <w:bottom w:val="nil"/>
                <w:right w:val="nil"/>
                <w:between w:val="nil"/>
              </w:pBdr>
              <w:spacing w:line="276" w:lineRule="auto"/>
              <w:rPr>
                <w:rFonts w:ascii="Open Sans" w:eastAsia="Open Sans" w:hAnsi="Open Sans" w:cs="Open Sans"/>
                <w:b/>
              </w:rPr>
            </w:pPr>
          </w:p>
        </w:tc>
        <w:tc>
          <w:tcPr>
            <w:tcW w:w="720" w:type="dxa"/>
            <w:vMerge/>
            <w:shd w:val="clear" w:color="auto" w:fill="D9D9D9"/>
            <w:vAlign w:val="center"/>
          </w:tcPr>
          <w:p w:rsidR="0009040E" w:rsidRDefault="0009040E" w:rsidP="007B06F1">
            <w:pPr>
              <w:widowControl w:val="0"/>
              <w:pBdr>
                <w:top w:val="nil"/>
                <w:left w:val="nil"/>
                <w:bottom w:val="nil"/>
                <w:right w:val="nil"/>
                <w:between w:val="nil"/>
              </w:pBdr>
              <w:spacing w:line="276" w:lineRule="auto"/>
              <w:rPr>
                <w:rFonts w:ascii="Open Sans" w:eastAsia="Open Sans" w:hAnsi="Open Sans" w:cs="Open Sans"/>
                <w:b/>
              </w:rPr>
            </w:pPr>
          </w:p>
        </w:tc>
        <w:tc>
          <w:tcPr>
            <w:tcW w:w="810" w:type="dxa"/>
            <w:vMerge/>
            <w:shd w:val="clear" w:color="auto" w:fill="D9D9D9"/>
            <w:vAlign w:val="center"/>
          </w:tcPr>
          <w:p w:rsidR="0009040E" w:rsidRDefault="0009040E" w:rsidP="007B06F1">
            <w:pPr>
              <w:widowControl w:val="0"/>
              <w:pBdr>
                <w:top w:val="nil"/>
                <w:left w:val="nil"/>
                <w:bottom w:val="nil"/>
                <w:right w:val="nil"/>
                <w:between w:val="nil"/>
              </w:pBdr>
              <w:spacing w:line="276" w:lineRule="auto"/>
              <w:rPr>
                <w:rFonts w:ascii="Open Sans" w:eastAsia="Open Sans" w:hAnsi="Open Sans" w:cs="Open Sans"/>
                <w:b/>
              </w:rPr>
            </w:pPr>
          </w:p>
        </w:tc>
        <w:tc>
          <w:tcPr>
            <w:tcW w:w="2340" w:type="dxa"/>
            <w:shd w:val="clear" w:color="auto" w:fill="D9D9D9"/>
            <w:vAlign w:val="center"/>
          </w:tcPr>
          <w:p w:rsidR="0009040E" w:rsidRDefault="0009040E" w:rsidP="0009040E">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 xml:space="preserve">DAP </w:t>
            </w:r>
          </w:p>
          <w:p w:rsidR="0009040E" w:rsidRDefault="0009040E" w:rsidP="0009040E">
            <w:pPr>
              <w:jc w:val="center"/>
              <w:rPr>
                <w:rFonts w:ascii="Open Sans" w:eastAsia="Open Sans" w:hAnsi="Open Sans" w:cs="Open Sans"/>
                <w:b/>
              </w:rPr>
            </w:pPr>
            <w:r>
              <w:rPr>
                <w:rFonts w:ascii="Open Sans" w:eastAsia="Open Sans" w:hAnsi="Open Sans" w:cs="Open Sans"/>
                <w:b/>
              </w:rPr>
              <w:t>(b)</w:t>
            </w:r>
          </w:p>
        </w:tc>
        <w:tc>
          <w:tcPr>
            <w:tcW w:w="2699" w:type="dxa"/>
            <w:shd w:val="clear" w:color="auto" w:fill="D9D9D9"/>
          </w:tcPr>
          <w:p w:rsidR="0009040E" w:rsidRDefault="0009040E" w:rsidP="007B06F1">
            <w:pPr>
              <w:jc w:val="center"/>
              <w:rPr>
                <w:rFonts w:ascii="Open Sans" w:eastAsia="Open Sans" w:hAnsi="Open Sans" w:cs="Open Sans"/>
                <w:b/>
              </w:rPr>
            </w:pPr>
            <w:r>
              <w:rPr>
                <w:rFonts w:ascii="Open Sans" w:eastAsia="Open Sans" w:hAnsi="Open Sans" w:cs="Open Sans"/>
                <w:b/>
              </w:rPr>
              <w:t xml:space="preserve">Total price </w:t>
            </w:r>
          </w:p>
          <w:p w:rsidR="0009040E" w:rsidRDefault="0009040E" w:rsidP="007B06F1">
            <w:pPr>
              <w:jc w:val="center"/>
              <w:rPr>
                <w:rFonts w:ascii="Open Sans" w:eastAsia="Open Sans" w:hAnsi="Open Sans" w:cs="Open Sans"/>
                <w:b/>
              </w:rPr>
            </w:pPr>
            <w:r>
              <w:rPr>
                <w:rFonts w:ascii="Open Sans" w:eastAsia="Open Sans" w:hAnsi="Open Sans" w:cs="Open Sans"/>
                <w:b/>
                <w:highlight w:val="yellow"/>
              </w:rPr>
              <w:t xml:space="preserve">DAP </w:t>
            </w:r>
          </w:p>
          <w:p w:rsidR="0009040E" w:rsidRDefault="0009040E" w:rsidP="007B06F1">
            <w:pPr>
              <w:jc w:val="center"/>
              <w:rPr>
                <w:rFonts w:ascii="Open Sans" w:eastAsia="Open Sans" w:hAnsi="Open Sans" w:cs="Open Sans"/>
                <w:b/>
              </w:rPr>
            </w:pPr>
            <w:r>
              <w:rPr>
                <w:rFonts w:ascii="Open Sans" w:eastAsia="Open Sans" w:hAnsi="Open Sans" w:cs="Open Sans"/>
                <w:b/>
              </w:rPr>
              <w:t>(a)x(b)</w:t>
            </w:r>
          </w:p>
        </w:tc>
      </w:tr>
      <w:tr w:rsidR="0009040E" w:rsidTr="0009040E">
        <w:tc>
          <w:tcPr>
            <w:tcW w:w="780" w:type="dxa"/>
            <w:tcBorders>
              <w:top w:val="single" w:sz="4" w:space="0" w:color="000000"/>
              <w:left w:val="single" w:sz="4" w:space="0" w:color="000000"/>
              <w:bottom w:val="single" w:sz="4" w:space="0" w:color="000000"/>
              <w:right w:val="single" w:sz="4" w:space="0" w:color="000000"/>
            </w:tcBorders>
            <w:vAlign w:val="center"/>
          </w:tcPr>
          <w:p w:rsidR="0009040E" w:rsidRPr="00B60F45" w:rsidRDefault="0009040E"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286" w:type="dxa"/>
            <w:vAlign w:val="center"/>
          </w:tcPr>
          <w:p w:rsidR="0009040E" w:rsidRPr="0009040E" w:rsidRDefault="0009040E" w:rsidP="0009040E">
            <w:pPr>
              <w:rPr>
                <w:rFonts w:ascii="Open Sans" w:eastAsia="Open Sans" w:hAnsi="Open Sans" w:cs="Open Sans"/>
                <w:b/>
                <w:bCs/>
                <w:color w:val="000000"/>
              </w:rPr>
            </w:pPr>
            <w:r w:rsidRPr="0009040E">
              <w:rPr>
                <w:rFonts w:ascii="Open Sans" w:eastAsia="Open Sans" w:hAnsi="Open Sans" w:cs="Open Sans"/>
                <w:b/>
                <w:bCs/>
                <w:color w:val="000000"/>
              </w:rPr>
              <w:t>AUTOMATIC VOLTAGE REGULATOR/STABILISER</w:t>
            </w:r>
          </w:p>
          <w:p w:rsidR="0009040E" w:rsidRPr="00B60F45" w:rsidRDefault="0009040E" w:rsidP="00FA204B">
            <w:pPr>
              <w:rPr>
                <w:rFonts w:ascii="Open Sans" w:eastAsia="Open Sans" w:hAnsi="Open Sans" w:cs="Open Sans"/>
                <w:color w:val="000000"/>
              </w:rPr>
            </w:pPr>
          </w:p>
        </w:tc>
        <w:tc>
          <w:tcPr>
            <w:tcW w:w="720" w:type="dxa"/>
            <w:shd w:val="clear" w:color="auto" w:fill="auto"/>
            <w:vAlign w:val="center"/>
          </w:tcPr>
          <w:p w:rsidR="0009040E" w:rsidRPr="00740C01" w:rsidRDefault="0009040E"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2</w:t>
            </w:r>
          </w:p>
        </w:tc>
        <w:tc>
          <w:tcPr>
            <w:tcW w:w="810" w:type="dxa"/>
            <w:vAlign w:val="center"/>
          </w:tcPr>
          <w:p w:rsidR="0009040E" w:rsidRDefault="0009040E" w:rsidP="00FA204B">
            <w:pPr>
              <w:jc w:val="center"/>
              <w:rPr>
                <w:rFonts w:ascii="Open Sans" w:eastAsia="Open Sans" w:hAnsi="Open Sans" w:cs="Open Sans"/>
              </w:rPr>
            </w:pPr>
            <w:r>
              <w:rPr>
                <w:rFonts w:ascii="Open Sans" w:eastAsia="Open Sans" w:hAnsi="Open Sans" w:cs="Open Sans"/>
              </w:rPr>
              <w:t>Units</w:t>
            </w:r>
          </w:p>
        </w:tc>
        <w:tc>
          <w:tcPr>
            <w:tcW w:w="2340" w:type="dxa"/>
            <w:vAlign w:val="center"/>
          </w:tcPr>
          <w:p w:rsidR="0009040E" w:rsidRDefault="0009040E" w:rsidP="00FA204B">
            <w:pPr>
              <w:jc w:val="center"/>
              <w:rPr>
                <w:rFonts w:ascii="Open Sans" w:eastAsia="Open Sans" w:hAnsi="Open Sans" w:cs="Open Sans"/>
              </w:rPr>
            </w:pPr>
          </w:p>
        </w:tc>
        <w:tc>
          <w:tcPr>
            <w:tcW w:w="2699" w:type="dxa"/>
            <w:vAlign w:val="center"/>
          </w:tcPr>
          <w:p w:rsidR="0009040E" w:rsidRDefault="0009040E" w:rsidP="00FA204B">
            <w:pPr>
              <w:jc w:val="center"/>
              <w:rPr>
                <w:rFonts w:ascii="Open Sans" w:eastAsia="Open Sans" w:hAnsi="Open Sans" w:cs="Open Sans"/>
              </w:rPr>
            </w:pPr>
          </w:p>
        </w:tc>
      </w:tr>
      <w:tr w:rsidR="0009040E" w:rsidTr="0009040E">
        <w:trPr>
          <w:trHeight w:val="320"/>
        </w:trPr>
        <w:tc>
          <w:tcPr>
            <w:tcW w:w="7936" w:type="dxa"/>
            <w:gridSpan w:val="5"/>
            <w:vAlign w:val="center"/>
          </w:tcPr>
          <w:p w:rsidR="0009040E" w:rsidRDefault="0009040E" w:rsidP="00145065">
            <w:pPr>
              <w:jc w:val="center"/>
              <w:rPr>
                <w:rFonts w:ascii="Open Sans" w:eastAsia="Open Sans" w:hAnsi="Open Sans" w:cs="Open Sans"/>
                <w:b/>
              </w:rPr>
            </w:pPr>
            <w:r>
              <w:rPr>
                <w:rFonts w:ascii="Open Sans" w:eastAsia="Open Sans" w:hAnsi="Open Sans" w:cs="Open Sans"/>
                <w:b/>
              </w:rPr>
              <w:t>Total Price of Goods</w:t>
            </w:r>
          </w:p>
        </w:tc>
        <w:tc>
          <w:tcPr>
            <w:tcW w:w="2699" w:type="dxa"/>
            <w:vAlign w:val="center"/>
          </w:tcPr>
          <w:p w:rsidR="0009040E" w:rsidRDefault="0009040E"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85761A" w:rsidRDefault="0085761A" w:rsidP="0085761A">
      <w:pPr>
        <w:pStyle w:val="ListParagraph"/>
        <w:numPr>
          <w:ilvl w:val="0"/>
          <w:numId w:val="18"/>
        </w:num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Prices </w:t>
      </w:r>
      <w:r w:rsidRPr="00B34A55">
        <w:rPr>
          <w:rFonts w:ascii="Open Sans" w:eastAsia="Open Sans" w:hAnsi="Open Sans" w:cs="Open Sans"/>
          <w:b/>
          <w:color w:val="000000"/>
        </w:rPr>
        <w:t>Related services</w:t>
      </w:r>
      <w:r>
        <w:rPr>
          <w:rFonts w:ascii="Open Sans" w:eastAsia="Open Sans" w:hAnsi="Open Sans" w:cs="Open Sans"/>
          <w:b/>
          <w:color w:val="000000"/>
        </w:rPr>
        <w:t xml:space="preserve"> </w:t>
      </w:r>
      <w:r w:rsidRPr="00B34A55">
        <w:rPr>
          <w:rFonts w:ascii="Open Sans" w:eastAsia="Open Sans" w:hAnsi="Open Sans" w:cs="Open Sans"/>
          <w:b/>
          <w:color w:val="000000"/>
        </w:rPr>
        <w:t xml:space="preserve">– </w:t>
      </w:r>
      <w:r w:rsidRPr="00B34A55">
        <w:rPr>
          <w:rFonts w:ascii="Open Sans" w:eastAsia="Open Sans" w:hAnsi="Open Sans" w:cs="Open Sans"/>
          <w:b/>
          <w:bCs/>
          <w:color w:val="000000"/>
        </w:rPr>
        <w:t>Installation, end users training</w:t>
      </w:r>
      <w:r>
        <w:rPr>
          <w:rFonts w:ascii="Open Sans" w:eastAsia="Open Sans" w:hAnsi="Open Sans" w:cs="Open Sans"/>
          <w:b/>
          <w:bCs/>
          <w:color w:val="000000"/>
        </w:rPr>
        <w:t>,</w:t>
      </w:r>
      <w:r w:rsidRPr="00B34A55">
        <w:rPr>
          <w:rFonts w:ascii="Open Sans" w:eastAsia="Open Sans" w:hAnsi="Open Sans" w:cs="Open Sans"/>
          <w:b/>
          <w:bCs/>
          <w:color w:val="000000"/>
        </w:rPr>
        <w:t xml:space="preserve"> and commissioning.</w:t>
      </w:r>
    </w:p>
    <w:p w:rsidR="0085761A" w:rsidRPr="00B34A55" w:rsidRDefault="0085761A" w:rsidP="0085761A">
      <w:pPr>
        <w:pStyle w:val="ListParagraph"/>
        <w:pBdr>
          <w:top w:val="nil"/>
          <w:left w:val="nil"/>
          <w:bottom w:val="nil"/>
          <w:right w:val="nil"/>
          <w:between w:val="nil"/>
        </w:pBdr>
        <w:ind w:left="502"/>
        <w:rPr>
          <w:rFonts w:ascii="Open Sans" w:eastAsia="Open Sans" w:hAnsi="Open Sans" w:cs="Open Sans"/>
          <w:b/>
          <w:color w:val="000000"/>
        </w:rPr>
      </w:pPr>
    </w:p>
    <w:tbl>
      <w:tblPr>
        <w:tblW w:w="1026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990"/>
        <w:gridCol w:w="1710"/>
        <w:gridCol w:w="1890"/>
      </w:tblGrid>
      <w:tr w:rsidR="00FA204B" w:rsidTr="00FA204B">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Qty</w:t>
            </w:r>
          </w:p>
        </w:tc>
        <w:tc>
          <w:tcPr>
            <w:tcW w:w="990" w:type="dxa"/>
            <w:shd w:val="clear" w:color="auto" w:fill="D9D9D9"/>
          </w:tcPr>
          <w:p w:rsidR="00FA204B" w:rsidRDefault="00FA204B" w:rsidP="00A30A62">
            <w:pPr>
              <w:jc w:val="center"/>
              <w:rPr>
                <w:rFonts w:ascii="Open Sans" w:eastAsia="Open Sans" w:hAnsi="Open Sans" w:cs="Open Sans"/>
                <w:b/>
              </w:rPr>
            </w:pPr>
            <w:r>
              <w:rPr>
                <w:rFonts w:ascii="Open Sans" w:eastAsia="Open Sans" w:hAnsi="Open Sans" w:cs="Open Sans"/>
                <w:b/>
              </w:rPr>
              <w:t>Units</w:t>
            </w:r>
          </w:p>
        </w:tc>
        <w:tc>
          <w:tcPr>
            <w:tcW w:w="171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Unit Price</w:t>
            </w:r>
          </w:p>
        </w:tc>
        <w:tc>
          <w:tcPr>
            <w:tcW w:w="189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Total Price</w:t>
            </w:r>
          </w:p>
        </w:tc>
      </w:tr>
      <w:tr w:rsidR="00FA204B" w:rsidTr="00FA204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rsidR="00FA204B" w:rsidRPr="0009040E" w:rsidRDefault="0009040E" w:rsidP="00FA204B">
            <w:pPr>
              <w:rPr>
                <w:rFonts w:ascii="Open Sans" w:eastAsia="Open Sans" w:hAnsi="Open Sans" w:cs="Open Sans"/>
                <w:b/>
                <w:bCs/>
                <w:color w:val="000000"/>
              </w:rPr>
            </w:pPr>
            <w:r w:rsidRPr="0009040E">
              <w:rPr>
                <w:rFonts w:ascii="Open Sans" w:eastAsia="Open Sans" w:hAnsi="Open Sans" w:cs="Open Sans"/>
                <w:b/>
                <w:bCs/>
                <w:color w:val="000000"/>
              </w:rPr>
              <w:t>AUTOMATIC VOLTAGE REGULATOR/STABILISER</w:t>
            </w:r>
          </w:p>
        </w:tc>
        <w:tc>
          <w:tcPr>
            <w:tcW w:w="990" w:type="dxa"/>
            <w:shd w:val="clear" w:color="auto" w:fill="auto"/>
            <w:vAlign w:val="center"/>
          </w:tcPr>
          <w:p w:rsidR="00FA204B" w:rsidRPr="00740C01" w:rsidRDefault="0009040E"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2</w:t>
            </w:r>
          </w:p>
        </w:tc>
        <w:tc>
          <w:tcPr>
            <w:tcW w:w="990" w:type="dxa"/>
            <w:vAlign w:val="center"/>
          </w:tcPr>
          <w:p w:rsidR="00FA204B" w:rsidRDefault="00FA204B" w:rsidP="00FA204B">
            <w:pPr>
              <w:jc w:val="center"/>
            </w:pPr>
            <w:r>
              <w:t>Units</w:t>
            </w:r>
          </w:p>
        </w:tc>
        <w:tc>
          <w:tcPr>
            <w:tcW w:w="1710" w:type="dxa"/>
            <w:vAlign w:val="center"/>
          </w:tcPr>
          <w:p w:rsidR="00FA204B" w:rsidRDefault="00FA204B" w:rsidP="00FA204B">
            <w:pPr>
              <w:jc w:val="center"/>
            </w:pPr>
          </w:p>
        </w:tc>
        <w:tc>
          <w:tcPr>
            <w:tcW w:w="1890" w:type="dxa"/>
            <w:vAlign w:val="center"/>
          </w:tcPr>
          <w:p w:rsidR="00FA204B" w:rsidRDefault="00FA204B" w:rsidP="00FA204B">
            <w:pPr>
              <w:jc w:val="center"/>
            </w:pPr>
          </w:p>
        </w:tc>
      </w:tr>
      <w:tr w:rsidR="00FA204B" w:rsidTr="00834A41">
        <w:trPr>
          <w:trHeight w:val="220"/>
        </w:trPr>
        <w:tc>
          <w:tcPr>
            <w:tcW w:w="8370" w:type="dxa"/>
            <w:gridSpan w:val="5"/>
            <w:tcBorders>
              <w:top w:val="single" w:sz="4" w:space="0" w:color="000000"/>
              <w:left w:val="single" w:sz="4" w:space="0" w:color="000000"/>
              <w:bottom w:val="single" w:sz="4" w:space="0" w:color="000000"/>
            </w:tcBorders>
          </w:tcPr>
          <w:p w:rsidR="00FA204B" w:rsidRPr="0085761A" w:rsidRDefault="00FA204B" w:rsidP="0085761A">
            <w:pPr>
              <w:jc w:val="right"/>
              <w:rPr>
                <w:b/>
              </w:rPr>
            </w:pPr>
            <w:r w:rsidRPr="0085761A">
              <w:rPr>
                <w:b/>
              </w:rPr>
              <w:t>Total</w:t>
            </w:r>
          </w:p>
        </w:tc>
        <w:tc>
          <w:tcPr>
            <w:tcW w:w="1890" w:type="dxa"/>
            <w:vAlign w:val="center"/>
          </w:tcPr>
          <w:p w:rsidR="00FA204B" w:rsidRDefault="00FA204B" w:rsidP="00A30A62">
            <w:pPr>
              <w:jc w:val="center"/>
            </w:pPr>
          </w:p>
        </w:tc>
      </w:tr>
    </w:tbl>
    <w:p w:rsidR="0085761A" w:rsidRDefault="0085761A">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Default="001803E3">
      <w:pPr>
        <w:rPr>
          <w:rFonts w:ascii="Open Sans" w:eastAsia="Open Sans" w:hAnsi="Open Sans" w:cs="Open Sans"/>
          <w:b/>
        </w:rPr>
      </w:pPr>
      <w:r>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pPr>
              <w:keepLines/>
              <w:ind w:right="-23"/>
              <w:rPr>
                <w:rFonts w:ascii="Open Sans" w:eastAsia="Open Sans" w:hAnsi="Open Sans" w:cs="Open Sans"/>
                <w:highlight w:val="lightGray"/>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E07917">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094D45">
        <w:rPr>
          <w:rFonts w:ascii="Open Sans" w:eastAsia="Open Sans" w:hAnsi="Open Sans" w:cs="Open Sans"/>
          <w:b/>
          <w:color w:val="0092D1"/>
          <w:sz w:val="28"/>
          <w:szCs w:val="28"/>
        </w:rPr>
        <w:t>II</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Default="006D6CF2" w:rsidP="0085761A">
      <w:pPr>
        <w:pStyle w:val="ListParagraph"/>
        <w:numPr>
          <w:ilvl w:val="0"/>
          <w:numId w:val="34"/>
        </w:numPr>
        <w:pBdr>
          <w:top w:val="nil"/>
          <w:left w:val="nil"/>
          <w:bottom w:val="nil"/>
          <w:right w:val="nil"/>
          <w:between w:val="nil"/>
        </w:pBdr>
        <w:tabs>
          <w:tab w:val="right" w:pos="8640"/>
        </w:tabs>
        <w:rPr>
          <w:rFonts w:ascii="Open Sans" w:eastAsia="Open Sans" w:hAnsi="Open Sans" w:cs="Open Sans"/>
          <w:b/>
          <w:color w:val="000000"/>
        </w:rPr>
      </w:pPr>
      <w:r w:rsidRPr="0085761A">
        <w:rPr>
          <w:rFonts w:ascii="Open Sans" w:eastAsia="Open Sans" w:hAnsi="Open Sans" w:cs="Open Sans"/>
          <w:b/>
          <w:color w:val="000000"/>
        </w:rPr>
        <w:t>Technical specifications for Goods and Comparative Data Table</w:t>
      </w:r>
    </w:p>
    <w:p w:rsidR="0009040E" w:rsidRPr="0085761A" w:rsidRDefault="0009040E" w:rsidP="0009040E">
      <w:pPr>
        <w:pStyle w:val="ListParagraph"/>
        <w:pBdr>
          <w:top w:val="nil"/>
          <w:left w:val="nil"/>
          <w:bottom w:val="nil"/>
          <w:right w:val="nil"/>
          <w:between w:val="nil"/>
        </w:pBdr>
        <w:tabs>
          <w:tab w:val="right" w:pos="8640"/>
        </w:tabs>
        <w:ind w:left="502"/>
        <w:rPr>
          <w:rFonts w:ascii="Open Sans" w:eastAsia="Open Sans" w:hAnsi="Open Sans" w:cs="Open Sans"/>
          <w:b/>
          <w:color w:val="000000"/>
        </w:rPr>
      </w:pPr>
    </w:p>
    <w:tbl>
      <w:tblPr>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725"/>
        <w:gridCol w:w="1530"/>
        <w:gridCol w:w="3870"/>
      </w:tblGrid>
      <w:tr w:rsidR="0009040E" w:rsidRPr="0009040E" w:rsidTr="00D0434E">
        <w:trPr>
          <w:trHeight w:val="480"/>
        </w:trPr>
        <w:tc>
          <w:tcPr>
            <w:tcW w:w="885" w:type="dxa"/>
            <w:shd w:val="clear" w:color="auto" w:fill="D9D9D9"/>
            <w:vAlign w:val="center"/>
          </w:tcPr>
          <w:p w:rsidR="0009040E" w:rsidRPr="0009040E" w:rsidRDefault="0009040E" w:rsidP="0009040E">
            <w:pPr>
              <w:jc w:val="center"/>
              <w:rPr>
                <w:rFonts w:ascii="Open Sans" w:eastAsia="Open Sans" w:hAnsi="Open Sans" w:cs="Open Sans"/>
                <w:b/>
              </w:rPr>
            </w:pPr>
            <w:r w:rsidRPr="0009040E">
              <w:rPr>
                <w:rFonts w:ascii="Open Sans" w:eastAsia="Open Sans" w:hAnsi="Open Sans" w:cs="Open Sans"/>
                <w:b/>
              </w:rPr>
              <w:t>Item No</w:t>
            </w:r>
          </w:p>
        </w:tc>
        <w:tc>
          <w:tcPr>
            <w:tcW w:w="3725" w:type="dxa"/>
            <w:shd w:val="clear" w:color="auto" w:fill="D9D9D9"/>
            <w:vAlign w:val="center"/>
          </w:tcPr>
          <w:p w:rsidR="0009040E" w:rsidRPr="0009040E" w:rsidRDefault="0009040E" w:rsidP="0009040E">
            <w:pPr>
              <w:jc w:val="center"/>
              <w:rPr>
                <w:rFonts w:ascii="Open Sans" w:eastAsia="Open Sans" w:hAnsi="Open Sans" w:cs="Open Sans"/>
                <w:b/>
              </w:rPr>
            </w:pPr>
            <w:r w:rsidRPr="0009040E">
              <w:rPr>
                <w:rFonts w:ascii="Open Sans" w:eastAsia="Open Sans" w:hAnsi="Open Sans" w:cs="Open Sans"/>
                <w:b/>
              </w:rPr>
              <w:t>UNOPS minimum technical requirements</w:t>
            </w:r>
          </w:p>
        </w:tc>
        <w:tc>
          <w:tcPr>
            <w:tcW w:w="1530" w:type="dxa"/>
            <w:shd w:val="clear" w:color="auto" w:fill="D9D9D9"/>
            <w:vAlign w:val="center"/>
          </w:tcPr>
          <w:p w:rsidR="0009040E" w:rsidRPr="0009040E" w:rsidRDefault="0009040E" w:rsidP="0009040E">
            <w:pPr>
              <w:jc w:val="center"/>
              <w:rPr>
                <w:rFonts w:ascii="Open Sans" w:eastAsia="Open Sans" w:hAnsi="Open Sans" w:cs="Open Sans"/>
                <w:b/>
              </w:rPr>
            </w:pPr>
            <w:r w:rsidRPr="0009040E">
              <w:rPr>
                <w:rFonts w:ascii="Open Sans" w:eastAsia="Open Sans" w:hAnsi="Open Sans" w:cs="Open Sans"/>
                <w:b/>
              </w:rPr>
              <w:t xml:space="preserve">Is Bid compliant? </w:t>
            </w:r>
            <w:r w:rsidRPr="0009040E">
              <w:rPr>
                <w:rFonts w:ascii="Open Sans" w:eastAsia="Open Sans" w:hAnsi="Open Sans" w:cs="Open Sans"/>
              </w:rPr>
              <w:t>Bidder to complete</w:t>
            </w:r>
          </w:p>
        </w:tc>
        <w:tc>
          <w:tcPr>
            <w:tcW w:w="3870" w:type="dxa"/>
            <w:shd w:val="clear" w:color="auto" w:fill="D9D9D9"/>
            <w:vAlign w:val="center"/>
          </w:tcPr>
          <w:p w:rsidR="0009040E" w:rsidRPr="0009040E" w:rsidRDefault="0009040E" w:rsidP="0009040E">
            <w:pPr>
              <w:jc w:val="center"/>
              <w:rPr>
                <w:rFonts w:ascii="Open Sans" w:eastAsia="Open Sans" w:hAnsi="Open Sans" w:cs="Open Sans"/>
                <w:b/>
              </w:rPr>
            </w:pPr>
            <w:r w:rsidRPr="0009040E">
              <w:rPr>
                <w:rFonts w:ascii="Open Sans" w:eastAsia="Open Sans" w:hAnsi="Open Sans" w:cs="Open Sans"/>
                <w:b/>
              </w:rPr>
              <w:t xml:space="preserve">Details of goods offered. </w:t>
            </w:r>
            <w:r w:rsidRPr="0009040E">
              <w:rPr>
                <w:rFonts w:ascii="Open Sans" w:eastAsia="Open Sans" w:hAnsi="Open Sans" w:cs="Open Sans"/>
              </w:rPr>
              <w:t>Bidder to complete</w:t>
            </w:r>
          </w:p>
        </w:tc>
      </w:tr>
      <w:tr w:rsidR="0009040E" w:rsidRPr="0009040E" w:rsidTr="00D0434E">
        <w:trPr>
          <w:trHeight w:val="935"/>
        </w:trPr>
        <w:tc>
          <w:tcPr>
            <w:tcW w:w="885" w:type="dxa"/>
            <w:vMerge w:val="restart"/>
            <w:vAlign w:val="center"/>
          </w:tcPr>
          <w:p w:rsidR="0009040E" w:rsidRPr="0009040E" w:rsidRDefault="0009040E" w:rsidP="0009040E">
            <w:pPr>
              <w:jc w:val="center"/>
              <w:rPr>
                <w:rFonts w:ascii="Open Sans" w:eastAsia="Open Sans" w:hAnsi="Open Sans" w:cs="Open Sans"/>
                <w:b/>
                <w:highlight w:val="yellow"/>
              </w:rPr>
            </w:pPr>
            <w:r w:rsidRPr="0009040E">
              <w:rPr>
                <w:rFonts w:ascii="Open Sans" w:eastAsia="Open Sans" w:hAnsi="Open Sans" w:cs="Open Sans"/>
                <w:b/>
                <w:highlight w:val="yellow"/>
              </w:rPr>
              <w:t>1</w:t>
            </w:r>
          </w:p>
        </w:tc>
        <w:tc>
          <w:tcPr>
            <w:tcW w:w="3725" w:type="dxa"/>
            <w:vAlign w:val="center"/>
          </w:tcPr>
          <w:p w:rsidR="0009040E" w:rsidRPr="0009040E" w:rsidRDefault="0009040E" w:rsidP="0009040E">
            <w:pPr>
              <w:rPr>
                <w:rFonts w:ascii="Open Sans" w:eastAsia="Open Sans" w:hAnsi="Open Sans" w:cs="Open Sans"/>
                <w:b/>
                <w:sz w:val="23"/>
                <w:szCs w:val="23"/>
                <w:highlight w:val="yellow"/>
              </w:rPr>
            </w:pPr>
            <w:r w:rsidRPr="0009040E">
              <w:rPr>
                <w:rFonts w:ascii="Open Sans" w:eastAsia="Open Sans" w:hAnsi="Open Sans" w:cs="Open Sans"/>
                <w:b/>
                <w:sz w:val="23"/>
                <w:szCs w:val="23"/>
                <w:highlight w:val="yellow"/>
              </w:rPr>
              <w:t>AUTOMATIC VOLTAGE REGULATOR/STABILISER</w:t>
            </w:r>
          </w:p>
          <w:p w:rsidR="0009040E" w:rsidRPr="0009040E" w:rsidRDefault="0009040E" w:rsidP="0009040E">
            <w:pPr>
              <w:rPr>
                <w:rFonts w:ascii="Open Sans" w:eastAsia="Open Sans" w:hAnsi="Open Sans" w:cs="Open Sans"/>
                <w:highlight w:val="yellow"/>
              </w:rPr>
            </w:pPr>
          </w:p>
        </w:tc>
        <w:tc>
          <w:tcPr>
            <w:tcW w:w="1530" w:type="dxa"/>
            <w:vAlign w:val="center"/>
          </w:tcPr>
          <w:p w:rsidR="0009040E" w:rsidRPr="0009040E" w:rsidRDefault="0009040E" w:rsidP="0009040E">
            <w:pPr>
              <w:jc w:val="center"/>
              <w:rPr>
                <w:rFonts w:ascii="Open Sans" w:eastAsia="Open Sans" w:hAnsi="Open Sans" w:cs="Open Sans"/>
              </w:rP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rPr>
                <w:rFonts w:ascii="Open Sans" w:eastAsia="Open Sans" w:hAnsi="Open Sans" w:cs="Open Sans"/>
                <w:highlight w:val="lightGray"/>
              </w:rPr>
            </w:pPr>
            <w:r w:rsidRPr="0009040E">
              <w:rPr>
                <w:rFonts w:ascii="Open Sans" w:eastAsia="Open Sans" w:hAnsi="Open Sans" w:cs="Open Sans"/>
                <w:highlight w:val="cyan"/>
              </w:rPr>
              <w:t xml:space="preserve">Insert details of goods offered, including specifications and brand/model offered </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3725" w:type="dxa"/>
            <w:vAlign w:val="center"/>
          </w:tcPr>
          <w:p w:rsidR="0009040E" w:rsidRPr="0009040E" w:rsidRDefault="0009040E" w:rsidP="0009040E">
            <w:pPr>
              <w:rPr>
                <w:rFonts w:ascii="Open Sans" w:eastAsia="Open Sans" w:hAnsi="Open Sans" w:cs="Open Sans"/>
                <w:b/>
                <w:sz w:val="21"/>
                <w:szCs w:val="21"/>
                <w:lang w:val="en-US"/>
              </w:rPr>
            </w:pPr>
            <w:r w:rsidRPr="0009040E">
              <w:rPr>
                <w:rFonts w:ascii="Open Sans" w:eastAsia="Open Sans" w:hAnsi="Open Sans" w:cs="Open Sans"/>
                <w:b/>
                <w:sz w:val="21"/>
                <w:szCs w:val="21"/>
                <w:lang w:val="en-US"/>
              </w:rPr>
              <w:t>Power rating: 80 KVA</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highlight w:val="lightGray"/>
              </w:rPr>
            </w:pPr>
            <w:r w:rsidRPr="0009040E">
              <w:rPr>
                <w:rFonts w:ascii="Open Sans" w:eastAsia="Open Sans" w:hAnsi="Open Sans" w:cs="Open Sans"/>
                <w:sz w:val="21"/>
                <w:szCs w:val="21"/>
              </w:rPr>
              <w:t>Input voltage: 390 - 440V (line voltage)</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1"/>
                <w:szCs w:val="21"/>
              </w:rPr>
              <w:t>Number of phases: 3 phases (plus single phase connection)</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1"/>
                <w:szCs w:val="21"/>
                <w:lang w:val="en-US"/>
              </w:rPr>
            </w:pPr>
            <w:r w:rsidRPr="0009040E">
              <w:rPr>
                <w:rFonts w:ascii="Open Sans" w:eastAsia="Open Sans" w:hAnsi="Open Sans" w:cs="Open Sans"/>
                <w:sz w:val="21"/>
                <w:szCs w:val="21"/>
              </w:rPr>
              <w:t xml:space="preserve">Output frequency: </w:t>
            </w:r>
            <w:r w:rsidRPr="0009040E">
              <w:rPr>
                <w:rFonts w:ascii="Open Sans" w:eastAsia="Open Sans" w:hAnsi="Open Sans" w:cs="Open Sans"/>
                <w:sz w:val="21"/>
                <w:szCs w:val="21"/>
                <w:lang w:val="en-US"/>
              </w:rPr>
              <w:t>50 Hz</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1"/>
                <w:szCs w:val="21"/>
              </w:rPr>
              <w:t>Input current protection: Overcurrent protection</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1"/>
                <w:szCs w:val="21"/>
              </w:rPr>
              <w:t>Input voltage protection: Low and high voltage protection</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Output voltage:</w:t>
            </w:r>
            <w:r w:rsidRPr="0009040E">
              <w:rPr>
                <w:color w:val="000000"/>
              </w:rPr>
              <w:t xml:space="preserve"> </w:t>
            </w:r>
            <w:r w:rsidRPr="0009040E">
              <w:rPr>
                <w:rFonts w:ascii="Open Sans" w:eastAsia="Open Sans" w:hAnsi="Open Sans" w:cs="Open Sans"/>
                <w:sz w:val="22"/>
                <w:szCs w:val="22"/>
              </w:rPr>
              <w:t>400V  1%</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Overload rating: 200% of rated load for 10 seconds</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Rate of stabilization: 90 volts/second</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Output protection: By disconnection of load circuit</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Stabilization mechanism:  Full automatic microprocessor-controlled servo motor</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Efficiency: 95%</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Operating temperature limits: -5  ⁰C   +50</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rPr>
          <w:trHeight w:val="206"/>
        </w:trPr>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2"/>
                <w:szCs w:val="22"/>
              </w:rPr>
              <w:t>Noise level: 50dB</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1"/>
                <w:szCs w:val="21"/>
              </w:rPr>
              <w:t>Warranty: 1 Year including spare parts, Preventive and curative maintenance free of charge.</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Merge/>
            <w:vAlign w:val="center"/>
          </w:tcPr>
          <w:p w:rsidR="0009040E" w:rsidRPr="0009040E" w:rsidRDefault="0009040E" w:rsidP="0009040E">
            <w:pPr>
              <w:widowControl w:val="0"/>
              <w:pBdr>
                <w:top w:val="nil"/>
                <w:left w:val="nil"/>
                <w:bottom w:val="nil"/>
                <w:right w:val="nil"/>
                <w:between w:val="nil"/>
              </w:pBdr>
              <w:spacing w:line="276" w:lineRule="auto"/>
            </w:pPr>
          </w:p>
        </w:tc>
        <w:tc>
          <w:tcPr>
            <w:tcW w:w="3725" w:type="dxa"/>
            <w:vAlign w:val="center"/>
          </w:tcPr>
          <w:p w:rsidR="0009040E" w:rsidRPr="0009040E" w:rsidRDefault="0009040E" w:rsidP="0009040E">
            <w:pPr>
              <w:rPr>
                <w:rFonts w:ascii="Open Sans" w:eastAsia="Open Sans" w:hAnsi="Open Sans" w:cs="Open Sans"/>
                <w:sz w:val="22"/>
                <w:szCs w:val="22"/>
              </w:rPr>
            </w:pPr>
            <w:r w:rsidRPr="0009040E">
              <w:rPr>
                <w:rFonts w:ascii="Open Sans" w:eastAsia="Open Sans" w:hAnsi="Open Sans" w:cs="Open Sans"/>
                <w:sz w:val="21"/>
                <w:szCs w:val="21"/>
              </w:rPr>
              <w:t>Quality Certification: CE or FDA certified; ISO 9001 or manufacturer's QMS certificate</w:t>
            </w:r>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r w:rsidR="0009040E" w:rsidRPr="0009040E" w:rsidTr="00D0434E">
        <w:tc>
          <w:tcPr>
            <w:tcW w:w="885" w:type="dxa"/>
            <w:vAlign w:val="center"/>
          </w:tcPr>
          <w:p w:rsidR="0009040E" w:rsidRPr="0009040E" w:rsidRDefault="0009040E" w:rsidP="0009040E">
            <w:pPr>
              <w:rPr>
                <w:rFonts w:ascii="Open Sans" w:eastAsia="Open Sans" w:hAnsi="Open Sans" w:cs="Open Sans"/>
                <w:highlight w:val="lightGray"/>
              </w:rPr>
            </w:pPr>
          </w:p>
        </w:tc>
        <w:tc>
          <w:tcPr>
            <w:tcW w:w="3725" w:type="dxa"/>
            <w:vAlign w:val="center"/>
          </w:tcPr>
          <w:p w:rsidR="0009040E" w:rsidRPr="0009040E" w:rsidRDefault="0075093E" w:rsidP="0009040E">
            <w:pPr>
              <w:rPr>
                <w:rFonts w:ascii="Open Sans" w:eastAsia="Open Sans" w:hAnsi="Open Sans" w:cs="Open Sans"/>
                <w:sz w:val="21"/>
                <w:szCs w:val="21"/>
              </w:rPr>
            </w:pPr>
            <w:bookmarkStart w:id="1" w:name="_GoBack"/>
            <w:r w:rsidRPr="0075093E">
              <w:rPr>
                <w:rFonts w:ascii="Open Sans" w:eastAsia="Open Sans" w:hAnsi="Open Sans" w:cs="Open Sans"/>
                <w:sz w:val="21"/>
                <w:szCs w:val="21"/>
              </w:rPr>
              <w:t>Technical Data Sheet/Product Catalog</w:t>
            </w:r>
            <w:bookmarkEnd w:id="1"/>
          </w:p>
        </w:tc>
        <w:tc>
          <w:tcPr>
            <w:tcW w:w="1530" w:type="dxa"/>
            <w:vAlign w:val="center"/>
          </w:tcPr>
          <w:p w:rsidR="0009040E" w:rsidRPr="0009040E" w:rsidRDefault="0009040E" w:rsidP="0009040E">
            <w:pPr>
              <w:jc w:val="center"/>
            </w:pP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Yes   </w:t>
            </w:r>
            <w:r w:rsidRPr="0009040E">
              <w:rPr>
                <w:rFonts w:ascii="Segoe UI Symbol" w:eastAsia="Arimo" w:hAnsi="Segoe UI Symbol" w:cs="Segoe UI Symbol"/>
                <w:color w:val="000000"/>
                <w:highlight w:val="cyan"/>
              </w:rPr>
              <w:t>☐</w:t>
            </w:r>
            <w:r w:rsidRPr="0009040E">
              <w:rPr>
                <w:rFonts w:ascii="Arimo" w:eastAsia="Arimo" w:hAnsi="Arimo" w:cs="Arimo"/>
                <w:color w:val="000000"/>
                <w:highlight w:val="cyan"/>
              </w:rPr>
              <w:t xml:space="preserve"> No</w:t>
            </w:r>
          </w:p>
        </w:tc>
        <w:tc>
          <w:tcPr>
            <w:tcW w:w="3870" w:type="dxa"/>
            <w:vAlign w:val="center"/>
          </w:tcPr>
          <w:p w:rsidR="0009040E" w:rsidRPr="0009040E" w:rsidRDefault="0009040E" w:rsidP="0009040E">
            <w:pPr>
              <w:jc w:val="center"/>
            </w:pPr>
            <w:r w:rsidRPr="0009040E">
              <w:rPr>
                <w:rFonts w:ascii="Open Sans" w:eastAsia="Open Sans" w:hAnsi="Open Sans" w:cs="Open Sans"/>
                <w:highlight w:val="cyan"/>
              </w:rPr>
              <w:t>Insert details of goods offered</w:t>
            </w:r>
          </w:p>
        </w:tc>
      </w:tr>
    </w:tbl>
    <w:p w:rsidR="006D6CF2" w:rsidRPr="006D6CF2" w:rsidRDefault="006D6CF2" w:rsidP="006D6CF2">
      <w:pPr>
        <w:rPr>
          <w:rFonts w:ascii="Open Sans" w:eastAsia="Open Sans" w:hAnsi="Open Sans" w:cs="Open Sans"/>
          <w:b/>
          <w:color w:val="000000"/>
        </w:rPr>
      </w:pPr>
    </w:p>
    <w:p w:rsidR="00E56B15" w:rsidRPr="00E56B15" w:rsidRDefault="00E56B15" w:rsidP="00E56B15">
      <w:pPr>
        <w:rPr>
          <w:rFonts w:ascii="Open Sans" w:eastAsia="Open Sans" w:hAnsi="Open Sans" w:cs="Open Sans"/>
        </w:rPr>
      </w:pPr>
    </w:p>
    <w:p w:rsidR="006D6CF2" w:rsidRPr="007A344F" w:rsidRDefault="006D6CF2" w:rsidP="007A344F">
      <w:pPr>
        <w:pStyle w:val="ListParagraph"/>
        <w:numPr>
          <w:ilvl w:val="0"/>
          <w:numId w:val="36"/>
        </w:numPr>
        <w:pBdr>
          <w:top w:val="nil"/>
          <w:left w:val="nil"/>
          <w:bottom w:val="nil"/>
          <w:right w:val="nil"/>
          <w:between w:val="nil"/>
        </w:pBdr>
        <w:tabs>
          <w:tab w:val="right" w:pos="8640"/>
        </w:tabs>
        <w:rPr>
          <w:b/>
          <w:color w:val="000000"/>
        </w:rPr>
      </w:pPr>
      <w:r w:rsidRPr="007A344F">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E07917">
        <w:rPr>
          <w:rFonts w:ascii="Open Sans" w:eastAsia="Open Sans" w:hAnsi="Open Sans" w:cs="Open Sans"/>
          <w:b/>
          <w:color w:val="0092D1"/>
          <w:sz w:val="28"/>
          <w:szCs w:val="28"/>
        </w:rPr>
        <w:t>D</w:t>
      </w:r>
      <w:r>
        <w:rPr>
          <w:rFonts w:ascii="Open Sans" w:eastAsia="Open Sans" w:hAnsi="Open Sans" w:cs="Open Sans"/>
          <w:b/>
          <w:color w:val="0092D1"/>
          <w:sz w:val="28"/>
          <w:szCs w:val="28"/>
        </w:rPr>
        <w:t>: Manufacturer’s Authorization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E07917">
        <w:rPr>
          <w:rFonts w:ascii="Open Sans" w:eastAsia="Open Sans" w:hAnsi="Open Sans" w:cs="Open Sans"/>
          <w:b/>
          <w:color w:val="0092D1"/>
          <w:sz w:val="28"/>
          <w:szCs w:val="28"/>
        </w:rPr>
        <w:t>E</w:t>
      </w:r>
      <w:r>
        <w:rPr>
          <w:rFonts w:ascii="Open Sans" w:eastAsia="Open Sans" w:hAnsi="Open Sans" w:cs="Open Sans"/>
          <w:b/>
          <w:color w:val="0092D1"/>
          <w:sz w:val="28"/>
          <w:szCs w:val="28"/>
        </w:rPr>
        <w:t>: Performance Statement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7A344F">
        <w:rPr>
          <w:rFonts w:ascii="Open Sans" w:eastAsia="Open Sans" w:hAnsi="Open Sans" w:cs="Open Sans"/>
          <w:b/>
        </w:rPr>
        <w:t>Purchase Order</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F3A" w:rsidRDefault="00554F3A">
      <w:r>
        <w:separator/>
      </w:r>
    </w:p>
  </w:endnote>
  <w:endnote w:type="continuationSeparator" w:id="0">
    <w:p w:rsidR="00554F3A" w:rsidRDefault="00554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m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A41" w:rsidRDefault="00834A41">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34A41">
      <w:tc>
        <w:tcPr>
          <w:tcW w:w="4596" w:type="dxa"/>
        </w:tcPr>
        <w:p w:rsidR="00834A41" w:rsidRDefault="00834A41">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834A41" w:rsidRDefault="00834A41">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552C50">
            <w:rPr>
              <w:rFonts w:ascii="Open Sans" w:eastAsia="Open Sans" w:hAnsi="Open Sans" w:cs="Open Sans"/>
              <w:noProof/>
              <w:color w:val="000000"/>
              <w:sz w:val="18"/>
              <w:szCs w:val="18"/>
            </w:rPr>
            <w:t>5</w:t>
          </w:r>
          <w:r>
            <w:rPr>
              <w:rFonts w:ascii="Open Sans" w:eastAsia="Open Sans" w:hAnsi="Open Sans" w:cs="Open Sans"/>
              <w:color w:val="000000"/>
              <w:sz w:val="18"/>
              <w:szCs w:val="18"/>
            </w:rPr>
            <w:fldChar w:fldCharType="end"/>
          </w:r>
        </w:p>
      </w:tc>
    </w:tr>
  </w:tbl>
  <w:p w:rsidR="00834A41" w:rsidRDefault="00834A4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F3A" w:rsidRDefault="00554F3A">
      <w:r>
        <w:separator/>
      </w:r>
    </w:p>
  </w:footnote>
  <w:footnote w:type="continuationSeparator" w:id="0">
    <w:p w:rsidR="00554F3A" w:rsidRDefault="00554F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A41" w:rsidRDefault="00834A41">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34A41">
      <w:tc>
        <w:tcPr>
          <w:tcW w:w="4944" w:type="dxa"/>
        </w:tcPr>
        <w:p w:rsidR="00834A41" w:rsidRDefault="00834A41">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09040E" w:rsidRPr="0009040E" w:rsidRDefault="0009040E" w:rsidP="0009040E">
          <w:pPr>
            <w:pBdr>
              <w:top w:val="nil"/>
              <w:left w:val="nil"/>
              <w:bottom w:val="nil"/>
              <w:right w:val="nil"/>
              <w:between w:val="nil"/>
            </w:pBdr>
            <w:tabs>
              <w:tab w:val="center" w:pos="4320"/>
              <w:tab w:val="right" w:pos="8640"/>
            </w:tabs>
            <w:jc w:val="right"/>
            <w:rPr>
              <w:i/>
              <w:color w:val="00B0F0"/>
              <w:sz w:val="16"/>
              <w:szCs w:val="18"/>
            </w:rPr>
          </w:pPr>
          <w:r w:rsidRPr="0009040E">
            <w:rPr>
              <w:i/>
              <w:color w:val="00B0F0"/>
              <w:sz w:val="16"/>
              <w:szCs w:val="18"/>
            </w:rPr>
            <w:t>ITB Ref No: RFQ/2024/51040</w:t>
          </w:r>
        </w:p>
        <w:p w:rsidR="0009040E" w:rsidRPr="0009040E" w:rsidRDefault="0009040E" w:rsidP="0009040E">
          <w:pPr>
            <w:pBdr>
              <w:top w:val="nil"/>
              <w:left w:val="nil"/>
              <w:bottom w:val="nil"/>
              <w:right w:val="nil"/>
              <w:between w:val="nil"/>
            </w:pBdr>
            <w:tabs>
              <w:tab w:val="center" w:pos="4320"/>
              <w:tab w:val="right" w:pos="8640"/>
            </w:tabs>
            <w:jc w:val="right"/>
            <w:rPr>
              <w:i/>
              <w:color w:val="00B0F0"/>
              <w:sz w:val="16"/>
              <w:szCs w:val="18"/>
            </w:rPr>
          </w:pPr>
          <w:r w:rsidRPr="0009040E">
            <w:rPr>
              <w:i/>
              <w:color w:val="00B0F0"/>
              <w:sz w:val="16"/>
              <w:szCs w:val="18"/>
            </w:rPr>
            <w:t xml:space="preserve">RFQ for the Supply and Installation of Two Automatic </w:t>
          </w:r>
        </w:p>
        <w:p w:rsidR="0009040E" w:rsidRPr="0009040E" w:rsidRDefault="0009040E" w:rsidP="0009040E">
          <w:pPr>
            <w:pBdr>
              <w:top w:val="nil"/>
              <w:left w:val="nil"/>
              <w:bottom w:val="nil"/>
              <w:right w:val="nil"/>
              <w:between w:val="nil"/>
            </w:pBdr>
            <w:tabs>
              <w:tab w:val="center" w:pos="4320"/>
              <w:tab w:val="right" w:pos="8640"/>
            </w:tabs>
            <w:jc w:val="right"/>
            <w:rPr>
              <w:i/>
              <w:color w:val="00B0F0"/>
              <w:sz w:val="16"/>
              <w:szCs w:val="18"/>
            </w:rPr>
          </w:pPr>
          <w:r w:rsidRPr="0009040E">
            <w:rPr>
              <w:i/>
              <w:color w:val="00B0F0"/>
              <w:sz w:val="16"/>
              <w:szCs w:val="18"/>
            </w:rPr>
            <w:t xml:space="preserve">Voltage Regulators (AVRs) for Jakusko and Yusufari </w:t>
          </w:r>
        </w:p>
        <w:p w:rsidR="00834A41" w:rsidRPr="0009040E" w:rsidRDefault="0009040E" w:rsidP="0009040E">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09040E">
            <w:rPr>
              <w:i/>
              <w:color w:val="00B0F0"/>
              <w:sz w:val="16"/>
              <w:szCs w:val="18"/>
            </w:rPr>
            <w:t>Genera</w:t>
          </w:r>
          <w:r>
            <w:rPr>
              <w:i/>
              <w:color w:val="00B0F0"/>
              <w:sz w:val="16"/>
              <w:szCs w:val="18"/>
            </w:rPr>
            <w:t>l Hospitals, Yobe State, Nigeri</w:t>
          </w:r>
        </w:p>
      </w:tc>
    </w:tr>
  </w:tbl>
  <w:p w:rsidR="00834A41" w:rsidRDefault="00834A4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4A41" w:rsidRDefault="00834A41">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4423AB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6" w15:restartNumberingAfterBreak="0">
    <w:nsid w:val="5CD9431A"/>
    <w:multiLevelType w:val="hybridMultilevel"/>
    <w:tmpl w:val="B99E7ADC"/>
    <w:lvl w:ilvl="0" w:tplc="2A62462E">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75D17A6"/>
    <w:multiLevelType w:val="multilevel"/>
    <w:tmpl w:val="BCFC9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75F32FF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5"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8"/>
  </w:num>
  <w:num w:numId="3">
    <w:abstractNumId w:val="23"/>
  </w:num>
  <w:num w:numId="4">
    <w:abstractNumId w:val="12"/>
  </w:num>
  <w:num w:numId="5">
    <w:abstractNumId w:val="22"/>
  </w:num>
  <w:num w:numId="6">
    <w:abstractNumId w:val="6"/>
  </w:num>
  <w:num w:numId="7">
    <w:abstractNumId w:val="16"/>
  </w:num>
  <w:num w:numId="8">
    <w:abstractNumId w:val="20"/>
  </w:num>
  <w:num w:numId="9">
    <w:abstractNumId w:val="5"/>
  </w:num>
  <w:num w:numId="10">
    <w:abstractNumId w:val="21"/>
  </w:num>
  <w:num w:numId="11">
    <w:abstractNumId w:val="11"/>
  </w:num>
  <w:num w:numId="12">
    <w:abstractNumId w:val="35"/>
  </w:num>
  <w:num w:numId="13">
    <w:abstractNumId w:val="14"/>
  </w:num>
  <w:num w:numId="14">
    <w:abstractNumId w:val="31"/>
  </w:num>
  <w:num w:numId="15">
    <w:abstractNumId w:val="0"/>
  </w:num>
  <w:num w:numId="16">
    <w:abstractNumId w:val="9"/>
  </w:num>
  <w:num w:numId="17">
    <w:abstractNumId w:val="17"/>
  </w:num>
  <w:num w:numId="18">
    <w:abstractNumId w:val="33"/>
  </w:num>
  <w:num w:numId="19">
    <w:abstractNumId w:val="19"/>
  </w:num>
  <w:num w:numId="20">
    <w:abstractNumId w:val="1"/>
  </w:num>
  <w:num w:numId="21">
    <w:abstractNumId w:val="24"/>
  </w:num>
  <w:num w:numId="22">
    <w:abstractNumId w:val="30"/>
  </w:num>
  <w:num w:numId="23">
    <w:abstractNumId w:val="15"/>
  </w:num>
  <w:num w:numId="24">
    <w:abstractNumId w:val="25"/>
  </w:num>
  <w:num w:numId="25">
    <w:abstractNumId w:val="36"/>
  </w:num>
  <w:num w:numId="26">
    <w:abstractNumId w:val="3"/>
  </w:num>
  <w:num w:numId="27">
    <w:abstractNumId w:val="10"/>
  </w:num>
  <w:num w:numId="28">
    <w:abstractNumId w:val="32"/>
  </w:num>
  <w:num w:numId="29">
    <w:abstractNumId w:val="13"/>
  </w:num>
  <w:num w:numId="30">
    <w:abstractNumId w:val="28"/>
  </w:num>
  <w:num w:numId="31">
    <w:abstractNumId w:val="27"/>
  </w:num>
  <w:num w:numId="32">
    <w:abstractNumId w:val="2"/>
  </w:num>
  <w:num w:numId="33">
    <w:abstractNumId w:val="4"/>
  </w:num>
  <w:num w:numId="34">
    <w:abstractNumId w:val="26"/>
  </w:num>
  <w:num w:numId="35">
    <w:abstractNumId w:val="34"/>
  </w:num>
  <w:num w:numId="36">
    <w:abstractNumId w:val="7"/>
  </w:num>
  <w:num w:numId="37">
    <w:abstractNumId w:val="29"/>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4D49"/>
    <w:rsid w:val="000615B0"/>
    <w:rsid w:val="00086EFE"/>
    <w:rsid w:val="0009040E"/>
    <w:rsid w:val="00091743"/>
    <w:rsid w:val="00094D45"/>
    <w:rsid w:val="000D51A2"/>
    <w:rsid w:val="000F323B"/>
    <w:rsid w:val="00100310"/>
    <w:rsid w:val="00145065"/>
    <w:rsid w:val="001803E3"/>
    <w:rsid w:val="001A4ECE"/>
    <w:rsid w:val="001A677B"/>
    <w:rsid w:val="00216417"/>
    <w:rsid w:val="0024028C"/>
    <w:rsid w:val="002D65C2"/>
    <w:rsid w:val="002E6085"/>
    <w:rsid w:val="002F1D86"/>
    <w:rsid w:val="002F62B6"/>
    <w:rsid w:val="0044501A"/>
    <w:rsid w:val="0047439C"/>
    <w:rsid w:val="00492C97"/>
    <w:rsid w:val="004A0570"/>
    <w:rsid w:val="004A2925"/>
    <w:rsid w:val="004D7BF7"/>
    <w:rsid w:val="00522E84"/>
    <w:rsid w:val="00552C50"/>
    <w:rsid w:val="00554F3A"/>
    <w:rsid w:val="00597AAE"/>
    <w:rsid w:val="005B7D08"/>
    <w:rsid w:val="005F431B"/>
    <w:rsid w:val="006045F3"/>
    <w:rsid w:val="00657525"/>
    <w:rsid w:val="006674FA"/>
    <w:rsid w:val="00695C4E"/>
    <w:rsid w:val="006D4668"/>
    <w:rsid w:val="006D6CF2"/>
    <w:rsid w:val="006F5AD4"/>
    <w:rsid w:val="0075093E"/>
    <w:rsid w:val="00786E0F"/>
    <w:rsid w:val="007972C5"/>
    <w:rsid w:val="007A344F"/>
    <w:rsid w:val="007A7A41"/>
    <w:rsid w:val="007B06F1"/>
    <w:rsid w:val="00817531"/>
    <w:rsid w:val="00833566"/>
    <w:rsid w:val="00834A41"/>
    <w:rsid w:val="0085761A"/>
    <w:rsid w:val="00866A90"/>
    <w:rsid w:val="008C0EAF"/>
    <w:rsid w:val="00950C53"/>
    <w:rsid w:val="009F7B40"/>
    <w:rsid w:val="00A30A62"/>
    <w:rsid w:val="00A760D9"/>
    <w:rsid w:val="00AF06B5"/>
    <w:rsid w:val="00BA7218"/>
    <w:rsid w:val="00BB1B60"/>
    <w:rsid w:val="00BF6C98"/>
    <w:rsid w:val="00C63906"/>
    <w:rsid w:val="00CF10FC"/>
    <w:rsid w:val="00CF476D"/>
    <w:rsid w:val="00D12DD1"/>
    <w:rsid w:val="00D518E5"/>
    <w:rsid w:val="00D96354"/>
    <w:rsid w:val="00E07917"/>
    <w:rsid w:val="00E52F1E"/>
    <w:rsid w:val="00E56B15"/>
    <w:rsid w:val="00EA4DE8"/>
    <w:rsid w:val="00EB62EB"/>
    <w:rsid w:val="00ED4C14"/>
    <w:rsid w:val="00F27D92"/>
    <w:rsid w:val="00F644D2"/>
    <w:rsid w:val="00F82FB2"/>
    <w:rsid w:val="00FA2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85761A"/>
    <w:pPr>
      <w:ind w:left="720"/>
      <w:contextualSpacing/>
    </w:pPr>
  </w:style>
  <w:style w:type="table" w:customStyle="1" w:styleId="22">
    <w:name w:val="22"/>
    <w:basedOn w:val="TableNormal"/>
    <w:rsid w:val="00FA204B"/>
    <w:tblPr>
      <w:tblStyleRowBandSize w:val="1"/>
      <w:tblStyleColBandSize w:val="1"/>
      <w:tblCellMar>
        <w:left w:w="115" w:type="dxa"/>
        <w:right w:w="115" w:type="dxa"/>
      </w:tblCellMar>
    </w:tblPr>
  </w:style>
  <w:style w:type="table" w:customStyle="1" w:styleId="20">
    <w:name w:val="20"/>
    <w:basedOn w:val="TableNormal"/>
    <w:rsid w:val="00FA204B"/>
    <w:rPr>
      <w:rFonts w:ascii="Calibri" w:eastAsia="Calibri" w:hAnsi="Calibri" w:cs="Calibri"/>
    </w:rPr>
    <w:tblPr>
      <w:tblStyleRowBandSize w:val="1"/>
      <w:tblStyleColBandSize w:val="1"/>
    </w:tblPr>
  </w:style>
  <w:style w:type="paragraph" w:styleId="NormalWeb">
    <w:name w:val="Normal (Web)"/>
    <w:basedOn w:val="Normal"/>
    <w:uiPriority w:val="99"/>
    <w:semiHidden/>
    <w:unhideWhenUsed/>
    <w:rsid w:val="000D51A2"/>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99539">
      <w:bodyDiv w:val="1"/>
      <w:marLeft w:val="0"/>
      <w:marRight w:val="0"/>
      <w:marTop w:val="0"/>
      <w:marBottom w:val="0"/>
      <w:divBdr>
        <w:top w:val="none" w:sz="0" w:space="0" w:color="auto"/>
        <w:left w:val="none" w:sz="0" w:space="0" w:color="auto"/>
        <w:bottom w:val="none" w:sz="0" w:space="0" w:color="auto"/>
        <w:right w:val="none" w:sz="0" w:space="0" w:color="auto"/>
      </w:divBdr>
    </w:div>
    <w:div w:id="1834687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1950</Words>
  <Characters>11546</Characters>
  <Application>Microsoft Office Word</Application>
  <DocSecurity>0</DocSecurity>
  <Lines>476</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2</cp:revision>
  <dcterms:created xsi:type="dcterms:W3CDTF">2024-03-12T06:40:00Z</dcterms:created>
  <dcterms:modified xsi:type="dcterms:W3CDTF">2024-03-12T06:40:00Z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