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Energy Transition Business and Change Management Centre of Excellence in Indonesia</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RFP/2024/50314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yellow"/>
                <w:rtl w:val="0"/>
              </w:rPr>
              <w:t xml:space="preserve">Bidders is partnering up with International World University Ranking and Top 10 National University in Indonesia (Listed in the Annex 4)</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06A">
            <w:pPr>
              <w:widowControl w:val="0"/>
              <w:spacing w:line="272.61817932128906" w:lineRule="auto"/>
              <w:ind w:left="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D">
            <w:pPr>
              <w:rPr>
                <w:i w:val="1"/>
                <w:color w:val="0000ff"/>
              </w:rPr>
            </w:pPr>
            <w:r w:rsidDel="00000000" w:rsidR="00000000" w:rsidRPr="00000000">
              <w:rPr>
                <w:rtl w:val="0"/>
              </w:rPr>
            </w:r>
          </w:p>
          <w:p w:rsidR="00000000" w:rsidDel="00000000" w:rsidP="00000000" w:rsidRDefault="00000000" w:rsidRPr="00000000" w14:paraId="0000006E">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F">
            <w:pPr>
              <w:numPr>
                <w:ilvl w:val="0"/>
                <w:numId w:val="6"/>
              </w:numPr>
              <w:spacing w:line="276" w:lineRule="auto"/>
              <w:ind w:left="720" w:hanging="360"/>
              <w:rPr>
                <w:i w:val="1"/>
                <w:color w:val="0000ff"/>
                <w:highlight w:val="yellow"/>
              </w:rPr>
            </w:pPr>
            <w:r w:rsidDel="00000000" w:rsidR="00000000" w:rsidRPr="00000000">
              <w:rPr>
                <w:i w:val="1"/>
                <w:color w:val="0000ff"/>
                <w:highlight w:val="yellow"/>
                <w:rtl w:val="0"/>
              </w:rPr>
              <w:t xml:space="preserve">Bidders is partnering up with the International World University Ranking and Top 10 National University in Indonesia (Listed in Annex 4) (10)</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8">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D">
            <w:pPr>
              <w:widowControl w:val="0"/>
              <w:numPr>
                <w:ilvl w:val="0"/>
                <w:numId w:val="2"/>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300,000 USD in any of the past 2 years (2)</w:t>
            </w:r>
          </w:p>
          <w:p w:rsidR="00000000" w:rsidDel="00000000" w:rsidP="00000000" w:rsidRDefault="00000000" w:rsidRPr="00000000" w14:paraId="0000007E">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including risk(s) and mitigation measure(s), and methodology for meeting or exceeding the requirements of the Terms of Reference</w:t>
            </w:r>
            <w:r w:rsidDel="00000000" w:rsidR="00000000" w:rsidRPr="00000000">
              <w:rPr>
                <w:rtl w:val="0"/>
              </w:rPr>
            </w:r>
          </w:p>
          <w:p w:rsidR="00000000" w:rsidDel="00000000" w:rsidP="00000000" w:rsidRDefault="00000000" w:rsidRPr="00000000" w14:paraId="0000008B">
            <w:pPr>
              <w:rPr>
                <w:i w:val="1"/>
                <w:color w:val="0000ff"/>
              </w:rPr>
            </w:pP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numPr>
                <w:ilvl w:val="0"/>
                <w:numId w:val="5"/>
              </w:numPr>
              <w:ind w:left="720" w:hanging="360"/>
              <w:rPr>
                <w:i w:val="1"/>
                <w:color w:val="0000ff"/>
              </w:rPr>
            </w:pPr>
            <w:r w:rsidDel="00000000" w:rsidR="00000000" w:rsidRPr="00000000">
              <w:rPr>
                <w:i w:val="1"/>
                <w:color w:val="0000ff"/>
                <w:rtl w:val="0"/>
              </w:rPr>
              <w:t xml:space="preserve">Description</w:t>
            </w:r>
            <w:r w:rsidDel="00000000" w:rsidR="00000000" w:rsidRPr="00000000">
              <w:rPr>
                <w:i w:val="1"/>
                <w:color w:val="0000ff"/>
                <w:rtl w:val="0"/>
              </w:rPr>
              <w:t xml:space="preserve"> of the offeror’s approach to identification </w:t>
            </w:r>
            <w:r w:rsidDel="00000000" w:rsidR="00000000" w:rsidRPr="00000000">
              <w:rPr>
                <w:i w:val="1"/>
                <w:color w:val="0000ff"/>
                <w:rtl w:val="0"/>
              </w:rPr>
              <w:t xml:space="preserve">of data sources, scenarios, issues for the deep-dive in PLN organizational structure (see Annex 3), which further will assist the analysis and guiding the PLN decision makers in the context of energy transition strategies</w:t>
            </w:r>
            <w:r w:rsidDel="00000000" w:rsidR="00000000" w:rsidRPr="00000000">
              <w:rPr>
                <w:i w:val="1"/>
                <w:color w:val="0000ff"/>
                <w:rtl w:val="0"/>
              </w:rPr>
              <w:t xml:space="preserve"> (5)</w:t>
            </w:r>
          </w:p>
          <w:p w:rsidR="00000000" w:rsidDel="00000000" w:rsidP="00000000" w:rsidRDefault="00000000" w:rsidRPr="00000000" w14:paraId="0000008F">
            <w:pPr>
              <w:numPr>
                <w:ilvl w:val="0"/>
                <w:numId w:val="5"/>
              </w:numPr>
              <w:ind w:left="720" w:hanging="360"/>
              <w:rPr>
                <w:i w:val="1"/>
                <w:color w:val="0000ff"/>
              </w:rPr>
            </w:pPr>
            <w:r w:rsidDel="00000000" w:rsidR="00000000" w:rsidRPr="00000000">
              <w:rPr>
                <w:i w:val="1"/>
                <w:color w:val="0000ff"/>
                <w:rtl w:val="0"/>
              </w:rPr>
              <w:t xml:space="preserve">Description of the </w:t>
            </w:r>
            <w:r w:rsidDel="00000000" w:rsidR="00000000" w:rsidRPr="00000000">
              <w:rPr>
                <w:i w:val="1"/>
                <w:color w:val="0000ff"/>
                <w:rtl w:val="0"/>
              </w:rPr>
              <w:t xml:space="preserve"> offeror’s approach to the assessment of assessing the effectiveness and viability of energy transition business and strategies, considering various subcategories and emerging technologies</w:t>
            </w:r>
            <w:r w:rsidDel="00000000" w:rsidR="00000000" w:rsidRPr="00000000">
              <w:rPr>
                <w:i w:val="1"/>
                <w:color w:val="0000ff"/>
                <w:rtl w:val="0"/>
              </w:rPr>
              <w:t xml:space="preserve"> (12)</w:t>
            </w:r>
          </w:p>
          <w:p w:rsidR="00000000" w:rsidDel="00000000" w:rsidP="00000000" w:rsidRDefault="00000000" w:rsidRPr="00000000" w14:paraId="00000090">
            <w:pPr>
              <w:numPr>
                <w:ilvl w:val="0"/>
                <w:numId w:val="5"/>
              </w:numPr>
              <w:ind w:left="720" w:hanging="360"/>
              <w:rPr>
                <w:i w:val="1"/>
                <w:color w:val="0000ff"/>
              </w:rPr>
            </w:pPr>
            <w:r w:rsidDel="00000000" w:rsidR="00000000" w:rsidRPr="00000000">
              <w:rPr>
                <w:i w:val="1"/>
                <w:color w:val="0000ff"/>
                <w:rtl w:val="0"/>
              </w:rPr>
              <w:t xml:space="preserve">Description of the </w:t>
            </w:r>
            <w:r w:rsidDel="00000000" w:rsidR="00000000" w:rsidRPr="00000000">
              <w:rPr>
                <w:i w:val="1"/>
                <w:color w:val="0000ff"/>
                <w:rtl w:val="0"/>
              </w:rPr>
              <w:t xml:space="preserve">offeror’s approach to the development of policy and technical recommendations specifying the actions and interventions required to facilitate and expedite the energy transition across multiple subcategories, aligning with sustainable business models and practices.</w:t>
            </w:r>
            <w:r w:rsidDel="00000000" w:rsidR="00000000" w:rsidRPr="00000000">
              <w:rPr>
                <w:i w:val="1"/>
                <w:color w:val="0000ff"/>
                <w:rtl w:val="0"/>
              </w:rPr>
              <w:t xml:space="preserve"> (8)</w:t>
            </w:r>
          </w:p>
          <w:p w:rsidR="00000000" w:rsidDel="00000000" w:rsidP="00000000" w:rsidRDefault="00000000" w:rsidRPr="00000000" w14:paraId="00000091">
            <w:pPr>
              <w:ind w:left="720" w:firstLine="0"/>
              <w:rPr>
                <w:i w:val="1"/>
                <w:color w:val="0000ff"/>
              </w:rPr>
            </w:pPr>
            <w:r w:rsidDel="00000000" w:rsidR="00000000" w:rsidRPr="00000000">
              <w:rPr>
                <w:rtl w:val="0"/>
              </w:rPr>
            </w:r>
          </w:p>
          <w:p w:rsidR="00000000" w:rsidDel="00000000" w:rsidP="00000000" w:rsidRDefault="00000000" w:rsidRPr="00000000" w14:paraId="00000092">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C">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D">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7">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1">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rPr>
                <w:b w:val="1"/>
              </w:rPr>
            </w:pPr>
            <w:r w:rsidDel="00000000" w:rsidR="00000000" w:rsidRPr="00000000">
              <w:rPr>
                <w:rtl w:val="0"/>
              </w:rPr>
            </w:r>
          </w:p>
          <w:p w:rsidR="00000000" w:rsidDel="00000000" w:rsidP="00000000" w:rsidRDefault="00000000" w:rsidRPr="00000000" w14:paraId="000000B5">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9">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C">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D">
                  <w:pPr>
                    <w:rPr>
                      <w:rFonts w:ascii="Arial" w:cs="Arial" w:eastAsia="Arial" w:hAnsi="Arial"/>
                    </w:rPr>
                  </w:pPr>
                  <w:r w:rsidDel="00000000" w:rsidR="00000000" w:rsidRPr="00000000">
                    <w:rPr>
                      <w:rFonts w:ascii="Arial" w:cs="Arial" w:eastAsia="Arial" w:hAnsi="Arial"/>
                      <w:rtl w:val="0"/>
                    </w:rPr>
                    <w:t xml:space="preserve">Project Lead</w:t>
                  </w:r>
                </w:p>
              </w:tc>
              <w:tc>
                <w:tcPr>
                  <w:vAlign w:val="center"/>
                </w:tcPr>
                <w:p w:rsidR="00000000" w:rsidDel="00000000" w:rsidP="00000000" w:rsidRDefault="00000000" w:rsidRPr="00000000" w14:paraId="000000BE">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Energy Transition Expert</w:t>
                  </w:r>
                </w:p>
              </w:tc>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Change Management and Business Development Specialist</w:t>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5">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C6">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Policy and Regulation Analyst</w:t>
                  </w:r>
                </w:p>
              </w:tc>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8">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C9">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Training and Development Specialist</w:t>
                  </w:r>
                </w:p>
              </w:tc>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B">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CC">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Communication and Outreach Manager </w:t>
                  </w:r>
                </w:p>
              </w:tc>
              <w:tc>
                <w:tcPr>
                  <w:vAlign w:val="center"/>
                </w:tcPr>
                <w:p w:rsidR="00000000" w:rsidDel="00000000" w:rsidP="00000000" w:rsidRDefault="00000000" w:rsidRPr="00000000" w14:paraId="000000CD">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E">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CF">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Gender Equality and Social Inclusion (GESI) Specialist </w:t>
                  </w:r>
                </w:p>
              </w:tc>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1">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D2">
                  <w:pPr>
                    <w:spacing w:line="288" w:lineRule="auto"/>
                    <w:ind w:left="0" w:firstLine="0"/>
                    <w:rPr>
                      <w:rFonts w:ascii="Arial" w:cs="Arial" w:eastAsia="Arial" w:hAnsi="Arial"/>
                    </w:rPr>
                  </w:pPr>
                  <w:r w:rsidDel="00000000" w:rsidR="00000000" w:rsidRPr="00000000">
                    <w:rPr>
                      <w:rFonts w:ascii="Arial" w:cs="Arial" w:eastAsia="Arial" w:hAnsi="Arial"/>
                      <w:rtl w:val="0"/>
                    </w:rPr>
                    <w:t xml:space="preserve">Program Counselor</w:t>
                  </w:r>
                </w:p>
              </w:tc>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4">
            <w:pPr>
              <w:rPr>
                <w:i w:val="1"/>
                <w:color w:val="0000ff"/>
              </w:rPr>
            </w:pPr>
            <w:r w:rsidDel="00000000" w:rsidR="00000000" w:rsidRPr="00000000">
              <w:rPr>
                <w:rtl w:val="0"/>
              </w:rPr>
            </w:r>
          </w:p>
          <w:p w:rsidR="00000000" w:rsidDel="00000000" w:rsidP="00000000" w:rsidRDefault="00000000" w:rsidRPr="00000000" w14:paraId="000000D5">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i w:val="1"/>
                <w:color w:val="0000ff"/>
              </w:rPr>
            </w:pPr>
            <w:r w:rsidDel="00000000" w:rsidR="00000000" w:rsidRPr="00000000">
              <w:rPr>
                <w:i w:val="1"/>
                <w:color w:val="0000ff"/>
                <w:rtl w:val="0"/>
              </w:rPr>
              <w:t xml:space="preserve">1. Project lead (4)</w:t>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2. Energy Transition Expert (5)</w:t>
            </w:r>
          </w:p>
          <w:p w:rsidR="00000000" w:rsidDel="00000000" w:rsidP="00000000" w:rsidRDefault="00000000" w:rsidRPr="00000000" w14:paraId="000000D9">
            <w:pPr>
              <w:rPr>
                <w:i w:val="1"/>
                <w:color w:val="0000ff"/>
              </w:rPr>
            </w:pPr>
            <w:r w:rsidDel="00000000" w:rsidR="00000000" w:rsidRPr="00000000">
              <w:rPr>
                <w:i w:val="1"/>
                <w:color w:val="0000ff"/>
                <w:rtl w:val="0"/>
              </w:rPr>
              <w:t xml:space="preserve">3. Change Management and Business Development (4)</w:t>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4. Policy and Regulation Analyst (1)</w:t>
            </w:r>
          </w:p>
          <w:p w:rsidR="00000000" w:rsidDel="00000000" w:rsidP="00000000" w:rsidRDefault="00000000" w:rsidRPr="00000000" w14:paraId="000000DB">
            <w:pPr>
              <w:rPr>
                <w:i w:val="1"/>
                <w:color w:val="0000ff"/>
              </w:rPr>
            </w:pPr>
            <w:r w:rsidDel="00000000" w:rsidR="00000000" w:rsidRPr="00000000">
              <w:rPr>
                <w:i w:val="1"/>
                <w:color w:val="0000ff"/>
                <w:rtl w:val="0"/>
              </w:rPr>
              <w:t xml:space="preserve">5. Training and Development Specialist (2)</w:t>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6. Communication and Outreach Manager (1)</w:t>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7. Gender Equality and Social Inclusion (GESI) Specialist (1)</w:t>
            </w:r>
          </w:p>
          <w:p w:rsidR="00000000" w:rsidDel="00000000" w:rsidP="00000000" w:rsidRDefault="00000000" w:rsidRPr="00000000" w14:paraId="000000DE">
            <w:pPr>
              <w:rPr>
                <w:i w:val="1"/>
                <w:color w:val="0000ff"/>
              </w:rPr>
            </w:pPr>
            <w:r w:rsidDel="00000000" w:rsidR="00000000" w:rsidRPr="00000000">
              <w:rPr>
                <w:i w:val="1"/>
                <w:color w:val="0000ff"/>
                <w:rtl w:val="0"/>
              </w:rPr>
              <w:t xml:space="preserve">8. Program Counselor (2)</w:t>
            </w:r>
          </w:p>
          <w:p w:rsidR="00000000" w:rsidDel="00000000" w:rsidP="00000000" w:rsidRDefault="00000000" w:rsidRPr="00000000" w14:paraId="000000DF">
            <w:pPr>
              <w:rPr>
                <w:i w:val="1"/>
                <w:color w:val="0000ff"/>
              </w:rPr>
            </w:pPr>
            <w:r w:rsidDel="00000000" w:rsidR="00000000" w:rsidRPr="00000000">
              <w:rPr>
                <w:rtl w:val="0"/>
              </w:rPr>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widowControl w:val="0"/>
              <w:spacing w:line="276" w:lineRule="auto"/>
              <w:rPr>
                <w:b w:val="1"/>
              </w:rPr>
            </w:pPr>
            <w:r w:rsidDel="00000000" w:rsidR="00000000" w:rsidRPr="00000000">
              <w:rPr>
                <w:rFonts w:ascii="Open Sans" w:cs="Open Sans" w:eastAsia="Open Sans" w:hAnsi="Open Sans"/>
                <w:rtl w:val="0"/>
              </w:rPr>
              <w:t xml:space="preserve">The bidder shall provide a clear statement, approach and methodology that demonstrates its commitment to support and mainstream gender equality and social inclusion through its operations and project implementation activities (see para 10).</w:t>
            </w:r>
            <w:r w:rsidDel="00000000" w:rsidR="00000000" w:rsidRPr="00000000">
              <w:rPr>
                <w:rtl w:val="0"/>
              </w:rPr>
            </w:r>
          </w:p>
          <w:p w:rsidR="00000000" w:rsidDel="00000000" w:rsidP="00000000" w:rsidRDefault="00000000" w:rsidRPr="00000000" w14:paraId="000000E6">
            <w:pPr>
              <w:rPr>
                <w:color w:val="0000ff"/>
              </w:rPr>
            </w:pPr>
            <w:r w:rsidDel="00000000" w:rsidR="00000000" w:rsidRPr="00000000">
              <w:rPr>
                <w:rtl w:val="0"/>
              </w:rPr>
            </w:r>
          </w:p>
          <w:p w:rsidR="00000000" w:rsidDel="00000000" w:rsidP="00000000" w:rsidRDefault="00000000" w:rsidRPr="00000000" w14:paraId="000000E7">
            <w:pPr>
              <w:rPr/>
            </w:pPr>
            <w:r w:rsidDel="00000000" w:rsidR="00000000" w:rsidRPr="00000000">
              <w:rPr>
                <w:i w:val="1"/>
                <w:color w:val="0000ff"/>
                <w:rtl w:val="0"/>
              </w:rPr>
              <w:t xml:space="preserve">Total Point 2</w:t>
            </w:r>
            <w:r w:rsidDel="00000000" w:rsidR="00000000" w:rsidRPr="00000000">
              <w:rPr>
                <w:rtl w:val="0"/>
              </w:rPr>
            </w:r>
          </w:p>
          <w:p w:rsidR="00000000" w:rsidDel="00000000" w:rsidP="00000000" w:rsidRDefault="00000000" w:rsidRPr="00000000" w14:paraId="000000E8">
            <w:pPr>
              <w:widowControl w:val="0"/>
              <w:rPr/>
            </w:pPr>
            <w:r w:rsidDel="00000000" w:rsidR="00000000" w:rsidRPr="00000000">
              <w:rPr>
                <w:rtl w:val="0"/>
              </w:rPr>
            </w:r>
          </w:p>
        </w:tc>
      </w:tr>
    </w:tbl>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highlight w:val="lightGray"/>
        </w:rPr>
      </w:pP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C">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D">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E">
      <w:pPr>
        <w:tabs>
          <w:tab w:val="left" w:leader="none" w:pos="720"/>
        </w:tabs>
        <w:rPr>
          <w:color w:val="000000"/>
        </w:rPr>
      </w:pPr>
      <w:r w:rsidDel="00000000" w:rsidR="00000000" w:rsidRPr="00000000">
        <w:rPr>
          <w:rtl w:val="0"/>
        </w:rPr>
      </w:r>
    </w:p>
    <w:p w:rsidR="00000000" w:rsidDel="00000000" w:rsidP="00000000" w:rsidRDefault="00000000" w:rsidRPr="00000000" w14:paraId="000000EF">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0">
      <w:pPr>
        <w:rPr>
          <w:color w:val="000000"/>
        </w:rPr>
      </w:pPr>
      <w:r w:rsidDel="00000000" w:rsidR="00000000" w:rsidRPr="00000000">
        <w:rPr>
          <w:rtl w:val="0"/>
        </w:rPr>
      </w:r>
    </w:p>
    <w:p w:rsidR="00000000" w:rsidDel="00000000" w:rsidP="00000000" w:rsidRDefault="00000000" w:rsidRPr="00000000" w14:paraId="000000F1">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2">
      <w:pPr>
        <w:rPr>
          <w:color w:val="000000"/>
        </w:rPr>
      </w:pPr>
      <w:r w:rsidDel="00000000" w:rsidR="00000000" w:rsidRPr="00000000">
        <w:rPr>
          <w:rtl w:val="0"/>
        </w:rPr>
      </w:r>
    </w:p>
    <w:p w:rsidR="00000000" w:rsidDel="00000000" w:rsidP="00000000" w:rsidRDefault="00000000" w:rsidRPr="00000000" w14:paraId="000000F3">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4">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D">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E">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4">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5">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C">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2">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r>
      <w:tr>
        <w:trPr>
          <w:cantSplit w:val="0"/>
          <w:tblHeader w:val="0"/>
        </w:trPr>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r>
      <w:tr>
        <w:trPr>
          <w:cantSplit w:val="0"/>
          <w:tblHeader w:val="0"/>
        </w:trPr>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r>
      <w:tr>
        <w:trPr>
          <w:cantSplit w:val="0"/>
          <w:tblHeader w:val="0"/>
        </w:trPr>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bl>
    <w:p w:rsidR="00000000" w:rsidDel="00000000" w:rsidP="00000000" w:rsidRDefault="00000000" w:rsidRPr="00000000" w14:paraId="0000015C">
      <w:pPr>
        <w:ind w:left="1598" w:hanging="1598"/>
        <w:jc w:val="both"/>
        <w:rPr/>
      </w:pP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E">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0">
      <w:pPr>
        <w:tabs>
          <w:tab w:val="left" w:leader="none" w:pos="720"/>
        </w:tabs>
        <w:rPr>
          <w:color w:val="000000"/>
        </w:rPr>
      </w:pPr>
      <w:r w:rsidDel="00000000" w:rsidR="00000000" w:rsidRPr="00000000">
        <w:rPr>
          <w:rtl w:val="0"/>
        </w:rPr>
      </w:r>
    </w:p>
    <w:p w:rsidR="00000000" w:rsidDel="00000000" w:rsidP="00000000" w:rsidRDefault="00000000" w:rsidRPr="00000000" w14:paraId="0000016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2">
      <w:pPr>
        <w:rPr>
          <w:color w:val="000000"/>
        </w:rPr>
      </w:pPr>
      <w:r w:rsidDel="00000000" w:rsidR="00000000" w:rsidRPr="00000000">
        <w:rPr>
          <w:rtl w:val="0"/>
        </w:rPr>
      </w:r>
    </w:p>
    <w:p w:rsidR="00000000" w:rsidDel="00000000" w:rsidP="00000000" w:rsidRDefault="00000000" w:rsidRPr="00000000" w14:paraId="0000016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64">
      <w:pPr>
        <w:rPr>
          <w:color w:val="000000"/>
        </w:rPr>
      </w:pPr>
      <w:r w:rsidDel="00000000" w:rsidR="00000000" w:rsidRPr="00000000">
        <w:rPr>
          <w:rtl w:val="0"/>
        </w:rPr>
      </w:r>
    </w:p>
    <w:p w:rsidR="00000000" w:rsidDel="00000000" w:rsidP="00000000" w:rsidRDefault="00000000" w:rsidRPr="00000000" w14:paraId="0000016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6">
      <w:pPr>
        <w:rPr>
          <w:sz w:val="22"/>
          <w:szCs w:val="22"/>
        </w:rPr>
      </w:pPr>
      <w:r w:rsidDel="00000000" w:rsidR="00000000" w:rsidRPr="00000000">
        <w:rPr>
          <w:rtl w:val="0"/>
        </w:rPr>
      </w:r>
    </w:p>
    <w:p w:rsidR="00000000" w:rsidDel="00000000" w:rsidP="00000000" w:rsidRDefault="00000000" w:rsidRPr="00000000" w14:paraId="00000167">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kl+MsrZgepoYAbSygJ/2Wvti5A==">CgMxLjAyDmguYnEzbW1nMmlsZ3VkMg5oLndqMzBjdnN6OTdiMTIOaC5yeWp3M3N2cWs4N2EyDmguZGo1N3p4azJoajBtOAByITE1bkx4NHRkYk9hc1A5YTBEZFNMZGpWbHdOSzdGTmJiUQ==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y fmtid="{D5CDD505-2E9C-101B-9397-08002B2CF9AE}" pid="40" name="Countries">
    <vt:lpwstr>Countries</vt:lpwstr>
  </property>
  <property fmtid="{D5CDD505-2E9C-101B-9397-08002B2CF9AE}" pid="41" name="d965deffccfe49e69c9da10df9c2d4f9">
    <vt:lpwstr>d965deffccfe49e69c9da10df9c2d4f9</vt:lpwstr>
  </property>
  <property fmtid="{D5CDD505-2E9C-101B-9397-08002B2CF9AE}" pid="42" name="Type_x0020_of_x0020_agreement">
    <vt:lpwstr>Type_x0020_of_x0020_agreement</vt:lpwstr>
  </property>
  <property fmtid="{D5CDD505-2E9C-101B-9397-08002B2CF9AE}" pid="43" name="ContentTypeId">
    <vt:lpwstr>0x010100CABE8D4F93B3C843A5B2AADAB67AC0AA0B005B719BE3C36AAD45B8E31D19391AF01B</vt:lpwstr>
  </property>
  <property fmtid="{D5CDD505-2E9C-101B-9397-08002B2CF9AE}" pid="44" name="Projects">
    <vt:lpwstr>Projects</vt:lpwstr>
  </property>
  <property fmtid="{D5CDD505-2E9C-101B-9397-08002B2CF9AE}" pid="45" name="h136076126ec44229919509fd88b3de6">
    <vt:lpwstr>h136076126ec44229919509fd88b3de6</vt:lpwstr>
  </property>
  <property fmtid="{D5CDD505-2E9C-101B-9397-08002B2CF9AE}" pid="46" name="g1cd34e936aa41bc9443e4d148a862c1">
    <vt:lpwstr>g1cd34e936aa41bc9443e4d148a862c1</vt:lpwstr>
  </property>
  <property fmtid="{D5CDD505-2E9C-101B-9397-08002B2CF9AE}" pid="47" name="Type of agreement">
    <vt:lpwstr>Type of agreement</vt:lpwstr>
  </property>
  <property fmtid="{D5CDD505-2E9C-101B-9397-08002B2CF9AE}" pid="48" name="Type of mission document">
    <vt:lpwstr>Type of mission document</vt:lpwstr>
  </property>
  <property fmtid="{D5CDD505-2E9C-101B-9397-08002B2CF9AE}" pid="49" name="Language/s">
    <vt:lpwstr>;#English;#</vt:lpwstr>
  </property>
  <property fmtid="{D5CDD505-2E9C-101B-9397-08002B2CF9AE}" pid="50" name="h8e7aaa3f16f4245b92bce68bb3d1e55">
    <vt:lpwstr>h8e7aaa3f16f4245b92bce68bb3d1e55</vt:lpwstr>
  </property>
  <property fmtid="{D5CDD505-2E9C-101B-9397-08002B2CF9AE}" pid="51" name="Type of plan or strategy">
    <vt:lpwstr>Type of plan or strategy</vt:lpwstr>
  </property>
  <property fmtid="{D5CDD505-2E9C-101B-9397-08002B2CF9AE}" pid="52"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53" name="Type_x0020_of_x0020_admin_x0020_document">
    <vt:lpwstr>Type_x0020_of_x0020_admin_x0020_document</vt:lpwstr>
  </property>
  <property fmtid="{D5CDD505-2E9C-101B-9397-08002B2CF9AE}" pid="54" name="Type_x0020_of_x0020_comms_x0020_document">
    <vt:lpwstr>94;#Factsheet|0e0030f0-7c6b-4cc7-94b7-c76184cd823f</vt:lpwstr>
  </property>
  <property fmtid="{D5CDD505-2E9C-101B-9397-08002B2CF9AE}" pid="55" name="Tags">
    <vt:lpwstr>Tags</vt:lpwstr>
  </property>
  <property fmtid="{D5CDD505-2E9C-101B-9397-08002B2CF9AE}" pid="56" name="TaxKeyword">
    <vt:lpwstr>TaxKeyword</vt:lpwstr>
  </property>
  <property fmtid="{D5CDD505-2E9C-101B-9397-08002B2CF9AE}" pid="57" name="OrganisationalUnits">
    <vt:lpwstr>OrganisationalUnits</vt:lpwstr>
  </property>
  <property fmtid="{D5CDD505-2E9C-101B-9397-08002B2CF9AE}" pid="58" name="Order">
    <vt:lpwstr>2900.0</vt:lpwstr>
  </property>
  <property fmtid="{D5CDD505-2E9C-101B-9397-08002B2CF9AE}" pid="59" name="pedea19abc6845ea96270dfcb5610e80">
    <vt:lpwstr>pedea19abc6845ea96270dfcb5610e80</vt:lpwstr>
  </property>
  <property fmtid="{D5CDD505-2E9C-101B-9397-08002B2CF9AE}" pid="60" name="TaxCatchAll">
    <vt:lpwstr>94;#Factsheet|0e0030f0-7c6b-4cc7-94b7-c76184cd823f</vt:lpwstr>
  </property>
  <property fmtid="{D5CDD505-2E9C-101B-9397-08002B2CF9AE}" pid="61" name="dd48bc4baf194ba785dbddff202dd144">
    <vt:lpwstr>dd48bc4baf194ba785dbddff202dd144</vt:lpwstr>
  </property>
  <property fmtid="{D5CDD505-2E9C-101B-9397-08002B2CF9AE}" pid="62" name="TaxKeywordTaxHTField">
    <vt:lpwstr>TaxKeywordTaxHTField</vt:lpwstr>
  </property>
  <property fmtid="{D5CDD505-2E9C-101B-9397-08002B2CF9AE}" pid="63"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64" name="bb7c361188a940138612c57da090ccbf">
    <vt:lpwstr>bb7c361188a940138612c57da090ccbf</vt:lpwstr>
  </property>
  <property fmtid="{D5CDD505-2E9C-101B-9397-08002B2CF9AE}" pid="65" name="Type_x0020_of_x0020_plan_x0020_or_x0020_strategy">
    <vt:lpwstr>Type_x0020_of_x0020_plan_x0020_or_x0020_strategy</vt:lpwstr>
  </property>
  <property fmtid="{D5CDD505-2E9C-101B-9397-08002B2CF9AE}" pid="66" name="_dlc_DocIdItemGuid">
    <vt:lpwstr>4ab1b84a-c299-47ee-b298-dca95037684a</vt:lpwstr>
  </property>
  <property fmtid="{D5CDD505-2E9C-101B-9397-08002B2CF9AE}" pid="67" name="Type of meeting document">
    <vt:lpwstr>Type of meeting document</vt:lpwstr>
  </property>
  <property fmtid="{D5CDD505-2E9C-101B-9397-08002B2CF9AE}" pid="68" name="Type of admin document">
    <vt:lpwstr>Type of admin document</vt:lpwstr>
  </property>
  <property fmtid="{D5CDD505-2E9C-101B-9397-08002B2CF9AE}" pid="69" name="Clients">
    <vt:lpwstr>Clients</vt:lpwstr>
  </property>
  <property fmtid="{D5CDD505-2E9C-101B-9397-08002B2CF9AE}" pid="70" name="k7b289fa41d4402492fd7745e7d2b323">
    <vt:lpwstr>Factsheet|0e0030f0-7c6b-4cc7-94b7-c76184cd823f</vt:lpwstr>
  </property>
  <property fmtid="{D5CDD505-2E9C-101B-9397-08002B2CF9AE}" pid="71" name="Type_x0020_of_x0020_meeting_x0020_document">
    <vt:lpwstr>Type_x0020_of_x0020_meeting_x0020_document</vt:lpwstr>
  </property>
  <property fmtid="{D5CDD505-2E9C-101B-9397-08002B2CF9AE}" pid="72" name="i4a0c0ffdeba458aaa2390bd69b63c92">
    <vt:lpwstr>i4a0c0ffdeba458aaa2390bd69b63c92</vt:lpwstr>
  </property>
  <property fmtid="{D5CDD505-2E9C-101B-9397-08002B2CF9AE}" pid="73" name="ha90e443468f4145aba582d53873a577">
    <vt:lpwstr>ha90e443468f4145aba582d53873a577</vt:lpwstr>
  </property>
  <property fmtid="{D5CDD505-2E9C-101B-9397-08002B2CF9AE}" pid="74" name="Type of comms document">
    <vt:lpwstr>94;#Factsheet|0e0030f0-7c6b-4cc7-94b7-c76184cd823f</vt:lpwstr>
  </property>
  <property fmtid="{D5CDD505-2E9C-101B-9397-08002B2CF9AE}" pid="75" name="Confidentiality">
    <vt:lpwstr>Internal - UNOPS only</vt:lpwstr>
  </property>
  <property fmtid="{D5CDD505-2E9C-101B-9397-08002B2CF9AE}" pid="76" name="Type_x0020_of_x0020_mission_x0020_document">
    <vt:lpwstr>Type_x0020_of_x0020_mission_x0020_document</vt:lpwstr>
  </property>
  <property fmtid="{D5CDD505-2E9C-101B-9397-08002B2CF9AE}" pid="77" name="f2c2bed3e89641f1938cb68b56208236">
    <vt:lpwstr>f2c2bed3e89641f1938cb68b56208236</vt:lpwstr>
  </property>
</Properties>
</file>