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rFonts w:ascii="Roboto" w:cs="Roboto" w:eastAsia="Roboto" w:hAnsi="Roboto"/>
          <w:b w:val="1"/>
          <w:color w:val="2c3e50"/>
          <w:sz w:val="23"/>
          <w:szCs w:val="23"/>
          <w:shd w:fill="f9f9f9" w:val="clear"/>
          <w:rtl w:val="0"/>
        </w:rPr>
        <w:t xml:space="preserve">RFP for Stakeholder Analysis and Financial Modelling Service in Southeast Asia and Sub-Saharan Africa.</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5pmhcwcknki" w:id="2"/>
      <w:bookmarkEnd w:id="2"/>
      <w:r w:rsidDel="00000000" w:rsidR="00000000" w:rsidRPr="00000000">
        <w:rPr>
          <w:b w:val="1"/>
          <w:rtl w:val="0"/>
        </w:rPr>
        <w:t xml:space="preserve">eSourcing reference:RFP/2024/50298</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RFP/2024/50298</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highlight w:val="yellow"/>
        </w:rPr>
      </w:pPr>
      <w:r w:rsidDel="00000000" w:rsidR="00000000" w:rsidRPr="00000000">
        <w:rPr>
          <w:b w:val="1"/>
          <w:rtl w:val="0"/>
        </w:rPr>
        <w:t xml:space="preserve">Table 1: Cost breakdown per deliverable/output </w:t>
      </w:r>
      <w:r w:rsidDel="00000000" w:rsidR="00000000" w:rsidRPr="00000000">
        <w:rPr>
          <w:rtl w:val="0"/>
        </w:rPr>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6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5190"/>
        <w:gridCol w:w="1005"/>
        <w:gridCol w:w="2880"/>
        <w:tblGridChange w:id="0">
          <w:tblGrid>
            <w:gridCol w:w="570"/>
            <w:gridCol w:w="5190"/>
            <w:gridCol w:w="1005"/>
            <w:gridCol w:w="2880"/>
          </w:tblGrid>
        </w:tblGridChange>
      </w:tblGrid>
      <w:tr>
        <w:trPr>
          <w:cantSplit w:val="0"/>
          <w:trHeight w:val="936.5625000000022" w:hRule="atLeast"/>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Payment Percentage %</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76" w:lineRule="auto"/>
              <w:rPr/>
            </w:pPr>
            <w:r w:rsidDel="00000000" w:rsidR="00000000" w:rsidRPr="00000000">
              <w:rPr>
                <w:rtl w:val="0"/>
              </w:rPr>
              <w:t xml:space="preserve">Submission and validation of the inception report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76" w:lineRule="auto"/>
              <w:rPr/>
            </w:pPr>
            <w:r w:rsidDel="00000000" w:rsidR="00000000" w:rsidRPr="00000000">
              <w:rPr>
                <w:rtl w:val="0"/>
              </w:rPr>
              <w:t xml:space="preserve">20 % </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5">
            <w:pPr>
              <w:jc w:val="center"/>
              <w:rPr>
                <w:b w:val="1"/>
              </w:rPr>
            </w:pPr>
            <w:r w:rsidDel="00000000" w:rsidR="00000000" w:rsidRPr="00000000">
              <w:rPr>
                <w:b w:val="1"/>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76" w:lineRule="auto"/>
              <w:ind w:left="0" w:firstLine="0"/>
              <w:rPr/>
            </w:pPr>
            <w:r w:rsidDel="00000000" w:rsidR="00000000" w:rsidRPr="00000000">
              <w:rPr>
                <w:rtl w:val="0"/>
              </w:rPr>
              <w:t xml:space="preserve">Submission and validation of the report on initial findings - Stakeholder engagement’s summary, outcomes and findings.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76" w:lineRule="auto"/>
              <w:rPr/>
            </w:pPr>
            <w:r w:rsidDel="00000000" w:rsidR="00000000" w:rsidRPr="00000000">
              <w:rPr>
                <w:rtl w:val="0"/>
              </w:rPr>
              <w:t xml:space="preserve">30 % </w:t>
            </w:r>
          </w:p>
        </w:tc>
        <w:tc>
          <w:tcPr>
            <w:vAlign w:val="center"/>
          </w:tcPr>
          <w:p w:rsidR="00000000" w:rsidDel="00000000" w:rsidP="00000000" w:rsidRDefault="00000000" w:rsidRPr="00000000" w14:paraId="00000028">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9">
            <w:pPr>
              <w:jc w:val="center"/>
              <w:rPr>
                <w:b w:val="1"/>
              </w:rPr>
            </w:pPr>
            <w:r w:rsidDel="00000000" w:rsidR="00000000" w:rsidRPr="00000000">
              <w:rPr>
                <w:b w:val="1"/>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A">
            <w:pPr>
              <w:spacing w:line="276" w:lineRule="auto"/>
              <w:rPr/>
            </w:pPr>
            <w:r w:rsidDel="00000000" w:rsidR="00000000" w:rsidRPr="00000000">
              <w:rPr>
                <w:rtl w:val="0"/>
              </w:rPr>
              <w:t xml:space="preserve">Submission and validation of the draft report - Renewable energy frontier market assessment, Prototypes of potential blended finance mechanism and Evidence-based recommendations for the roll-out of an effective blended finance mechanism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76" w:lineRule="auto"/>
              <w:rPr/>
            </w:pPr>
            <w:r w:rsidDel="00000000" w:rsidR="00000000" w:rsidRPr="00000000">
              <w:rPr>
                <w:rtl w:val="0"/>
              </w:rPr>
              <w:t xml:space="preserve">25 % </w:t>
            </w:r>
          </w:p>
        </w:tc>
        <w:tc>
          <w:tcPr>
            <w:vAlign w:val="center"/>
          </w:tcPr>
          <w:p w:rsidR="00000000" w:rsidDel="00000000" w:rsidP="00000000" w:rsidRDefault="00000000" w:rsidRPr="00000000" w14:paraId="0000002C">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D">
            <w:pPr>
              <w:jc w:val="center"/>
              <w:rPr>
                <w:b w:val="1"/>
              </w:rPr>
            </w:pPr>
            <w:r w:rsidDel="00000000" w:rsidR="00000000" w:rsidRPr="00000000">
              <w:rPr>
                <w:b w:val="1"/>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2E">
            <w:pPr>
              <w:spacing w:line="276" w:lineRule="auto"/>
              <w:rPr/>
            </w:pPr>
            <w:r w:rsidDel="00000000" w:rsidR="00000000" w:rsidRPr="00000000">
              <w:rPr>
                <w:rtl w:val="0"/>
              </w:rPr>
              <w:t xml:space="preserve">Submission and validation of the final report - Soft copy of the final report, including annexes, in Word and PDF formats.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76" w:lineRule="auto"/>
              <w:rPr/>
            </w:pPr>
            <w:r w:rsidDel="00000000" w:rsidR="00000000" w:rsidRPr="00000000">
              <w:rPr>
                <w:rtl w:val="0"/>
              </w:rPr>
              <w:t xml:space="preserve">25% </w:t>
            </w:r>
          </w:p>
        </w:tc>
        <w:tc>
          <w:tcPr>
            <w:vAlign w:val="center"/>
          </w:tcPr>
          <w:p w:rsidR="00000000" w:rsidDel="00000000" w:rsidP="00000000" w:rsidRDefault="00000000" w:rsidRPr="00000000" w14:paraId="00000030">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405" w:hRule="atLeast"/>
          <w:tblHeader w:val="0"/>
        </w:trPr>
        <w:tc>
          <w:tcPr>
            <w:gridSpan w:val="3"/>
            <w:vAlign w:val="center"/>
          </w:tcPr>
          <w:p w:rsidR="00000000" w:rsidDel="00000000" w:rsidP="00000000" w:rsidRDefault="00000000" w:rsidRPr="00000000" w14:paraId="00000031">
            <w:pPr>
              <w:jc w:val="right"/>
              <w:rPr/>
            </w:pPr>
            <w:r w:rsidDel="00000000" w:rsidR="00000000" w:rsidRPr="00000000">
              <w:rPr>
                <w:rtl w:val="0"/>
              </w:rPr>
              <w:t xml:space="preserve">Total financial proposal for lump sum personnel costs</w:t>
            </w:r>
          </w:p>
        </w:tc>
        <w:tc>
          <w:tcPr>
            <w:vAlign w:val="center"/>
          </w:tcPr>
          <w:p w:rsidR="00000000" w:rsidDel="00000000" w:rsidP="00000000" w:rsidRDefault="00000000" w:rsidRPr="00000000" w14:paraId="00000034">
            <w:pPr>
              <w:jc w:val="center"/>
              <w:rPr>
                <w:b w:val="1"/>
                <w:highlight w:val="cyan"/>
              </w:rPr>
            </w:pPr>
            <w:r w:rsidDel="00000000" w:rsidR="00000000" w:rsidRPr="00000000">
              <w:rPr>
                <w:b w:val="1"/>
                <w:highlight w:val="cyan"/>
                <w:rtl w:val="0"/>
              </w:rPr>
              <w:t xml:space="preserve">[Insert total lump sum price]</w:t>
            </w:r>
          </w:p>
        </w:tc>
      </w:tr>
      <w:tr>
        <w:trPr>
          <w:cantSplit w:val="0"/>
          <w:trHeight w:val="405" w:hRule="atLeast"/>
          <w:tblHeader w:val="0"/>
        </w:trPr>
        <w:tc>
          <w:tcPr>
            <w:gridSpan w:val="3"/>
            <w:vAlign w:val="center"/>
          </w:tcPr>
          <w:p w:rsidR="00000000" w:rsidDel="00000000" w:rsidP="00000000" w:rsidRDefault="00000000" w:rsidRPr="00000000" w14:paraId="00000035">
            <w:pPr>
              <w:jc w:val="right"/>
              <w:rPr/>
            </w:pPr>
            <w:r w:rsidDel="00000000" w:rsidR="00000000" w:rsidRPr="00000000">
              <w:rPr>
                <w:rtl w:val="0"/>
              </w:rPr>
              <w:t xml:space="preserve">Total financial proposal for non-personnel costs</w:t>
            </w:r>
          </w:p>
        </w:tc>
        <w:tc>
          <w:tcPr>
            <w:vAlign w:val="center"/>
          </w:tcPr>
          <w:p w:rsidR="00000000" w:rsidDel="00000000" w:rsidP="00000000" w:rsidRDefault="00000000" w:rsidRPr="00000000" w14:paraId="00000038">
            <w:pPr>
              <w:jc w:val="center"/>
              <w:rPr>
                <w:b w:val="1"/>
                <w:highlight w:val="cyan"/>
              </w:rPr>
            </w:pPr>
            <w:r w:rsidDel="00000000" w:rsidR="00000000" w:rsidRPr="00000000">
              <w:rPr>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39">
            <w:pPr>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3C">
            <w:pPr>
              <w:jc w:val="center"/>
              <w:rPr>
                <w:b w:val="1"/>
              </w:rPr>
            </w:pPr>
            <w:r w:rsidDel="00000000" w:rsidR="00000000" w:rsidRPr="00000000">
              <w:rPr>
                <w:b w:val="1"/>
                <w:highlight w:val="cyan"/>
                <w:rtl w:val="0"/>
              </w:rPr>
              <w:t xml:space="preserve">[Insert total lump sum price + reimbursable cost]</w:t>
            </w:r>
            <w:r w:rsidDel="00000000" w:rsidR="00000000" w:rsidRPr="00000000">
              <w:rPr>
                <w:rtl w:val="0"/>
              </w:rPr>
            </w:r>
          </w:p>
        </w:tc>
      </w:tr>
    </w:tbl>
    <w:p w:rsidR="00000000" w:rsidDel="00000000" w:rsidP="00000000" w:rsidRDefault="00000000" w:rsidRPr="00000000" w14:paraId="0000003D">
      <w:pPr>
        <w:spacing w:before="7" w:line="220" w:lineRule="auto"/>
        <w:rPr>
          <w:highlight w:val="magenta"/>
        </w:rPr>
      </w:pPr>
      <w:r w:rsidDel="00000000" w:rsidR="00000000" w:rsidRPr="00000000">
        <w:rPr>
          <w:rtl w:val="0"/>
        </w:rPr>
      </w:r>
    </w:p>
    <w:p w:rsidR="00000000" w:rsidDel="00000000" w:rsidP="00000000" w:rsidRDefault="00000000" w:rsidRPr="00000000" w14:paraId="0000003E">
      <w:pPr>
        <w:spacing w:before="7" w:line="220" w:lineRule="auto"/>
        <w:rPr>
          <w:highlight w:val="cyan"/>
        </w:rPr>
      </w:pPr>
      <w:r w:rsidDel="00000000" w:rsidR="00000000" w:rsidRPr="00000000">
        <w:rPr>
          <w:highlight w:val="cyan"/>
          <w:rtl w:val="0"/>
        </w:rPr>
        <w:t xml:space="preserve">*Payment to be paid on a monthly/ quarterly basis according to the actual work done. </w:t>
      </w:r>
    </w:p>
    <w:p w:rsidR="00000000" w:rsidDel="00000000" w:rsidP="00000000" w:rsidRDefault="00000000" w:rsidRPr="00000000" w14:paraId="0000003F">
      <w:pPr>
        <w:spacing w:before="7" w:line="220" w:lineRule="auto"/>
        <w:rPr>
          <w:highlight w:val="magenta"/>
        </w:rPr>
      </w:pPr>
      <w:r w:rsidDel="00000000" w:rsidR="00000000" w:rsidRPr="00000000">
        <w:rPr>
          <w:rtl w:val="0"/>
        </w:rPr>
      </w:r>
    </w:p>
    <w:p w:rsidR="00000000" w:rsidDel="00000000" w:rsidP="00000000" w:rsidRDefault="00000000" w:rsidRPr="00000000" w14:paraId="00000040">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1">
      <w:pPr>
        <w:spacing w:before="7" w:line="220" w:lineRule="auto"/>
        <w:rPr>
          <w:highlight w:val="magenta"/>
        </w:rPr>
      </w:pPr>
      <w:r w:rsidDel="00000000" w:rsidR="00000000" w:rsidRPr="00000000">
        <w:rPr>
          <w:rtl w:val="0"/>
        </w:rPr>
      </w:r>
    </w:p>
    <w:p w:rsidR="00000000" w:rsidDel="00000000" w:rsidP="00000000" w:rsidRDefault="00000000" w:rsidRPr="00000000" w14:paraId="00000042">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3">
      <w:pPr>
        <w:jc w:val="both"/>
        <w:rPr/>
      </w:pPr>
      <w:r w:rsidDel="00000000" w:rsidR="00000000" w:rsidRPr="00000000">
        <w:rPr>
          <w:rtl w:val="0"/>
        </w:rPr>
      </w:r>
    </w:p>
    <w:tbl>
      <w:tblPr>
        <w:tblStyle w:val="Table2"/>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4">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5">
            <w:pPr>
              <w:ind w:right="-108"/>
              <w:jc w:val="center"/>
              <w:rPr>
                <w:b w:val="1"/>
              </w:rPr>
            </w:pPr>
            <w:r w:rsidDel="00000000" w:rsidR="00000000" w:rsidRPr="00000000">
              <w:rPr>
                <w:b w:val="1"/>
                <w:rtl w:val="0"/>
              </w:rPr>
              <w:t xml:space="preserve">Qty</w:t>
            </w:r>
          </w:p>
          <w:p w:rsidR="00000000" w:rsidDel="00000000" w:rsidP="00000000" w:rsidRDefault="00000000" w:rsidRPr="00000000" w14:paraId="00000046">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7">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8">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49">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4A">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vAlign w:val="center"/>
          </w:tcPr>
          <w:p w:rsidR="00000000" w:rsidDel="00000000" w:rsidP="00000000" w:rsidRDefault="00000000" w:rsidRPr="00000000" w14:paraId="0000004B">
            <w:pPr>
              <w:rPr>
                <w:b w:val="1"/>
              </w:rPr>
            </w:pPr>
            <w:r w:rsidDel="00000000" w:rsidR="00000000" w:rsidRPr="00000000">
              <w:rPr>
                <w:b w:val="1"/>
                <w:rtl w:val="0"/>
              </w:rPr>
              <w:t xml:space="preserve">Personnel costs</w:t>
            </w:r>
          </w:p>
        </w:tc>
        <w:tc>
          <w:tcPr>
            <w:vAlign w:val="center"/>
          </w:tcPr>
          <w:p w:rsidR="00000000" w:rsidDel="00000000" w:rsidP="00000000" w:rsidRDefault="00000000" w:rsidRPr="00000000" w14:paraId="0000004C">
            <w:pPr>
              <w:rPr/>
            </w:pPr>
            <w:r w:rsidDel="00000000" w:rsidR="00000000" w:rsidRPr="00000000">
              <w:rPr>
                <w:rtl w:val="0"/>
              </w:rPr>
            </w:r>
          </w:p>
        </w:tc>
        <w:tc>
          <w:tcPr>
            <w:vAlign w:val="center"/>
          </w:tcPr>
          <w:p w:rsidR="00000000" w:rsidDel="00000000" w:rsidP="00000000" w:rsidRDefault="00000000" w:rsidRPr="00000000" w14:paraId="0000004D">
            <w:pPr>
              <w:rPr/>
            </w:pPr>
            <w:r w:rsidDel="00000000" w:rsidR="00000000" w:rsidRPr="00000000">
              <w:rPr>
                <w:rtl w:val="0"/>
              </w:rPr>
            </w:r>
          </w:p>
        </w:tc>
        <w:tc>
          <w:tcPr>
            <w:vAlign w:val="center"/>
          </w:tcPr>
          <w:p w:rsidR="00000000" w:rsidDel="00000000" w:rsidP="00000000" w:rsidRDefault="00000000" w:rsidRPr="00000000" w14:paraId="0000004E">
            <w:pPr>
              <w:rPr/>
            </w:pPr>
            <w:r w:rsidDel="00000000" w:rsidR="00000000" w:rsidRPr="00000000">
              <w:rPr>
                <w:rtl w:val="0"/>
              </w:rPr>
            </w:r>
          </w:p>
        </w:tc>
        <w:tc>
          <w:tcPr/>
          <w:p w:rsidR="00000000" w:rsidDel="00000000" w:rsidP="00000000" w:rsidRDefault="00000000" w:rsidRPr="00000000" w14:paraId="0000004F">
            <w:pPr>
              <w:rPr/>
            </w:pPr>
            <w:r w:rsidDel="00000000" w:rsidR="00000000" w:rsidRPr="00000000">
              <w:rPr>
                <w:rtl w:val="0"/>
              </w:rPr>
            </w:r>
          </w:p>
        </w:tc>
      </w:tr>
      <w:tr>
        <w:trPr>
          <w:cantSplit w:val="0"/>
          <w:trHeight w:val="234.14062500000225" w:hRule="atLeast"/>
          <w:tblHeader w:val="0"/>
        </w:trPr>
        <w:tc>
          <w:tcPr>
            <w:vAlign w:val="center"/>
          </w:tcPr>
          <w:p w:rsidR="00000000" w:rsidDel="00000000" w:rsidP="00000000" w:rsidRDefault="00000000" w:rsidRPr="00000000" w14:paraId="00000050">
            <w:pPr>
              <w:rPr/>
            </w:pPr>
            <w:r w:rsidDel="00000000" w:rsidR="00000000" w:rsidRPr="00000000">
              <w:rPr>
                <w:rtl w:val="0"/>
              </w:rPr>
              <w:t xml:space="preserve">1. Project Manager </w:t>
            </w:r>
          </w:p>
        </w:tc>
        <w:tc>
          <w:tcPr>
            <w:vAlign w:val="center"/>
          </w:tcPr>
          <w:p w:rsidR="00000000" w:rsidDel="00000000" w:rsidP="00000000" w:rsidRDefault="00000000" w:rsidRPr="00000000" w14:paraId="00000051">
            <w:pPr>
              <w:rPr/>
            </w:pPr>
            <w:r w:rsidDel="00000000" w:rsidR="00000000" w:rsidRPr="00000000">
              <w:rPr>
                <w:rtl w:val="0"/>
              </w:rPr>
            </w:r>
          </w:p>
        </w:tc>
        <w:tc>
          <w:tcPr>
            <w:vAlign w:val="center"/>
          </w:tcPr>
          <w:p w:rsidR="00000000" w:rsidDel="00000000" w:rsidP="00000000" w:rsidRDefault="00000000" w:rsidRPr="00000000" w14:paraId="00000052">
            <w:pPr>
              <w:jc w:val="center"/>
              <w:rPr/>
            </w:pPr>
            <w:r w:rsidDel="00000000" w:rsidR="00000000" w:rsidRPr="00000000">
              <w:rPr>
                <w:rtl w:val="0"/>
              </w:rPr>
              <w:t xml:space="preserve">1</w:t>
            </w:r>
          </w:p>
        </w:tc>
        <w:tc>
          <w:tcPr>
            <w:vAlign w:val="center"/>
          </w:tcPr>
          <w:p w:rsidR="00000000" w:rsidDel="00000000" w:rsidP="00000000" w:rsidRDefault="00000000" w:rsidRPr="00000000" w14:paraId="00000053">
            <w:pPr>
              <w:rPr/>
            </w:pPr>
            <w:r w:rsidDel="00000000" w:rsidR="00000000" w:rsidRPr="00000000">
              <w:rPr>
                <w:rtl w:val="0"/>
              </w:rPr>
            </w:r>
          </w:p>
        </w:tc>
        <w:tc>
          <w:tcPr/>
          <w:p w:rsidR="00000000" w:rsidDel="00000000" w:rsidP="00000000" w:rsidRDefault="00000000" w:rsidRPr="00000000" w14:paraId="00000054">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5">
            <w:pPr>
              <w:rPr/>
            </w:pPr>
            <w:r w:rsidDel="00000000" w:rsidR="00000000" w:rsidRPr="00000000">
              <w:rPr>
                <w:rtl w:val="0"/>
              </w:rPr>
              <w:t xml:space="preserve">2. Fund Analyst </w:t>
            </w:r>
          </w:p>
        </w:tc>
        <w:tc>
          <w:tcPr>
            <w:vAlign w:val="center"/>
          </w:tcPr>
          <w:p w:rsidR="00000000" w:rsidDel="00000000" w:rsidP="00000000" w:rsidRDefault="00000000" w:rsidRPr="00000000" w14:paraId="00000056">
            <w:pPr>
              <w:rPr/>
            </w:pPr>
            <w:r w:rsidDel="00000000" w:rsidR="00000000" w:rsidRPr="00000000">
              <w:rPr>
                <w:rtl w:val="0"/>
              </w:rPr>
            </w:r>
          </w:p>
        </w:tc>
        <w:tc>
          <w:tcPr>
            <w:vAlign w:val="center"/>
          </w:tcPr>
          <w:p w:rsidR="00000000" w:rsidDel="00000000" w:rsidP="00000000" w:rsidRDefault="00000000" w:rsidRPr="00000000" w14:paraId="00000057">
            <w:pPr>
              <w:jc w:val="center"/>
              <w:rPr/>
            </w:pPr>
            <w:r w:rsidDel="00000000" w:rsidR="00000000" w:rsidRPr="00000000">
              <w:rPr>
                <w:rtl w:val="0"/>
              </w:rPr>
              <w:t xml:space="preserve">1</w:t>
            </w:r>
          </w:p>
        </w:tc>
        <w:tc>
          <w:tcPr>
            <w:vAlign w:val="center"/>
          </w:tcPr>
          <w:p w:rsidR="00000000" w:rsidDel="00000000" w:rsidP="00000000" w:rsidRDefault="00000000" w:rsidRPr="00000000" w14:paraId="00000058">
            <w:pPr>
              <w:rPr/>
            </w:pPr>
            <w:r w:rsidDel="00000000" w:rsidR="00000000" w:rsidRPr="00000000">
              <w:rPr>
                <w:rtl w:val="0"/>
              </w:rPr>
            </w:r>
          </w:p>
        </w:tc>
        <w:tc>
          <w:tcPr/>
          <w:p w:rsidR="00000000" w:rsidDel="00000000" w:rsidP="00000000" w:rsidRDefault="00000000" w:rsidRPr="00000000" w14:paraId="00000059">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5A">
            <w:pPr>
              <w:spacing w:line="288" w:lineRule="auto"/>
              <w:rPr/>
            </w:pPr>
            <w:r w:rsidDel="00000000" w:rsidR="00000000" w:rsidRPr="00000000">
              <w:rPr>
                <w:rtl w:val="0"/>
              </w:rPr>
            </w:r>
          </w:p>
        </w:tc>
        <w:tc>
          <w:tcPr>
            <w:vAlign w:val="center"/>
          </w:tcPr>
          <w:p w:rsidR="00000000" w:rsidDel="00000000" w:rsidP="00000000" w:rsidRDefault="00000000" w:rsidRPr="00000000" w14:paraId="0000005B">
            <w:pPr>
              <w:rPr/>
            </w:pPr>
            <w:r w:rsidDel="00000000" w:rsidR="00000000" w:rsidRPr="00000000">
              <w:rPr>
                <w:rtl w:val="0"/>
              </w:rPr>
            </w:r>
          </w:p>
        </w:tc>
        <w:tc>
          <w:tcPr>
            <w:vAlign w:val="center"/>
          </w:tcPr>
          <w:p w:rsidR="00000000" w:rsidDel="00000000" w:rsidP="00000000" w:rsidRDefault="00000000" w:rsidRPr="00000000" w14:paraId="0000005C">
            <w:pPr>
              <w:jc w:val="center"/>
              <w:rPr/>
            </w:pPr>
            <w:r w:rsidDel="00000000" w:rsidR="00000000" w:rsidRPr="00000000">
              <w:rPr>
                <w:rtl w:val="0"/>
              </w:rPr>
            </w:r>
          </w:p>
        </w:tc>
        <w:tc>
          <w:tcPr>
            <w:vAlign w:val="center"/>
          </w:tcPr>
          <w:p w:rsidR="00000000" w:rsidDel="00000000" w:rsidP="00000000" w:rsidRDefault="00000000" w:rsidRPr="00000000" w14:paraId="0000005D">
            <w:pPr>
              <w:rPr/>
            </w:pPr>
            <w:r w:rsidDel="00000000" w:rsidR="00000000" w:rsidRPr="00000000">
              <w:rPr>
                <w:rtl w:val="0"/>
              </w:rPr>
            </w:r>
          </w:p>
        </w:tc>
        <w:tc>
          <w:tcPr/>
          <w:p w:rsidR="00000000" w:rsidDel="00000000" w:rsidP="00000000" w:rsidRDefault="00000000" w:rsidRPr="00000000" w14:paraId="0000005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5F">
            <w:pP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vAlign w:val="center"/>
          </w:tcPr>
          <w:p w:rsidR="00000000" w:rsidDel="00000000" w:rsidP="00000000" w:rsidRDefault="00000000" w:rsidRPr="00000000" w14:paraId="00000061">
            <w:pPr>
              <w:rPr/>
            </w:pPr>
            <w:r w:rsidDel="00000000" w:rsidR="00000000" w:rsidRPr="00000000">
              <w:rPr>
                <w:rtl w:val="0"/>
              </w:rPr>
            </w:r>
          </w:p>
        </w:tc>
        <w:tc>
          <w:tcPr>
            <w:vAlign w:val="center"/>
          </w:tcPr>
          <w:p w:rsidR="00000000" w:rsidDel="00000000" w:rsidP="00000000" w:rsidRDefault="00000000" w:rsidRPr="00000000" w14:paraId="00000062">
            <w:pPr>
              <w:rPr/>
            </w:pPr>
            <w:r w:rsidDel="00000000" w:rsidR="00000000" w:rsidRPr="00000000">
              <w:rPr>
                <w:rtl w:val="0"/>
              </w:rPr>
            </w:r>
          </w:p>
        </w:tc>
        <w:tc>
          <w:tcPr/>
          <w:p w:rsidR="00000000" w:rsidDel="00000000" w:rsidP="00000000" w:rsidRDefault="00000000" w:rsidRPr="00000000" w14:paraId="00000063">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4">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068">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9">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06D">
            <w:pPr>
              <w:rPr/>
            </w:pPr>
            <w:r w:rsidDel="00000000" w:rsidR="00000000" w:rsidRPr="00000000">
              <w:rPr>
                <w:rtl w:val="0"/>
              </w:rPr>
            </w:r>
          </w:p>
        </w:tc>
      </w:tr>
    </w:tbl>
    <w:p w:rsidR="00000000" w:rsidDel="00000000" w:rsidP="00000000" w:rsidRDefault="00000000" w:rsidRPr="00000000" w14:paraId="0000006E">
      <w:pPr>
        <w:jc w:val="both"/>
        <w:rPr/>
      </w:pPr>
      <w:r w:rsidDel="00000000" w:rsidR="00000000" w:rsidRPr="00000000">
        <w:rPr>
          <w:rtl w:val="0"/>
        </w:rPr>
      </w:r>
    </w:p>
    <w:p w:rsidR="00000000" w:rsidDel="00000000" w:rsidP="00000000" w:rsidRDefault="00000000" w:rsidRPr="00000000" w14:paraId="0000006F">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229.14062499999997" w:hRule="atLeast"/>
          <w:tblHeader w:val="0"/>
        </w:trPr>
        <w:tc>
          <w:tcPr>
            <w:shd w:fill="d9d9d9" w:val="clear"/>
            <w:vAlign w:val="center"/>
          </w:tcPr>
          <w:p w:rsidR="00000000" w:rsidDel="00000000" w:rsidP="00000000" w:rsidRDefault="00000000" w:rsidRPr="00000000" w14:paraId="00000070">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1">
            <w:pPr>
              <w:ind w:right="-108"/>
              <w:jc w:val="center"/>
              <w:rPr>
                <w:b w:val="1"/>
              </w:rPr>
            </w:pPr>
            <w:r w:rsidDel="00000000" w:rsidR="00000000" w:rsidRPr="00000000">
              <w:rPr>
                <w:b w:val="1"/>
                <w:rtl w:val="0"/>
              </w:rPr>
              <w:t xml:space="preserve">Qty</w:t>
            </w:r>
          </w:p>
          <w:p w:rsidR="00000000" w:rsidDel="00000000" w:rsidP="00000000" w:rsidRDefault="00000000" w:rsidRPr="00000000" w14:paraId="00000072">
            <w:pPr>
              <w:ind w:right="-108"/>
              <w:jc w:val="center"/>
              <w:rPr>
                <w:b w:val="1"/>
              </w:rPr>
            </w:pPr>
            <w:r w:rsidDel="00000000" w:rsidR="00000000" w:rsidRPr="00000000">
              <w:rPr>
                <w:b w:val="1"/>
                <w:rtl w:val="0"/>
              </w:rPr>
              <w:t xml:space="preserve"> </w:t>
            </w:r>
          </w:p>
        </w:tc>
        <w:tc>
          <w:tcPr>
            <w:shd w:fill="d9d9d9" w:val="clear"/>
            <w:vAlign w:val="center"/>
          </w:tcPr>
          <w:p w:rsidR="00000000" w:rsidDel="00000000" w:rsidP="00000000" w:rsidRDefault="00000000" w:rsidRPr="00000000" w14:paraId="00000073">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74">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75">
            <w:pPr>
              <w:jc w:val="center"/>
              <w:rPr>
                <w:b w:val="1"/>
              </w:rPr>
            </w:pPr>
            <w:r w:rsidDel="00000000" w:rsidR="00000000" w:rsidRPr="00000000">
              <w:rPr>
                <w:b w:val="1"/>
                <w:rtl w:val="0"/>
              </w:rPr>
              <w:t xml:space="preserve">Total Cost</w:t>
            </w:r>
          </w:p>
        </w:tc>
      </w:tr>
      <w:tr>
        <w:trPr>
          <w:cantSplit w:val="0"/>
          <w:trHeight w:val="229.14062499999997" w:hRule="atLeast"/>
          <w:tblHeader w:val="0"/>
        </w:trPr>
        <w:tc>
          <w:tcPr>
            <w:gridSpan w:val="5"/>
            <w:shd w:fill="efefef" w:val="clear"/>
            <w:vAlign w:val="center"/>
          </w:tcPr>
          <w:p w:rsidR="00000000" w:rsidDel="00000000" w:rsidP="00000000" w:rsidRDefault="00000000" w:rsidRPr="00000000" w14:paraId="00000076">
            <w:pPr>
              <w:rPr/>
            </w:pPr>
            <w:r w:rsidDel="00000000" w:rsidR="00000000" w:rsidRPr="00000000">
              <w:rPr>
                <w:b w:val="1"/>
                <w:rtl w:val="0"/>
              </w:rPr>
              <w:t xml:space="preserve">Non-personnel costs (Reimbursement) </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B">
            <w:pPr>
              <w:rPr/>
            </w:pPr>
            <w:r w:rsidDel="00000000" w:rsidR="00000000" w:rsidRPr="00000000">
              <w:rPr>
                <w:rtl w:val="0"/>
              </w:rPr>
              <w:t xml:space="preserve">Other related costs other than personnel </w:t>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p w:rsidR="00000000" w:rsidDel="00000000" w:rsidP="00000000" w:rsidRDefault="00000000" w:rsidRPr="00000000" w14:paraId="0000007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0">
            <w:pPr>
              <w:rPr/>
            </w:pPr>
            <w:r w:rsidDel="00000000" w:rsidR="00000000" w:rsidRPr="00000000">
              <w:rPr>
                <w:rtl w:val="0"/>
              </w:rPr>
              <w:t xml:space="preserve">Per-diem for field works </w:t>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p w:rsidR="00000000" w:rsidDel="00000000" w:rsidP="00000000" w:rsidRDefault="00000000" w:rsidRPr="00000000" w14:paraId="0000008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5">
            <w:pPr>
              <w:rPr/>
            </w:pPr>
            <w:r w:rsidDel="00000000" w:rsidR="00000000" w:rsidRPr="00000000">
              <w:rPr>
                <w:rtl w:val="0"/>
              </w:rPr>
              <w:t xml:space="preserve">Flights </w:t>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p w:rsidR="00000000" w:rsidDel="00000000" w:rsidP="00000000" w:rsidRDefault="00000000" w:rsidRPr="00000000" w14:paraId="0000008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A">
            <w:pPr>
              <w:rPr/>
            </w:pPr>
            <w:r w:rsidDel="00000000" w:rsidR="00000000" w:rsidRPr="00000000">
              <w:rPr>
                <w:rtl w:val="0"/>
              </w:rPr>
              <w:t xml:space="preserve">Travels costs </w:t>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p w:rsidR="00000000" w:rsidDel="00000000" w:rsidP="00000000" w:rsidRDefault="00000000" w:rsidRPr="00000000" w14:paraId="0000008E">
            <w:pPr>
              <w:rPr/>
            </w:pPr>
            <w:r w:rsidDel="00000000" w:rsidR="00000000" w:rsidRPr="00000000">
              <w:rPr>
                <w:rtl w:val="0"/>
              </w:rPr>
            </w:r>
          </w:p>
        </w:tc>
      </w:tr>
    </w:tbl>
    <w:p w:rsidR="00000000" w:rsidDel="00000000" w:rsidP="00000000" w:rsidRDefault="00000000" w:rsidRPr="00000000" w14:paraId="0000008F">
      <w:pPr>
        <w:spacing w:after="120" w:lineRule="auto"/>
        <w:jc w:val="both"/>
        <w:rPr/>
      </w:pPr>
      <w:r w:rsidDel="00000000" w:rsidR="00000000" w:rsidRPr="00000000">
        <w:rPr>
          <w:rtl w:val="0"/>
        </w:rPr>
      </w:r>
    </w:p>
    <w:p w:rsidR="00000000" w:rsidDel="00000000" w:rsidP="00000000" w:rsidRDefault="00000000" w:rsidRPr="00000000" w14:paraId="00000090">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091">
      <w:pPr>
        <w:numPr>
          <w:ilvl w:val="0"/>
          <w:numId w:val="3"/>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092">
      <w:pPr>
        <w:numPr>
          <w:ilvl w:val="0"/>
          <w:numId w:val="3"/>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93">
      <w:pPr>
        <w:numPr>
          <w:ilvl w:val="0"/>
          <w:numId w:val="3"/>
        </w:numPr>
        <w:ind w:left="720" w:hanging="360"/>
        <w:jc w:val="both"/>
        <w:rPr>
          <w:b w:val="1"/>
          <w:color w:val="ff0000"/>
          <w:u w:val="none"/>
        </w:rPr>
      </w:pPr>
      <w:r w:rsidDel="00000000" w:rsidR="00000000" w:rsidRPr="00000000">
        <w:rPr>
          <w:b w:val="1"/>
          <w:color w:val="ff0000"/>
          <w:rtl w:val="0"/>
        </w:rPr>
        <w:t xml:space="preserve">In case of field activities/reimbursement, the third parties invoice other than USD currency will be converted under UN exchange rate at the time of invoice submission date(UNOR; </w:t>
      </w:r>
      <w:hyperlink r:id="rId7">
        <w:r w:rsidDel="00000000" w:rsidR="00000000" w:rsidRPr="00000000">
          <w:rPr>
            <w:b w:val="1"/>
            <w:color w:val="1155cc"/>
            <w:u w:val="single"/>
            <w:rtl w:val="0"/>
          </w:rPr>
          <w:t xml:space="preserve">https://treasury.un.org/operationalrates/</w:t>
        </w:r>
      </w:hyperlink>
      <w:r w:rsidDel="00000000" w:rsidR="00000000" w:rsidRPr="00000000">
        <w:rPr>
          <w:b w:val="1"/>
          <w:color w:val="ff0000"/>
          <w:rtl w:val="0"/>
        </w:rPr>
        <w:t xml:space="preserve"> OperationalRates.php)</w:t>
      </w:r>
      <w:r w:rsidDel="00000000" w:rsidR="00000000" w:rsidRPr="00000000">
        <w:rPr>
          <w:rtl w:val="0"/>
        </w:rPr>
      </w:r>
    </w:p>
    <w:p w:rsidR="00000000" w:rsidDel="00000000" w:rsidP="00000000" w:rsidRDefault="00000000" w:rsidRPr="00000000" w14:paraId="00000094">
      <w:pPr>
        <w:ind w:left="720" w:firstLine="0"/>
        <w:jc w:val="both"/>
        <w:rPr>
          <w:b w:val="1"/>
          <w:color w:val="ff0000"/>
        </w:rPr>
      </w:pPr>
      <w:r w:rsidDel="00000000" w:rsidR="00000000" w:rsidRPr="00000000">
        <w:rPr>
          <w:rtl w:val="0"/>
        </w:rPr>
      </w:r>
    </w:p>
    <w:p w:rsidR="00000000" w:rsidDel="00000000" w:rsidP="00000000" w:rsidRDefault="00000000" w:rsidRPr="00000000" w14:paraId="00000095">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9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9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9">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9A">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9B">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09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9D">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9E">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9F">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A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A1">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A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A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A6">
      <w:pPr>
        <w:tabs>
          <w:tab w:val="left" w:leader="none" w:pos="720"/>
        </w:tabs>
        <w:rPr>
          <w:color w:val="000000"/>
        </w:rPr>
      </w:pPr>
      <w:r w:rsidDel="00000000" w:rsidR="00000000" w:rsidRPr="00000000">
        <w:rPr>
          <w:rtl w:val="0"/>
        </w:rPr>
      </w:r>
    </w:p>
    <w:p w:rsidR="00000000" w:rsidDel="00000000" w:rsidP="00000000" w:rsidRDefault="00000000" w:rsidRPr="00000000" w14:paraId="000000A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A8">
      <w:pPr>
        <w:rPr>
          <w:color w:val="000000"/>
        </w:rPr>
      </w:pPr>
      <w:r w:rsidDel="00000000" w:rsidR="00000000" w:rsidRPr="00000000">
        <w:rPr>
          <w:rtl w:val="0"/>
        </w:rPr>
      </w:r>
    </w:p>
    <w:p w:rsidR="00000000" w:rsidDel="00000000" w:rsidP="00000000" w:rsidRDefault="00000000" w:rsidRPr="00000000" w14:paraId="000000A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AA">
      <w:pPr>
        <w:rPr>
          <w:color w:val="000000"/>
        </w:rPr>
      </w:pPr>
      <w:r w:rsidDel="00000000" w:rsidR="00000000" w:rsidRPr="00000000">
        <w:rPr>
          <w:rtl w:val="0"/>
        </w:rPr>
      </w:r>
    </w:p>
    <w:p w:rsidR="00000000" w:rsidDel="00000000" w:rsidP="00000000" w:rsidRDefault="00000000" w:rsidRPr="00000000" w14:paraId="000000AB">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1">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B4">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treasury.un.org/operationalrates/"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SWi367kgGHapOVpXWei1wVSy2w==">CgMxLjAyCGguZ2pkZ3hzMg5oLndqMzBjdnN6OTdiMTINaC41cG1oY3dja25raTIOaC5kajU3enhrMmhqMG0yCWguMzBqMHpsbDgAciExTW91MmZmUV91UXV2R1B1ZjRJUUtFcGJDV0YxdXRoNk8=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ies>
</file>