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Enhancing Hydro Energy Storage Viability: De-risking pump storage hydro project development</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RFP/2023/49768</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RFP/2023/49768</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RFP/2023/49768,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RFP/2023/49768</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relevance of specialized knowledge and experience on similar engagements done in the past.  Bidders partnering up with a local entity to provide for the strategic consultation, translations; as well as the communications expertise is considered a valuable asset.</w:t>
            </w:r>
            <w:r w:rsidDel="00000000" w:rsidR="00000000" w:rsidRPr="00000000">
              <w:rPr>
                <w:rtl w:val="0"/>
              </w:rPr>
            </w:r>
          </w:p>
          <w:p w:rsidR="00000000" w:rsidDel="00000000" w:rsidP="00000000" w:rsidRDefault="00000000" w:rsidRPr="00000000" w14:paraId="0000006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B">
            <w:pPr>
              <w:rPr>
                <w:i w:val="1"/>
                <w:color w:val="0000ff"/>
              </w:rPr>
            </w:pPr>
            <w:r w:rsidDel="00000000" w:rsidR="00000000" w:rsidRPr="00000000">
              <w:rPr>
                <w:rtl w:val="0"/>
              </w:rPr>
            </w:r>
          </w:p>
          <w:p w:rsidR="00000000" w:rsidDel="00000000" w:rsidP="00000000" w:rsidRDefault="00000000" w:rsidRPr="00000000" w14:paraId="0000006C">
            <w:pPr>
              <w:numPr>
                <w:ilvl w:val="0"/>
                <w:numId w:val="2"/>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6D">
            <w:pPr>
              <w:numPr>
                <w:ilvl w:val="0"/>
                <w:numId w:val="2"/>
              </w:numPr>
              <w:ind w:left="720" w:hanging="360"/>
              <w:rPr>
                <w:i w:val="1"/>
                <w:color w:val="0000ff"/>
                <w:u w:val="none"/>
              </w:rPr>
            </w:pPr>
            <w:r w:rsidDel="00000000" w:rsidR="00000000" w:rsidRPr="00000000">
              <w:rPr>
                <w:i w:val="1"/>
                <w:color w:val="0000ff"/>
                <w:rtl w:val="0"/>
              </w:rPr>
              <w:t xml:space="preserve">Experience in providing similar services in the region, especially Philippines (5)</w:t>
            </w:r>
            <w:r w:rsidDel="00000000" w:rsidR="00000000" w:rsidRPr="00000000">
              <w:rPr>
                <w:rtl w:val="0"/>
              </w:rPr>
            </w:r>
          </w:p>
          <w:p w:rsidR="00000000" w:rsidDel="00000000" w:rsidP="00000000" w:rsidRDefault="00000000" w:rsidRPr="00000000" w14:paraId="0000006E">
            <w:pPr>
              <w:numPr>
                <w:ilvl w:val="0"/>
                <w:numId w:val="2"/>
              </w:numPr>
              <w:ind w:left="720" w:hanging="360"/>
              <w:rPr>
                <w:i w:val="1"/>
                <w:color w:val="0000ff"/>
                <w:u w:val="none"/>
              </w:rPr>
            </w:pPr>
            <w:r w:rsidDel="00000000" w:rsidR="00000000" w:rsidRPr="00000000">
              <w:rPr>
                <w:i w:val="1"/>
                <w:color w:val="0000ff"/>
                <w:rtl w:val="0"/>
              </w:rPr>
              <w:t xml:space="preserve">Understanding of local context, and partnering up with a Philippines-based entity to provide for the strategic consultation, translations; as well as the communications expertise (5)</w:t>
            </w:r>
            <w:r w:rsidDel="00000000" w:rsidR="00000000" w:rsidRPr="00000000">
              <w:rPr>
                <w:rtl w:val="0"/>
              </w:rPr>
            </w:r>
          </w:p>
          <w:p w:rsidR="00000000" w:rsidDel="00000000" w:rsidP="00000000" w:rsidRDefault="00000000" w:rsidRPr="00000000" w14:paraId="0000006F">
            <w:pPr>
              <w:rPr>
                <w:i w:val="1"/>
                <w:color w:val="ff0000"/>
              </w:rPr>
            </w:pPr>
            <w:r w:rsidDel="00000000" w:rsidR="00000000" w:rsidRPr="00000000">
              <w:rPr>
                <w:rtl w:val="0"/>
              </w:rPr>
            </w:r>
          </w:p>
          <w:p w:rsidR="00000000" w:rsidDel="00000000" w:rsidP="00000000" w:rsidRDefault="00000000" w:rsidRPr="00000000" w14:paraId="00000070">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7">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8">
            <w:pPr>
              <w:rPr>
                <w:i w:val="1"/>
                <w:color w:val="0000ff"/>
              </w:rPr>
            </w:pPr>
            <w:r w:rsidDel="00000000" w:rsidR="00000000" w:rsidRPr="00000000">
              <w:rPr>
                <w:rtl w:val="0"/>
              </w:rPr>
            </w:r>
          </w:p>
          <w:p w:rsidR="00000000" w:rsidDel="00000000" w:rsidP="00000000" w:rsidRDefault="00000000" w:rsidRPr="00000000" w14:paraId="00000079">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numPr>
                <w:ilvl w:val="0"/>
                <w:numId w:val="4"/>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C">
            <w:pPr>
              <w:widowControl w:val="0"/>
              <w:numPr>
                <w:ilvl w:val="0"/>
                <w:numId w:val="4"/>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300,000 USD in any of the past 2 years (1)</w:t>
            </w:r>
          </w:p>
          <w:p w:rsidR="00000000" w:rsidDel="00000000" w:rsidP="00000000" w:rsidRDefault="00000000" w:rsidRPr="00000000" w14:paraId="0000007D">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w:t>
            </w:r>
          </w:p>
          <w:p w:rsidR="00000000" w:rsidDel="00000000" w:rsidP="00000000" w:rsidRDefault="00000000" w:rsidRPr="00000000" w14:paraId="0000007E">
            <w:pPr>
              <w:widowControl w:val="0"/>
              <w:numPr>
                <w:ilvl w:val="0"/>
                <w:numId w:val="4"/>
              </w:numPr>
              <w:spacing w:line="272.61817932128906" w:lineRule="auto"/>
              <w:ind w:left="720" w:hanging="360"/>
              <w:rPr>
                <w:i w:val="1"/>
                <w:color w:val="0000ff"/>
                <w:u w:val="none"/>
              </w:rPr>
            </w:pPr>
            <w:r w:rsidDel="00000000" w:rsidR="00000000" w:rsidRPr="00000000">
              <w:rPr>
                <w:i w:val="1"/>
                <w:color w:val="0000ff"/>
                <w:rtl w:val="0"/>
              </w:rPr>
              <w:t xml:space="preserve">Bidder should have liquidity /quick ratio should be minimum 1, in any of the past 2 years. (1)</w:t>
            </w:r>
          </w:p>
          <w:p w:rsidR="00000000" w:rsidDel="00000000" w:rsidP="00000000" w:rsidRDefault="00000000" w:rsidRPr="00000000" w14:paraId="0000007F">
            <w:pPr>
              <w:widowControl w:val="0"/>
              <w:spacing w:line="272.61817932128906" w:lineRule="auto"/>
              <w:ind w:left="720" w:firstLine="0"/>
              <w:rPr>
                <w:i w:val="1"/>
                <w:color w:val="0000ff"/>
              </w:rPr>
            </w:pPr>
            <w:r w:rsidDel="00000000" w:rsidR="00000000" w:rsidRPr="00000000">
              <w:rPr>
                <w:i w:val="1"/>
                <w:color w:val="0000ff"/>
                <w:rtl w:val="0"/>
              </w:rPr>
              <w:t xml:space="preserve">(In case of a joint-venture, at least one of the JV members should have 1 liquidity/quick ratio in any of the past 2 years. )</w:t>
            </w:r>
          </w:p>
          <w:p w:rsidR="00000000" w:rsidDel="00000000" w:rsidP="00000000" w:rsidRDefault="00000000" w:rsidRPr="00000000" w14:paraId="00000080">
            <w:pPr>
              <w:widowControl w:val="0"/>
              <w:spacing w:line="272.61817932128906" w:lineRule="auto"/>
              <w:ind w:left="720" w:firstLine="0"/>
              <w:rPr>
                <w:i w:val="1"/>
                <w:color w:val="0000ff"/>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highlight w:val="magenta"/>
              </w:rPr>
            </w:pPr>
            <w:r w:rsidDel="00000000" w:rsidR="00000000" w:rsidRPr="00000000">
              <w:rPr>
                <w:rtl w:val="0"/>
              </w:rPr>
            </w:r>
          </w:p>
        </w:tc>
      </w:tr>
    </w:tbl>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9">
            <w:pPr>
              <w:rPr>
                <w:b w:val="1"/>
              </w:rPr>
            </w:pPr>
            <w:r w:rsidDel="00000000" w:rsidR="00000000" w:rsidRPr="00000000">
              <w:rPr>
                <w:b w:val="1"/>
                <w:rtl w:val="0"/>
              </w:rPr>
              <w:t xml:space="preserve">Section 2: Proposed Methodology, Approach and Implementation Plan (32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widowControl w:val="0"/>
              <w:spacing w:line="276" w:lineRule="auto"/>
              <w:rPr>
                <w:i w:val="1"/>
                <w:color w:val="0000ff"/>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rtl w:val="0"/>
              </w:rPr>
            </w:r>
          </w:p>
          <w:p w:rsidR="00000000" w:rsidDel="00000000" w:rsidP="00000000" w:rsidRDefault="00000000" w:rsidRPr="00000000" w14:paraId="0000008E">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F">
            <w:pPr>
              <w:rPr>
                <w:i w:val="1"/>
                <w:color w:val="0000ff"/>
              </w:rPr>
            </w:pPr>
            <w:r w:rsidDel="00000000" w:rsidR="00000000" w:rsidRPr="00000000">
              <w:rPr>
                <w:rtl w:val="0"/>
              </w:rPr>
            </w:r>
          </w:p>
          <w:p w:rsidR="00000000" w:rsidDel="00000000" w:rsidP="00000000" w:rsidRDefault="00000000" w:rsidRPr="00000000" w14:paraId="00000090">
            <w:pPr>
              <w:numPr>
                <w:ilvl w:val="0"/>
                <w:numId w:val="5"/>
              </w:numPr>
              <w:ind w:left="720" w:hanging="360"/>
              <w:rPr>
                <w:i w:val="1"/>
                <w:color w:val="0000ff"/>
              </w:rPr>
            </w:pPr>
            <w:r w:rsidDel="00000000" w:rsidR="00000000" w:rsidRPr="00000000">
              <w:rPr>
                <w:i w:val="1"/>
                <w:color w:val="0000ff"/>
                <w:rtl w:val="0"/>
              </w:rPr>
              <w:t xml:space="preserve">Description of the offeror’s approach to identification of data sources, scenarios, issues for the deep-dive in the analysis (4)</w:t>
            </w:r>
          </w:p>
          <w:p w:rsidR="00000000" w:rsidDel="00000000" w:rsidP="00000000" w:rsidRDefault="00000000" w:rsidRPr="00000000" w14:paraId="00000091">
            <w:pPr>
              <w:numPr>
                <w:ilvl w:val="0"/>
                <w:numId w:val="5"/>
              </w:numPr>
              <w:ind w:left="720" w:hanging="360"/>
              <w:rPr>
                <w:i w:val="1"/>
                <w:color w:val="0000ff"/>
              </w:rPr>
            </w:pPr>
            <w:r w:rsidDel="00000000" w:rsidR="00000000" w:rsidRPr="00000000">
              <w:rPr>
                <w:i w:val="1"/>
                <w:color w:val="0000ff"/>
                <w:rtl w:val="0"/>
              </w:rPr>
              <w:t xml:space="preserve">Description of the offeror’s approach to assessment, siting, and prioritisation of potential PSH sites (5)</w:t>
            </w:r>
          </w:p>
          <w:p w:rsidR="00000000" w:rsidDel="00000000" w:rsidP="00000000" w:rsidRDefault="00000000" w:rsidRPr="00000000" w14:paraId="00000092">
            <w:pPr>
              <w:numPr>
                <w:ilvl w:val="0"/>
                <w:numId w:val="5"/>
              </w:numPr>
              <w:ind w:left="720" w:hanging="360"/>
              <w:rPr>
                <w:i w:val="1"/>
                <w:color w:val="0000ff"/>
              </w:rPr>
            </w:pPr>
            <w:r w:rsidDel="00000000" w:rsidR="00000000" w:rsidRPr="00000000">
              <w:rPr>
                <w:i w:val="1"/>
                <w:color w:val="0000ff"/>
                <w:rtl w:val="0"/>
              </w:rPr>
              <w:t xml:space="preserve">Description of the offeror’s approach to conduct the market assessment study (5)</w:t>
            </w:r>
          </w:p>
          <w:p w:rsidR="00000000" w:rsidDel="00000000" w:rsidP="00000000" w:rsidRDefault="00000000" w:rsidRPr="00000000" w14:paraId="00000093">
            <w:pPr>
              <w:numPr>
                <w:ilvl w:val="0"/>
                <w:numId w:val="5"/>
              </w:numPr>
              <w:ind w:left="720" w:hanging="360"/>
              <w:rPr>
                <w:i w:val="1"/>
                <w:color w:val="0000ff"/>
              </w:rPr>
            </w:pPr>
            <w:r w:rsidDel="00000000" w:rsidR="00000000" w:rsidRPr="00000000">
              <w:rPr>
                <w:i w:val="1"/>
                <w:color w:val="0000ff"/>
                <w:rtl w:val="0"/>
              </w:rPr>
              <w:t xml:space="preserve">Description of the offeror’s approach to the assessments for the PSH project development framework (5)</w:t>
            </w:r>
          </w:p>
          <w:p w:rsidR="00000000" w:rsidDel="00000000" w:rsidP="00000000" w:rsidRDefault="00000000" w:rsidRPr="00000000" w14:paraId="00000094">
            <w:pPr>
              <w:numPr>
                <w:ilvl w:val="0"/>
                <w:numId w:val="5"/>
              </w:numPr>
              <w:ind w:left="720" w:hanging="360"/>
              <w:rPr>
                <w:i w:val="1"/>
                <w:color w:val="0000ff"/>
              </w:rPr>
            </w:pPr>
            <w:r w:rsidDel="00000000" w:rsidR="00000000" w:rsidRPr="00000000">
              <w:rPr>
                <w:i w:val="1"/>
                <w:color w:val="0000ff"/>
                <w:rtl w:val="0"/>
              </w:rPr>
              <w:t xml:space="preserve">Description of the offeror’s approach to providing guidance to the government policymakers (3)</w:t>
            </w:r>
          </w:p>
          <w:p w:rsidR="00000000" w:rsidDel="00000000" w:rsidP="00000000" w:rsidRDefault="00000000" w:rsidRPr="00000000" w14:paraId="00000095">
            <w:pPr>
              <w:ind w:left="720" w:firstLine="0"/>
              <w:rPr>
                <w:i w:val="1"/>
                <w:color w:val="0000ff"/>
              </w:rPr>
            </w:pPr>
            <w:r w:rsidDel="00000000" w:rsidR="00000000" w:rsidRPr="00000000">
              <w:rPr>
                <w:rtl w:val="0"/>
              </w:rPr>
            </w:r>
          </w:p>
          <w:p w:rsidR="00000000" w:rsidDel="00000000" w:rsidP="00000000" w:rsidRDefault="00000000" w:rsidRPr="00000000" w14:paraId="00000096">
            <w:pPr>
              <w:rPr>
                <w:i w:val="1"/>
                <w:color w:val="0000ff"/>
              </w:rPr>
            </w:pPr>
            <w:r w:rsidDel="00000000" w:rsidR="00000000" w:rsidRPr="00000000">
              <w:rPr>
                <w:i w:val="1"/>
                <w:color w:val="0000ff"/>
                <w:rtl w:val="0"/>
              </w:rPr>
              <w:t xml:space="preserve">Total Point 22</w:t>
            </w:r>
          </w:p>
          <w:p w:rsidR="00000000" w:rsidDel="00000000" w:rsidP="00000000" w:rsidRDefault="00000000" w:rsidRPr="00000000" w14:paraId="00000097">
            <w:pPr>
              <w:rPr>
                <w:i w:val="1"/>
                <w:color w:val="0000ff"/>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E">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F">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0">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1">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A2">
            <w:pPr>
              <w:rPr>
                <w:i w:val="1"/>
                <w:color w:val="0000ff"/>
              </w:rPr>
            </w:pPr>
            <w:r w:rsidDel="00000000" w:rsidR="00000000" w:rsidRPr="00000000">
              <w:rPr>
                <w:rtl w:val="0"/>
              </w:rPr>
            </w:r>
          </w:p>
          <w:p w:rsidR="00000000" w:rsidDel="00000000" w:rsidP="00000000" w:rsidRDefault="00000000" w:rsidRPr="00000000" w14:paraId="000000A3">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D">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E">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F">
            <w:pPr>
              <w:rPr>
                <w:i w:val="1"/>
                <w:color w:val="0000ff"/>
              </w:rPr>
            </w:pPr>
            <w:r w:rsidDel="00000000" w:rsidR="00000000" w:rsidRPr="00000000">
              <w:rPr>
                <w:rtl w:val="0"/>
              </w:rPr>
            </w:r>
          </w:p>
          <w:p w:rsidR="00000000" w:rsidDel="00000000" w:rsidP="00000000" w:rsidRDefault="00000000" w:rsidRPr="00000000" w14:paraId="000000B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B1">
            <w:pPr>
              <w:rPr>
                <w:i w:val="1"/>
                <w:color w:val="0000ff"/>
              </w:rPr>
            </w:pPr>
            <w:r w:rsidDel="00000000" w:rsidR="00000000" w:rsidRPr="00000000">
              <w:rPr>
                <w:rtl w:val="0"/>
              </w:rPr>
            </w:r>
          </w:p>
          <w:p w:rsidR="00000000" w:rsidDel="00000000" w:rsidP="00000000" w:rsidRDefault="00000000" w:rsidRPr="00000000" w14:paraId="000000B2">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B3">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4">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highlight w:val="lightGray"/>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9">
            <w:pPr>
              <w:rPr>
                <w:b w:val="1"/>
              </w:rPr>
            </w:pPr>
            <w:r w:rsidDel="00000000" w:rsidR="00000000" w:rsidRPr="00000000">
              <w:rPr>
                <w:b w:val="1"/>
                <w:rtl w:val="0"/>
              </w:rPr>
              <w:t xml:space="preserve">Section 3: Key personnel proposed (28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B">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C">
            <w:pPr>
              <w:rPr>
                <w:b w:val="1"/>
              </w:rPr>
            </w:pPr>
            <w:r w:rsidDel="00000000" w:rsidR="00000000" w:rsidRPr="00000000">
              <w:rPr>
                <w:rtl w:val="0"/>
              </w:rPr>
            </w:r>
          </w:p>
          <w:p w:rsidR="00000000" w:rsidDel="00000000" w:rsidP="00000000" w:rsidRDefault="00000000" w:rsidRPr="00000000" w14:paraId="000000BD">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tbl>
            <w:tblPr>
              <w:tblStyle w:val="Table5"/>
              <w:tblW w:w="84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5"/>
              <w:gridCol w:w="2745"/>
              <w:gridCol w:w="3435"/>
              <w:tblGridChange w:id="0">
                <w:tblGrid>
                  <w:gridCol w:w="2235"/>
                  <w:gridCol w:w="2745"/>
                  <w:gridCol w:w="3435"/>
                </w:tblGrid>
              </w:tblGridChange>
            </w:tblGrid>
            <w:tr>
              <w:trPr>
                <w:cantSplit w:val="0"/>
                <w:tblHeader w:val="0"/>
              </w:trPr>
              <w:tc>
                <w:tcPr>
                  <w:shd w:fill="d9d9d9" w:val="clear"/>
                </w:tcPr>
                <w:p w:rsidR="00000000" w:rsidDel="00000000" w:rsidP="00000000" w:rsidRDefault="00000000" w:rsidRPr="00000000" w14:paraId="000000C1">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C2">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3">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6">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7">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Fonts w:ascii="Arial" w:cs="Arial" w:eastAsia="Arial" w:hAnsi="Arial"/>
                      <w:rtl w:val="0"/>
                    </w:rPr>
                    <w:t xml:space="preserve">Industry Expert / Hydropower Engineer</w:t>
                  </w:r>
                </w:p>
              </w:tc>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Fonts w:ascii="Arial" w:cs="Arial" w:eastAsia="Arial" w:hAnsi="Arial"/>
                      <w:rtl w:val="0"/>
                    </w:rPr>
                    <w:t xml:space="preserve">GIS Specialist</w:t>
                  </w:r>
                </w:p>
              </w:tc>
              <w:tc>
                <w:tcPr>
                  <w:vAlign w:val="center"/>
                </w:tcPr>
                <w:p w:rsidR="00000000" w:rsidDel="00000000" w:rsidP="00000000" w:rsidRDefault="00000000" w:rsidRPr="00000000" w14:paraId="000000CC">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Fonts w:ascii="Arial" w:cs="Arial" w:eastAsia="Arial" w:hAnsi="Arial"/>
                      <w:rtl w:val="0"/>
                    </w:rPr>
                    <w:t xml:space="preserve">Environmental Management Expert</w:t>
                  </w:r>
                </w:p>
              </w:tc>
              <w:tc>
                <w:tcPr>
                  <w:vAlign w:val="center"/>
                </w:tcPr>
                <w:p w:rsidR="00000000" w:rsidDel="00000000" w:rsidP="00000000" w:rsidRDefault="00000000" w:rsidRPr="00000000" w14:paraId="000000CF">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0">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Fonts w:ascii="Arial" w:cs="Arial" w:eastAsia="Arial" w:hAnsi="Arial"/>
                      <w:rtl w:val="0"/>
                    </w:rPr>
                    <w:t xml:space="preserve">Social Development Specialist</w:t>
                  </w:r>
                </w:p>
              </w:tc>
              <w:tc>
                <w:tcPr>
                  <w:vAlign w:val="center"/>
                </w:tcPr>
                <w:p w:rsidR="00000000" w:rsidDel="00000000" w:rsidP="00000000" w:rsidRDefault="00000000" w:rsidRPr="00000000" w14:paraId="000000D2">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4">
                  <w:pPr>
                    <w:jc w:val="center"/>
                    <w:rPr>
                      <w:rFonts w:ascii="Arial" w:cs="Arial" w:eastAsia="Arial" w:hAnsi="Arial"/>
                    </w:rPr>
                  </w:pPr>
                  <w:r w:rsidDel="00000000" w:rsidR="00000000" w:rsidRPr="00000000">
                    <w:rPr>
                      <w:rFonts w:ascii="Arial" w:cs="Arial" w:eastAsia="Arial" w:hAnsi="Arial"/>
                      <w:rtl w:val="0"/>
                    </w:rPr>
                    <w:t xml:space="preserve">Policy Expert</w:t>
                  </w:r>
                </w:p>
              </w:tc>
              <w:tc>
                <w:tcPr>
                  <w:vAlign w:val="center"/>
                </w:tcPr>
                <w:p w:rsidR="00000000" w:rsidDel="00000000" w:rsidP="00000000" w:rsidRDefault="00000000" w:rsidRPr="00000000" w14:paraId="000000D5">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6">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7">
                  <w:pPr>
                    <w:jc w:val="center"/>
                    <w:rPr>
                      <w:rFonts w:ascii="Arial" w:cs="Arial" w:eastAsia="Arial" w:hAnsi="Arial"/>
                    </w:rPr>
                  </w:pPr>
                  <w:r w:rsidDel="00000000" w:rsidR="00000000" w:rsidRPr="00000000">
                    <w:rPr>
                      <w:rFonts w:ascii="Arial" w:cs="Arial" w:eastAsia="Arial" w:hAnsi="Arial"/>
                      <w:rtl w:val="0"/>
                    </w:rPr>
                    <w:t xml:space="preserve">Power Grid Expert</w:t>
                  </w:r>
                </w:p>
              </w:tc>
              <w:tc>
                <w:tcPr>
                  <w:vAlign w:val="center"/>
                </w:tcPr>
                <w:p w:rsidR="00000000" w:rsidDel="00000000" w:rsidP="00000000" w:rsidRDefault="00000000" w:rsidRPr="00000000" w14:paraId="000000D8">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9">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A">
                  <w:pPr>
                    <w:jc w:val="center"/>
                    <w:rPr>
                      <w:rFonts w:ascii="Arial" w:cs="Arial" w:eastAsia="Arial" w:hAnsi="Arial"/>
                    </w:rPr>
                  </w:pPr>
                  <w:r w:rsidDel="00000000" w:rsidR="00000000" w:rsidRPr="00000000">
                    <w:rPr>
                      <w:rFonts w:ascii="Arial" w:cs="Arial" w:eastAsia="Arial" w:hAnsi="Arial"/>
                      <w:rtl w:val="0"/>
                    </w:rPr>
                    <w:t xml:space="preserve">Energy Market Expert</w:t>
                  </w:r>
                </w:p>
              </w:tc>
              <w:tc>
                <w:tcPr>
                  <w:vAlign w:val="center"/>
                </w:tcPr>
                <w:p w:rsidR="00000000" w:rsidDel="00000000" w:rsidP="00000000" w:rsidRDefault="00000000" w:rsidRPr="00000000" w14:paraId="000000DB">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C">
            <w:pPr>
              <w:rPr>
                <w:i w:val="1"/>
                <w:color w:val="0000ff"/>
              </w:rPr>
            </w:pPr>
            <w:r w:rsidDel="00000000" w:rsidR="00000000" w:rsidRPr="00000000">
              <w:rPr>
                <w:rtl w:val="0"/>
              </w:rPr>
            </w:r>
          </w:p>
          <w:p w:rsidR="00000000" w:rsidDel="00000000" w:rsidP="00000000" w:rsidRDefault="00000000" w:rsidRPr="00000000" w14:paraId="000000D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E">
            <w:pPr>
              <w:rPr>
                <w:i w:val="1"/>
                <w:color w:val="0000ff"/>
              </w:rPr>
            </w:pPr>
            <w:r w:rsidDel="00000000" w:rsidR="00000000" w:rsidRPr="00000000">
              <w:rPr>
                <w:rtl w:val="0"/>
              </w:rPr>
            </w:r>
          </w:p>
          <w:p w:rsidR="00000000" w:rsidDel="00000000" w:rsidP="00000000" w:rsidRDefault="00000000" w:rsidRPr="00000000" w14:paraId="000000DF">
            <w:pPr>
              <w:rPr>
                <w:i w:val="1"/>
                <w:color w:val="0000ff"/>
              </w:rPr>
            </w:pPr>
            <w:r w:rsidDel="00000000" w:rsidR="00000000" w:rsidRPr="00000000">
              <w:rPr>
                <w:i w:val="1"/>
                <w:color w:val="0000ff"/>
                <w:rtl w:val="0"/>
              </w:rPr>
              <w:t xml:space="preserve">1.  Team lead (3.5)</w:t>
            </w:r>
          </w:p>
          <w:p w:rsidR="00000000" w:rsidDel="00000000" w:rsidP="00000000" w:rsidRDefault="00000000" w:rsidRPr="00000000" w14:paraId="000000E0">
            <w:pPr>
              <w:rPr>
                <w:i w:val="1"/>
                <w:color w:val="0000ff"/>
              </w:rPr>
            </w:pPr>
            <w:r w:rsidDel="00000000" w:rsidR="00000000" w:rsidRPr="00000000">
              <w:rPr>
                <w:i w:val="1"/>
                <w:color w:val="0000ff"/>
                <w:rtl w:val="0"/>
              </w:rPr>
              <w:t xml:space="preserve">2. Industry Expert / Hydropower Engineer (3.5)</w:t>
            </w:r>
          </w:p>
          <w:p w:rsidR="00000000" w:rsidDel="00000000" w:rsidP="00000000" w:rsidRDefault="00000000" w:rsidRPr="00000000" w14:paraId="000000E1">
            <w:pPr>
              <w:rPr>
                <w:i w:val="1"/>
                <w:color w:val="0000ff"/>
              </w:rPr>
            </w:pPr>
            <w:r w:rsidDel="00000000" w:rsidR="00000000" w:rsidRPr="00000000">
              <w:rPr>
                <w:i w:val="1"/>
                <w:color w:val="0000ff"/>
                <w:rtl w:val="0"/>
              </w:rPr>
              <w:t xml:space="preserve">3. GIS Specialist (3)</w:t>
            </w:r>
          </w:p>
          <w:p w:rsidR="00000000" w:rsidDel="00000000" w:rsidP="00000000" w:rsidRDefault="00000000" w:rsidRPr="00000000" w14:paraId="000000E2">
            <w:pPr>
              <w:ind w:left="0" w:firstLine="0"/>
              <w:rPr>
                <w:i w:val="1"/>
                <w:color w:val="0000ff"/>
              </w:rPr>
            </w:pPr>
            <w:r w:rsidDel="00000000" w:rsidR="00000000" w:rsidRPr="00000000">
              <w:rPr>
                <w:i w:val="1"/>
                <w:color w:val="0000ff"/>
                <w:rtl w:val="0"/>
              </w:rPr>
              <w:t xml:space="preserve">4. Environmental Management Expert (3)</w:t>
            </w:r>
          </w:p>
          <w:p w:rsidR="00000000" w:rsidDel="00000000" w:rsidP="00000000" w:rsidRDefault="00000000" w:rsidRPr="00000000" w14:paraId="000000E3">
            <w:pPr>
              <w:ind w:left="0" w:firstLine="0"/>
              <w:rPr>
                <w:i w:val="1"/>
                <w:color w:val="0000ff"/>
              </w:rPr>
            </w:pPr>
            <w:r w:rsidDel="00000000" w:rsidR="00000000" w:rsidRPr="00000000">
              <w:rPr>
                <w:i w:val="1"/>
                <w:color w:val="0000ff"/>
                <w:rtl w:val="0"/>
              </w:rPr>
              <w:t xml:space="preserve">5. Social Development Specialist (3)</w:t>
            </w:r>
          </w:p>
          <w:p w:rsidR="00000000" w:rsidDel="00000000" w:rsidP="00000000" w:rsidRDefault="00000000" w:rsidRPr="00000000" w14:paraId="000000E4">
            <w:pPr>
              <w:ind w:left="0" w:firstLine="0"/>
              <w:rPr>
                <w:i w:val="1"/>
                <w:color w:val="0000ff"/>
              </w:rPr>
            </w:pPr>
            <w:r w:rsidDel="00000000" w:rsidR="00000000" w:rsidRPr="00000000">
              <w:rPr>
                <w:i w:val="1"/>
                <w:color w:val="0000ff"/>
                <w:rtl w:val="0"/>
              </w:rPr>
              <w:t xml:space="preserve">6. Policy Expert (3)</w:t>
            </w:r>
          </w:p>
          <w:p w:rsidR="00000000" w:rsidDel="00000000" w:rsidP="00000000" w:rsidRDefault="00000000" w:rsidRPr="00000000" w14:paraId="000000E5">
            <w:pPr>
              <w:ind w:left="0" w:firstLine="0"/>
              <w:rPr>
                <w:i w:val="1"/>
                <w:color w:val="0000ff"/>
              </w:rPr>
            </w:pPr>
            <w:r w:rsidDel="00000000" w:rsidR="00000000" w:rsidRPr="00000000">
              <w:rPr>
                <w:i w:val="1"/>
                <w:color w:val="0000ff"/>
                <w:rtl w:val="0"/>
              </w:rPr>
              <w:t xml:space="preserve">7. Power grid Expert (3)</w:t>
            </w:r>
          </w:p>
          <w:p w:rsidR="00000000" w:rsidDel="00000000" w:rsidP="00000000" w:rsidRDefault="00000000" w:rsidRPr="00000000" w14:paraId="000000E6">
            <w:pPr>
              <w:ind w:left="0" w:firstLine="0"/>
              <w:rPr>
                <w:i w:val="1"/>
                <w:color w:val="0000ff"/>
              </w:rPr>
            </w:pPr>
            <w:r w:rsidDel="00000000" w:rsidR="00000000" w:rsidRPr="00000000">
              <w:rPr>
                <w:i w:val="1"/>
                <w:color w:val="0000ff"/>
                <w:rtl w:val="0"/>
              </w:rPr>
              <w:t xml:space="preserve">8. Energy Market Expert (3)</w:t>
            </w:r>
            <w:r w:rsidDel="00000000" w:rsidR="00000000" w:rsidRPr="00000000">
              <w:rPr>
                <w:rtl w:val="0"/>
              </w:rPr>
            </w:r>
          </w:p>
          <w:p w:rsidR="00000000" w:rsidDel="00000000" w:rsidP="00000000" w:rsidRDefault="00000000" w:rsidRPr="00000000" w14:paraId="000000E7">
            <w:pPr>
              <w:rPr>
                <w:i w:val="1"/>
                <w:color w:val="0000ff"/>
              </w:rPr>
            </w:pPr>
            <w:r w:rsidDel="00000000" w:rsidR="00000000" w:rsidRPr="00000000">
              <w:rPr>
                <w:rtl w:val="0"/>
              </w:rPr>
            </w:r>
          </w:p>
          <w:p w:rsidR="00000000" w:rsidDel="00000000" w:rsidP="00000000" w:rsidRDefault="00000000" w:rsidRPr="00000000" w14:paraId="000000E8">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B">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E">
            <w:pPr>
              <w:widowControl w:val="0"/>
              <w:spacing w:line="276" w:lineRule="auto"/>
              <w:rPr/>
            </w:pPr>
            <w:r w:rsidDel="00000000" w:rsidR="00000000" w:rsidRPr="00000000">
              <w:rPr>
                <w:rFonts w:ascii="Open Sans" w:cs="Open Sans" w:eastAsia="Open Sans" w:hAnsi="Open Sans"/>
                <w:rtl w:val="0"/>
              </w:rPr>
              <w:t xml:space="preserve">The bidder shall provide a response that demonstrates its commitment to support 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EF">
            <w:pPr>
              <w:rPr>
                <w:i w:val="1"/>
                <w:color w:val="0000ff"/>
              </w:rPr>
            </w:pPr>
            <w:r w:rsidDel="00000000" w:rsidR="00000000" w:rsidRPr="00000000">
              <w:rPr>
                <w:rtl w:val="0"/>
              </w:rPr>
            </w:r>
          </w:p>
          <w:p w:rsidR="00000000" w:rsidDel="00000000" w:rsidP="00000000" w:rsidRDefault="00000000" w:rsidRPr="00000000" w14:paraId="000000F0">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F1">
            <w:pPr>
              <w:rPr>
                <w:i w:val="1"/>
                <w:color w:val="0000ff"/>
              </w:rPr>
            </w:pPr>
            <w:r w:rsidDel="00000000" w:rsidR="00000000" w:rsidRPr="00000000">
              <w:rPr>
                <w:rtl w:val="0"/>
              </w:rPr>
            </w:r>
          </w:p>
          <w:p w:rsidR="00000000" w:rsidDel="00000000" w:rsidP="00000000" w:rsidRDefault="00000000" w:rsidRPr="00000000" w14:paraId="000000F2">
            <w:pPr>
              <w:rPr>
                <w:i w:val="1"/>
                <w:color w:val="0000ff"/>
              </w:rPr>
            </w:pPr>
            <w:r w:rsidDel="00000000" w:rsidR="00000000" w:rsidRPr="00000000">
              <w:rPr>
                <w:i w:val="1"/>
                <w:color w:val="0000ff"/>
                <w:rtl w:val="0"/>
              </w:rPr>
              <w:t xml:space="preserve">Demonstrating commitments to support gender equality through its operation (3)</w:t>
            </w:r>
          </w:p>
          <w:p w:rsidR="00000000" w:rsidDel="00000000" w:rsidP="00000000" w:rsidRDefault="00000000" w:rsidRPr="00000000" w14:paraId="000000F3">
            <w:pPr>
              <w:rPr>
                <w:i w:val="1"/>
                <w:color w:val="0000ff"/>
              </w:rPr>
            </w:pPr>
            <w:r w:rsidDel="00000000" w:rsidR="00000000" w:rsidRPr="00000000">
              <w:rPr>
                <w:rtl w:val="0"/>
              </w:rPr>
            </w:r>
          </w:p>
          <w:p w:rsidR="00000000" w:rsidDel="00000000" w:rsidP="00000000" w:rsidRDefault="00000000" w:rsidRPr="00000000" w14:paraId="000000F4">
            <w:pPr>
              <w:rPr/>
            </w:pPr>
            <w:r w:rsidDel="00000000" w:rsidR="00000000" w:rsidRPr="00000000">
              <w:rPr>
                <w:i w:val="1"/>
                <w:color w:val="0000ff"/>
                <w:rtl w:val="0"/>
              </w:rPr>
              <w:t xml:space="preserve">Total Point 3</w:t>
            </w:r>
            <w:r w:rsidDel="00000000" w:rsidR="00000000" w:rsidRPr="00000000">
              <w:rPr>
                <w:rtl w:val="0"/>
              </w:rPr>
            </w:r>
          </w:p>
          <w:p w:rsidR="00000000" w:rsidDel="00000000" w:rsidP="00000000" w:rsidRDefault="00000000" w:rsidRPr="00000000" w14:paraId="000000F5">
            <w:pPr>
              <w:widowControl w:val="0"/>
              <w:rPr/>
            </w:pPr>
            <w:r w:rsidDel="00000000" w:rsidR="00000000" w:rsidRPr="00000000">
              <w:rPr>
                <w:rtl w:val="0"/>
              </w:rPr>
            </w:r>
          </w:p>
        </w:tc>
      </w:tr>
    </w:tbl>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highlight w:val="lightGray"/>
        </w:rPr>
      </w:pPr>
      <w:r w:rsidDel="00000000" w:rsidR="00000000" w:rsidRPr="00000000">
        <w:rPr>
          <w:rtl w:val="0"/>
        </w:rPr>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B">
      <w:pPr>
        <w:tabs>
          <w:tab w:val="left" w:leader="none" w:pos="720"/>
        </w:tabs>
        <w:rPr>
          <w:color w:val="000000"/>
        </w:rPr>
      </w:pPr>
      <w:r w:rsidDel="00000000" w:rsidR="00000000" w:rsidRPr="00000000">
        <w:rPr>
          <w:rtl w:val="0"/>
        </w:rPr>
      </w:r>
    </w:p>
    <w:p w:rsidR="00000000" w:rsidDel="00000000" w:rsidP="00000000" w:rsidRDefault="00000000" w:rsidRPr="00000000" w14:paraId="000000F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D">
      <w:pPr>
        <w:rPr>
          <w:color w:val="000000"/>
        </w:rPr>
      </w:pPr>
      <w:r w:rsidDel="00000000" w:rsidR="00000000" w:rsidRPr="00000000">
        <w:rPr>
          <w:rtl w:val="0"/>
        </w:rPr>
      </w:r>
    </w:p>
    <w:p w:rsidR="00000000" w:rsidDel="00000000" w:rsidP="00000000" w:rsidRDefault="00000000" w:rsidRPr="00000000" w14:paraId="000000F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F">
      <w:pPr>
        <w:rPr>
          <w:color w:val="000000"/>
        </w:rPr>
      </w:pPr>
      <w:r w:rsidDel="00000000" w:rsidR="00000000" w:rsidRPr="00000000">
        <w:rPr>
          <w:rtl w:val="0"/>
        </w:rPr>
      </w:r>
    </w:p>
    <w:p w:rsidR="00000000" w:rsidDel="00000000" w:rsidP="00000000" w:rsidRDefault="00000000" w:rsidRPr="00000000" w14:paraId="0000010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1">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/2023/49768</w:t>
      </w:r>
      <w:r w:rsidDel="00000000" w:rsidR="00000000" w:rsidRPr="00000000">
        <w:rPr>
          <w:rtl w:val="0"/>
        </w:rPr>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A">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B">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31">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3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RFP/2023/49768</w:t>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A">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B">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C">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D">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F">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40">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45">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46">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r>
      <w:tr>
        <w:trPr>
          <w:cantSplit w:val="0"/>
          <w:tblHeader w:val="0"/>
        </w:trPr>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r>
      <w:tr>
        <w:trPr>
          <w:cantSplit w:val="0"/>
          <w:tblHeader w:val="0"/>
        </w:trPr>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r>
      <w:tr>
        <w:trPr>
          <w:cantSplit w:val="0"/>
          <w:tblHeader w:val="0"/>
        </w:trPr>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c>
          <w:tcPr/>
          <w:p w:rsidR="00000000" w:rsidDel="00000000" w:rsidP="00000000" w:rsidRDefault="00000000" w:rsidRPr="00000000" w14:paraId="00000168">
            <w:pPr>
              <w:rPr/>
            </w:pPr>
            <w:r w:rsidDel="00000000" w:rsidR="00000000" w:rsidRPr="00000000">
              <w:rPr>
                <w:rtl w:val="0"/>
              </w:rPr>
            </w:r>
          </w:p>
        </w:tc>
      </w:tr>
    </w:tbl>
    <w:p w:rsidR="00000000" w:rsidDel="00000000" w:rsidP="00000000" w:rsidRDefault="00000000" w:rsidRPr="00000000" w14:paraId="00000169">
      <w:pPr>
        <w:ind w:left="1598" w:hanging="1598"/>
        <w:jc w:val="both"/>
        <w:rPr/>
      </w:pP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B">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D">
      <w:pPr>
        <w:tabs>
          <w:tab w:val="left" w:leader="none" w:pos="720"/>
        </w:tabs>
        <w:rPr>
          <w:color w:val="000000"/>
        </w:rPr>
      </w:pPr>
      <w:r w:rsidDel="00000000" w:rsidR="00000000" w:rsidRPr="00000000">
        <w:rPr>
          <w:rtl w:val="0"/>
        </w:rPr>
      </w:r>
    </w:p>
    <w:p w:rsidR="00000000" w:rsidDel="00000000" w:rsidP="00000000" w:rsidRDefault="00000000" w:rsidRPr="00000000" w14:paraId="0000016E">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F">
      <w:pPr>
        <w:rPr>
          <w:color w:val="000000"/>
        </w:rPr>
      </w:pPr>
      <w:r w:rsidDel="00000000" w:rsidR="00000000" w:rsidRPr="00000000">
        <w:rPr>
          <w:rtl w:val="0"/>
        </w:rPr>
      </w:r>
    </w:p>
    <w:p w:rsidR="00000000" w:rsidDel="00000000" w:rsidP="00000000" w:rsidRDefault="00000000" w:rsidRPr="00000000" w14:paraId="00000170">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1">
      <w:pPr>
        <w:rPr>
          <w:color w:val="000000"/>
        </w:rPr>
      </w:pPr>
      <w:r w:rsidDel="00000000" w:rsidR="00000000" w:rsidRPr="00000000">
        <w:rPr>
          <w:rtl w:val="0"/>
        </w:rPr>
      </w:r>
    </w:p>
    <w:p w:rsidR="00000000" w:rsidDel="00000000" w:rsidP="00000000" w:rsidRDefault="00000000" w:rsidRPr="00000000" w14:paraId="00000172">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3">
      <w:pPr>
        <w:rPr>
          <w:sz w:val="22"/>
          <w:szCs w:val="22"/>
        </w:rPr>
      </w:pPr>
      <w:r w:rsidDel="00000000" w:rsidR="00000000" w:rsidRPr="00000000">
        <w:rPr>
          <w:rtl w:val="0"/>
        </w:rPr>
      </w:r>
    </w:p>
    <w:p w:rsidR="00000000" w:rsidDel="00000000" w:rsidP="00000000" w:rsidRDefault="00000000" w:rsidRPr="00000000" w14:paraId="00000174">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A">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D">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4456</wp:posOffset>
                </wp:positionH>
                <wp:positionV relativeFrom="paragraph">
                  <wp:posOffset>-79366</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wZdlUd1O827fkyygTssU+X+nvw==">CgMxLjAyDmguYnEzbW1nMmlsZ3VkMg5oLndqMzBjdnN6OTdiMTIOaC5yeWp3M3N2cWs4N2EyDmguZGo1N3p4azJoajBtOAByITFIeU1jTE8wbFRTSkwyUTZNM2JZS3R3OUtlUXl0MVVrWg==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