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96E2" w14:textId="06C3997E" w:rsidR="009906B0" w:rsidRPr="009906B0" w:rsidRDefault="009906B0" w:rsidP="00336745">
      <w:pPr>
        <w:spacing w:after="0" w:line="240" w:lineRule="auto"/>
        <w:rPr>
          <w:b/>
          <w:bCs/>
          <w:sz w:val="26"/>
          <w:szCs w:val="26"/>
        </w:rPr>
      </w:pPr>
      <w:r w:rsidRPr="009906B0">
        <w:rPr>
          <w:b/>
          <w:bCs/>
          <w:sz w:val="26"/>
          <w:szCs w:val="26"/>
        </w:rPr>
        <w:t>Appendix 3</w:t>
      </w:r>
    </w:p>
    <w:p w14:paraId="7AE5460D" w14:textId="743C1CA5" w:rsidR="00336745" w:rsidRPr="009906B0" w:rsidRDefault="00C0278D" w:rsidP="00336745">
      <w:pPr>
        <w:spacing w:after="0" w:line="240" w:lineRule="auto"/>
        <w:rPr>
          <w:color w:val="4472C4" w:themeColor="accent1"/>
          <w:sz w:val="26"/>
          <w:szCs w:val="26"/>
        </w:rPr>
      </w:pPr>
      <w:r>
        <w:rPr>
          <w:b/>
          <w:bCs/>
          <w:color w:val="4472C4" w:themeColor="accent1"/>
          <w:sz w:val="26"/>
          <w:szCs w:val="26"/>
        </w:rPr>
        <w:t xml:space="preserve">Accelerate MNH </w:t>
      </w:r>
      <w:r w:rsidR="00336745" w:rsidRPr="009906B0">
        <w:rPr>
          <w:color w:val="4472C4" w:themeColor="accent1"/>
          <w:sz w:val="26"/>
          <w:szCs w:val="26"/>
        </w:rPr>
        <w:t>(</w:t>
      </w:r>
      <w:r w:rsidR="006947EC" w:rsidRPr="009906B0">
        <w:rPr>
          <w:i/>
          <w:iCs/>
          <w:color w:val="4472C4" w:themeColor="accent1"/>
          <w:sz w:val="26"/>
          <w:szCs w:val="26"/>
        </w:rPr>
        <w:t>provisional title and subtitle</w:t>
      </w:r>
      <w:r w:rsidR="009906B0" w:rsidRPr="009906B0">
        <w:rPr>
          <w:color w:val="4472C4" w:themeColor="accent1"/>
          <w:sz w:val="26"/>
          <w:szCs w:val="26"/>
        </w:rPr>
        <w:t>)</w:t>
      </w:r>
    </w:p>
    <w:p w14:paraId="5F1F04F1" w14:textId="10115387" w:rsidR="00336745" w:rsidRDefault="00336745" w:rsidP="00982CAB">
      <w:pPr>
        <w:spacing w:after="0" w:line="240" w:lineRule="auto"/>
        <w:rPr>
          <w:rFonts w:cstheme="minorHAnsi"/>
        </w:rPr>
      </w:pPr>
      <w:r w:rsidRPr="40D83AD3">
        <w:rPr>
          <w:b/>
          <w:bCs/>
          <w:i/>
          <w:iCs/>
          <w:color w:val="4472C4" w:themeColor="accent1"/>
        </w:rPr>
        <w:t>Combat</w:t>
      </w:r>
      <w:r w:rsidR="00AB5E84" w:rsidRPr="40D83AD3">
        <w:rPr>
          <w:b/>
          <w:bCs/>
          <w:i/>
          <w:iCs/>
          <w:color w:val="4472C4" w:themeColor="accent1"/>
        </w:rPr>
        <w:t>t</w:t>
      </w:r>
      <w:r w:rsidRPr="40D83AD3">
        <w:rPr>
          <w:b/>
          <w:bCs/>
          <w:i/>
          <w:iCs/>
          <w:color w:val="4472C4" w:themeColor="accent1"/>
        </w:rPr>
        <w:t>ing maternal and newborn deaths and stillbirths</w:t>
      </w:r>
      <w:r w:rsidR="00071E18" w:rsidRPr="40D83AD3">
        <w:rPr>
          <w:b/>
          <w:bCs/>
          <w:i/>
          <w:iCs/>
          <w:color w:val="4472C4" w:themeColor="accent1"/>
        </w:rPr>
        <w:t xml:space="preserve"> and improving health</w:t>
      </w:r>
    </w:p>
    <w:p w14:paraId="6E6DCFAD" w14:textId="77777777" w:rsidR="000D7EEF" w:rsidRDefault="000D7EEF" w:rsidP="40D83AD3">
      <w:pPr>
        <w:spacing w:line="240" w:lineRule="auto"/>
      </w:pPr>
    </w:p>
    <w:p w14:paraId="0EC51A6C" w14:textId="3C0D89D7" w:rsidR="00336745" w:rsidRPr="00336745" w:rsidRDefault="00336745" w:rsidP="40D83AD3">
      <w:pPr>
        <w:spacing w:line="240" w:lineRule="auto"/>
      </w:pPr>
      <w:r w:rsidRPr="40D83AD3">
        <w:t>Maternal Mortality</w:t>
      </w:r>
      <w:r w:rsidR="00B445EC" w:rsidRPr="40D83AD3">
        <w:t xml:space="preserve"> (EPMM)</w:t>
      </w:r>
      <w:r w:rsidRPr="40D83AD3">
        <w:t>, Quality of Care and Maternal and Perinatal Death Surveillance and Response</w:t>
      </w:r>
      <w:r w:rsidR="00B445EC" w:rsidRPr="40D83AD3">
        <w:t xml:space="preserve"> (MPDSR).</w:t>
      </w:r>
    </w:p>
    <w:p w14:paraId="44DC9D5C" w14:textId="10A38C68" w:rsidR="000142ED" w:rsidRPr="007D0919" w:rsidRDefault="00801C05" w:rsidP="40D83AD3">
      <w:pPr>
        <w:spacing w:line="240" w:lineRule="auto"/>
        <w:jc w:val="both"/>
      </w:pPr>
      <w:r w:rsidRPr="40D83AD3">
        <w:rPr>
          <w:b/>
          <w:bCs/>
          <w:color w:val="0070C0"/>
        </w:rPr>
        <w:t xml:space="preserve">Introduction </w:t>
      </w:r>
      <w:r>
        <w:br/>
      </w:r>
      <w:r w:rsidRPr="40D83AD3">
        <w:t>The first joint E</w:t>
      </w:r>
      <w:r w:rsidR="00FA2CFF" w:rsidRPr="40D83AD3">
        <w:t xml:space="preserve">very Newborn Action Plan </w:t>
      </w:r>
      <w:r w:rsidRPr="40D83AD3">
        <w:t>E</w:t>
      </w:r>
      <w:r w:rsidR="00FA2CFF" w:rsidRPr="40D83AD3">
        <w:t xml:space="preserve">nding Preventable Maternal Mortality </w:t>
      </w:r>
      <w:r w:rsidRPr="40D83AD3">
        <w:t>Progress report (2023) highlighted that maternal and newborn mortality reduction and prevention of stillbirths has plateaued since 2016, with a total 4.5 million maternal and newborn deaths and stillbirths worldwide</w:t>
      </w:r>
      <w:r w:rsidR="13E6C872" w:rsidRPr="40D83AD3">
        <w:t>. To</w:t>
      </w:r>
      <w:r w:rsidRPr="40D83AD3">
        <w:t xml:space="preserve"> achieve </w:t>
      </w:r>
      <w:r w:rsidR="00FA2CFF" w:rsidRPr="40D83AD3">
        <w:t>the United Nations Sustainable Development Goals</w:t>
      </w:r>
      <w:r w:rsidRPr="40D83AD3">
        <w:t xml:space="preserve"> targets and improve maternal and newborn health and wellbeing, accelerated action is needed from 2021-2030 (increase average annual rate of reduction for 2010-2020 from 1.3% to 11.6%, 1.8% to 5.2%, and 2.2% to 7.2% for MMR, SBR, and NMR respectively). </w:t>
      </w:r>
    </w:p>
    <w:p w14:paraId="41BEBD30" w14:textId="3A1657EC" w:rsidR="00B445EC" w:rsidRDefault="00A111DF" w:rsidP="40D83AD3">
      <w:pPr>
        <w:spacing w:line="240" w:lineRule="auto"/>
        <w:jc w:val="both"/>
      </w:pPr>
      <w:r w:rsidRPr="207B3016">
        <w:t>I</w:t>
      </w:r>
      <w:r w:rsidR="00801C05" w:rsidRPr="207B3016">
        <w:t xml:space="preserve">ncreased investment and action </w:t>
      </w:r>
      <w:r w:rsidR="00C1350D" w:rsidRPr="207B3016">
        <w:t>require</w:t>
      </w:r>
      <w:r w:rsidR="00801C05" w:rsidRPr="207B3016">
        <w:t xml:space="preserve"> a comprehensive multi-stakeholder advocacy and communications strategy</w:t>
      </w:r>
      <w:r w:rsidRPr="207B3016">
        <w:t>, which ENAP EPMM is currently developing</w:t>
      </w:r>
      <w:r w:rsidR="779D77AC" w:rsidRPr="207B3016">
        <w:t xml:space="preserve">. </w:t>
      </w:r>
      <w:r w:rsidRPr="207B3016">
        <w:t xml:space="preserve">A new website dedicated to maternal and newborn deaths and </w:t>
      </w:r>
      <w:bookmarkStart w:id="0" w:name="_Int_kxfli3YS"/>
      <w:r w:rsidRPr="207B3016">
        <w:t>stillbirths</w:t>
      </w:r>
      <w:bookmarkEnd w:id="0"/>
      <w:r w:rsidRPr="207B3016">
        <w:t xml:space="preserve"> reduction is a key </w:t>
      </w:r>
      <w:r w:rsidR="00336745" w:rsidRPr="207B3016">
        <w:t xml:space="preserve">component </w:t>
      </w:r>
      <w:r w:rsidRPr="207B3016">
        <w:t xml:space="preserve">of this strategy. </w:t>
      </w:r>
      <w:r w:rsidR="00B445EC" w:rsidRPr="207B3016">
        <w:t>The proposed new website is an effort to position maternal and newborn survival and hea</w:t>
      </w:r>
      <w:r w:rsidR="00206B07" w:rsidRPr="207B3016">
        <w:t>l</w:t>
      </w:r>
      <w:r w:rsidR="00B445EC" w:rsidRPr="207B3016">
        <w:t>th as one movement – bringing together ENAP and EPMM as the framework for maternal and newborn death reduction, quality of care, MPDSR</w:t>
      </w:r>
      <w:r w:rsidR="7F218B53" w:rsidRPr="207B3016">
        <w:t>, midwifery</w:t>
      </w:r>
      <w:r w:rsidR="00B445EC" w:rsidRPr="207B3016">
        <w:t xml:space="preserve"> and further essential interventions to improve maternal, </w:t>
      </w:r>
      <w:r w:rsidR="41352CF9" w:rsidRPr="207B3016">
        <w:t>perinatal,</w:t>
      </w:r>
      <w:r w:rsidR="00B445EC" w:rsidRPr="207B3016">
        <w:t xml:space="preserve"> and neonatal survival under one digital roof. It will propose a new narrative to bring all these streams of work together for maternal and newborn survival and wellbeing</w:t>
      </w:r>
      <w:r w:rsidR="00D43135" w:rsidRPr="207B3016">
        <w:t xml:space="preserve">, with the possibility to expand and include child health </w:t>
      </w:r>
      <w:bookmarkStart w:id="1" w:name="_Int_NqOyLq4V"/>
      <w:r w:rsidR="00D43135" w:rsidRPr="207B3016">
        <w:t>in the near future</w:t>
      </w:r>
      <w:bookmarkEnd w:id="1"/>
      <w:r w:rsidR="00D43135" w:rsidRPr="207B3016">
        <w:t>.</w:t>
      </w:r>
    </w:p>
    <w:p w14:paraId="5CE5E2C2" w14:textId="17780E6A" w:rsidR="00A111DF" w:rsidRPr="007D0919" w:rsidRDefault="00DE396A" w:rsidP="40D83AD3">
      <w:pPr>
        <w:spacing w:line="240" w:lineRule="auto"/>
        <w:jc w:val="both"/>
      </w:pPr>
      <w:r w:rsidRPr="207B3016">
        <w:t xml:space="preserve">ENAP and EPMM </w:t>
      </w:r>
      <w:r w:rsidR="00FA2CFF" w:rsidRPr="207B3016">
        <w:t xml:space="preserve">and mechanisms that support the achievement of the ENAP and EPMM goals and target such as MPDSR </w:t>
      </w:r>
      <w:r w:rsidRPr="207B3016">
        <w:t xml:space="preserve">currently all have distinct webpages on the </w:t>
      </w:r>
      <w:bookmarkStart w:id="2" w:name="_Int_oguF2gm4"/>
      <w:r w:rsidRPr="207B3016">
        <w:t>WHO</w:t>
      </w:r>
      <w:bookmarkEnd w:id="2"/>
      <w:r w:rsidRPr="207B3016">
        <w:t xml:space="preserve"> website, with overlapping audiences, and no de</w:t>
      </w:r>
      <w:r w:rsidR="00B51670" w:rsidRPr="207B3016">
        <w:t>dic</w:t>
      </w:r>
      <w:r w:rsidRPr="207B3016">
        <w:t>ated knowledge repository or learning platform. This results in limited engagement with the</w:t>
      </w:r>
      <w:r w:rsidR="00676ADB" w:rsidRPr="207B3016">
        <w:t>i</w:t>
      </w:r>
      <w:r w:rsidRPr="207B3016">
        <w:t xml:space="preserve">r audiences </w:t>
      </w:r>
      <w:r w:rsidR="00676ADB" w:rsidRPr="207B3016">
        <w:t xml:space="preserve">and </w:t>
      </w:r>
      <w:bookmarkStart w:id="3" w:name="_Int_BI5Ov0FQ"/>
      <w:r w:rsidR="00676ADB" w:rsidRPr="207B3016">
        <w:t>to some extent a</w:t>
      </w:r>
      <w:bookmarkEnd w:id="3"/>
      <w:r w:rsidR="00676ADB" w:rsidRPr="207B3016">
        <w:t xml:space="preserve"> duplication of efforts in </w:t>
      </w:r>
      <w:r w:rsidR="00336682" w:rsidRPr="207B3016">
        <w:t>communicating the urgency, priority ac</w:t>
      </w:r>
      <w:r w:rsidR="00E069F8" w:rsidRPr="207B3016">
        <w:t>t</w:t>
      </w:r>
      <w:r w:rsidR="00336682" w:rsidRPr="207B3016">
        <w:t>ion</w:t>
      </w:r>
      <w:r w:rsidR="00AB3ECD" w:rsidRPr="207B3016">
        <w:t>s</w:t>
      </w:r>
      <w:r w:rsidR="00336682" w:rsidRPr="207B3016">
        <w:t xml:space="preserve"> and impact of en</w:t>
      </w:r>
      <w:r w:rsidR="00AB3ECD" w:rsidRPr="207B3016">
        <w:t>ding</w:t>
      </w:r>
      <w:r w:rsidR="00336682" w:rsidRPr="207B3016">
        <w:t xml:space="preserve"> preventable maternal and newborn deaths an</w:t>
      </w:r>
      <w:r w:rsidR="00E069F8" w:rsidRPr="207B3016">
        <w:t>d</w:t>
      </w:r>
      <w:r w:rsidR="00336682" w:rsidRPr="207B3016">
        <w:t xml:space="preserve"> stillbirths.</w:t>
      </w:r>
      <w:r w:rsidR="00FA2CFF" w:rsidRPr="207B3016">
        <w:t xml:space="preserve"> Additionally, the </w:t>
      </w:r>
      <w:bookmarkStart w:id="4" w:name="_Int_GdLBH8a9"/>
      <w:r w:rsidR="00FA2CFF" w:rsidRPr="207B3016">
        <w:rPr>
          <w:rStyle w:val="Hyperlink"/>
          <w:color w:val="4471C4"/>
        </w:rPr>
        <w:t>Quality of Care</w:t>
      </w:r>
      <w:bookmarkEnd w:id="4"/>
      <w:r w:rsidR="00FA2CFF" w:rsidRPr="207B3016">
        <w:rPr>
          <w:rStyle w:val="Hyperlink"/>
          <w:color w:val="4471C4"/>
        </w:rPr>
        <w:t xml:space="preserve"> Network</w:t>
      </w:r>
      <w:r w:rsidR="00FA2CFF" w:rsidRPr="207B3016">
        <w:rPr>
          <w:color w:val="4471C4"/>
        </w:rPr>
        <w:t xml:space="preserve"> </w:t>
      </w:r>
      <w:r w:rsidR="00FA2CFF" w:rsidRPr="207B3016">
        <w:t>website</w:t>
      </w:r>
      <w:r w:rsidR="005A2959" w:rsidRPr="207B3016">
        <w:t xml:space="preserve"> </w:t>
      </w:r>
      <w:r w:rsidR="00243579" w:rsidRPr="207B3016">
        <w:t xml:space="preserve">is currently a separate entity and </w:t>
      </w:r>
      <w:r w:rsidR="005A2959" w:rsidRPr="207B3016">
        <w:t>will be incorporated into the new</w:t>
      </w:r>
      <w:r w:rsidR="006947EC" w:rsidRPr="207B3016">
        <w:t xml:space="preserve"> website. </w:t>
      </w:r>
    </w:p>
    <w:p w14:paraId="38082067" w14:textId="0FEC03C4" w:rsidR="00492EB1" w:rsidRDefault="00336682" w:rsidP="40D83AD3">
      <w:pPr>
        <w:spacing w:line="240" w:lineRule="auto"/>
        <w:jc w:val="both"/>
      </w:pPr>
      <w:r w:rsidRPr="40D83AD3">
        <w:t xml:space="preserve">This </w:t>
      </w:r>
      <w:r w:rsidR="00B445EC" w:rsidRPr="40D83AD3">
        <w:t xml:space="preserve">new </w:t>
      </w:r>
      <w:r w:rsidRPr="40D83AD3">
        <w:t>website wil</w:t>
      </w:r>
      <w:r w:rsidR="00E069F8" w:rsidRPr="40D83AD3">
        <w:t>l collect and share the assets</w:t>
      </w:r>
      <w:r w:rsidR="00AB3ECD" w:rsidRPr="40D83AD3">
        <w:t xml:space="preserve">, </w:t>
      </w:r>
      <w:r w:rsidR="550EBE40" w:rsidRPr="40D83AD3">
        <w:t>progress,</w:t>
      </w:r>
      <w:r w:rsidR="00E069F8" w:rsidRPr="40D83AD3">
        <w:t xml:space="preserve"> and e</w:t>
      </w:r>
      <w:r w:rsidR="006947EC" w:rsidRPr="40D83AD3">
        <w:t>x</w:t>
      </w:r>
      <w:r w:rsidR="00E069F8" w:rsidRPr="40D83AD3">
        <w:t>perience</w:t>
      </w:r>
      <w:r w:rsidR="00AB3ECD" w:rsidRPr="40D83AD3">
        <w:t>s</w:t>
      </w:r>
      <w:r w:rsidR="00E069F8" w:rsidRPr="40D83AD3">
        <w:t xml:space="preserve"> of all three initiatives</w:t>
      </w:r>
      <w:r w:rsidR="00337B9F" w:rsidRPr="40D83AD3">
        <w:t xml:space="preserve"> (ENAP, EPMM and MPDSR)</w:t>
      </w:r>
      <w:r w:rsidR="00336745" w:rsidRPr="40D83AD3">
        <w:t xml:space="preserve">, as well as </w:t>
      </w:r>
      <w:r w:rsidR="5E73FDEC" w:rsidRPr="40D83AD3">
        <w:t xml:space="preserve">midwifery work and </w:t>
      </w:r>
      <w:r w:rsidR="00336745" w:rsidRPr="40D83AD3">
        <w:t xml:space="preserve">the </w:t>
      </w:r>
      <w:bookmarkStart w:id="5" w:name="_Int_wBBqM3KN"/>
      <w:r w:rsidR="00336745" w:rsidRPr="40D83AD3">
        <w:t>Quality of Care</w:t>
      </w:r>
      <w:bookmarkEnd w:id="5"/>
      <w:r w:rsidR="00336745" w:rsidRPr="40D83AD3">
        <w:t xml:space="preserve"> Network</w:t>
      </w:r>
      <w:r w:rsidR="00D43135" w:rsidRPr="40D83AD3">
        <w:t xml:space="preserve"> </w:t>
      </w:r>
      <w:r w:rsidRPr="40D83AD3">
        <w:t xml:space="preserve">to provide policymakers and programme managers with a single, consolidated tracking, learning and advocacy resource in their efforts to reduce preventable maternal and newborn deaths and stillbirths. </w:t>
      </w:r>
      <w:r w:rsidR="00D43135" w:rsidRPr="40D83AD3">
        <w:t xml:space="preserve">It will also be designed for growth, with a view to include resources, learning and data on child health in a second phase of development. </w:t>
      </w:r>
      <w:r w:rsidR="00582C9C" w:rsidRPr="40D83AD3">
        <w:t>The</w:t>
      </w:r>
      <w:r w:rsidR="009615E2" w:rsidRPr="40D83AD3">
        <w:t xml:space="preserve"> 90+</w:t>
      </w:r>
      <w:r w:rsidR="00582C9C" w:rsidRPr="40D83AD3">
        <w:t xml:space="preserve"> countries </w:t>
      </w:r>
      <w:r w:rsidR="00E069F8" w:rsidRPr="40D83AD3">
        <w:t xml:space="preserve">working to implement the </w:t>
      </w:r>
      <w:r w:rsidR="009615E2" w:rsidRPr="40D83AD3">
        <w:t>ENAP</w:t>
      </w:r>
      <w:r w:rsidR="00FA2CFF" w:rsidRPr="40D83AD3">
        <w:t xml:space="preserve"> EPMM</w:t>
      </w:r>
      <w:r w:rsidR="009615E2" w:rsidRPr="40D83AD3">
        <w:t xml:space="preserve"> </w:t>
      </w:r>
      <w:r w:rsidR="00E069F8" w:rsidRPr="40D83AD3">
        <w:t>recommendations</w:t>
      </w:r>
      <w:r w:rsidR="00FA2CFF" w:rsidRPr="40D83AD3">
        <w:t xml:space="preserve"> </w:t>
      </w:r>
      <w:r w:rsidR="009615E2" w:rsidRPr="40D83AD3">
        <w:t xml:space="preserve">have accrued </w:t>
      </w:r>
      <w:r w:rsidR="00582C9C" w:rsidRPr="40D83AD3">
        <w:t xml:space="preserve">a wealth of experience </w:t>
      </w:r>
      <w:r w:rsidR="00D92982" w:rsidRPr="40D83AD3">
        <w:t xml:space="preserve">on what </w:t>
      </w:r>
      <w:r w:rsidR="00582C9C" w:rsidRPr="40D83AD3">
        <w:t>it take</w:t>
      </w:r>
      <w:r w:rsidR="00D92982" w:rsidRPr="40D83AD3">
        <w:t>s</w:t>
      </w:r>
      <w:r w:rsidR="00582C9C" w:rsidRPr="40D83AD3">
        <w:t xml:space="preserve"> to make an impact in redu</w:t>
      </w:r>
      <w:r w:rsidR="00D92982" w:rsidRPr="40D83AD3">
        <w:t>cin</w:t>
      </w:r>
      <w:r w:rsidR="00582C9C" w:rsidRPr="40D83AD3">
        <w:t>g maternal and newborn deaths.</w:t>
      </w:r>
      <w:r w:rsidR="00D92982" w:rsidRPr="40D83AD3">
        <w:t xml:space="preserve"> In addition, resources to support and track </w:t>
      </w:r>
      <w:r w:rsidR="00FA2CFF" w:rsidRPr="40D83AD3">
        <w:t xml:space="preserve">quality of care, </w:t>
      </w:r>
      <w:r w:rsidR="00D92982" w:rsidRPr="40D83AD3">
        <w:t xml:space="preserve">MPDSR </w:t>
      </w:r>
      <w:r w:rsidR="00FA2CFF" w:rsidRPr="40D83AD3">
        <w:t xml:space="preserve">and further programme </w:t>
      </w:r>
      <w:r w:rsidR="00D92982" w:rsidRPr="40D83AD3">
        <w:t>implementation at subnational levels would help inform policy making and program</w:t>
      </w:r>
      <w:r w:rsidR="00FA2CFF" w:rsidRPr="40D83AD3">
        <w:t>me</w:t>
      </w:r>
      <w:r w:rsidR="00D92982" w:rsidRPr="40D83AD3">
        <w:t xml:space="preserve"> design. </w:t>
      </w:r>
      <w:r w:rsidR="00582C9C" w:rsidRPr="40D83AD3">
        <w:t>It is that experience</w:t>
      </w:r>
      <w:r w:rsidR="006947EC" w:rsidRPr="40D83AD3">
        <w:t xml:space="preserve"> and </w:t>
      </w:r>
      <w:r w:rsidR="00582C9C" w:rsidRPr="40D83AD3">
        <w:t>knowledge</w:t>
      </w:r>
      <w:r w:rsidR="00243579" w:rsidRPr="40D83AD3">
        <w:t xml:space="preserve">, backed up with data from the </w:t>
      </w:r>
      <w:r w:rsidR="006947EC" w:rsidRPr="40D83AD3">
        <w:t>MCA data porta</w:t>
      </w:r>
      <w:r w:rsidR="00243579" w:rsidRPr="40D83AD3">
        <w:t>l</w:t>
      </w:r>
      <w:r w:rsidR="00243579" w:rsidRPr="40D83AD3">
        <w:rPr>
          <w:rStyle w:val="FootnoteReference"/>
        </w:rPr>
        <w:footnoteReference w:id="1"/>
      </w:r>
      <w:r w:rsidR="00243579" w:rsidRPr="40D83AD3">
        <w:t xml:space="preserve"> </w:t>
      </w:r>
      <w:r w:rsidR="006947EC" w:rsidRPr="40D83AD3">
        <w:t>t</w:t>
      </w:r>
      <w:r w:rsidR="00582C9C" w:rsidRPr="40D83AD3">
        <w:t>hat the web</w:t>
      </w:r>
      <w:r w:rsidR="00ED6171" w:rsidRPr="40D83AD3">
        <w:t>si</w:t>
      </w:r>
      <w:r w:rsidR="00582C9C" w:rsidRPr="40D83AD3">
        <w:t xml:space="preserve">te </w:t>
      </w:r>
      <w:r w:rsidR="323990A3" w:rsidRPr="40D83AD3">
        <w:t xml:space="preserve">aims </w:t>
      </w:r>
      <w:r w:rsidR="00582C9C" w:rsidRPr="40D83AD3">
        <w:t xml:space="preserve">to </w:t>
      </w:r>
      <w:r w:rsidR="00D92982" w:rsidRPr="40D83AD3">
        <w:t xml:space="preserve">bring together and </w:t>
      </w:r>
      <w:r w:rsidR="00582C9C" w:rsidRPr="40D83AD3">
        <w:t>capitalize on to accelerate progress</w:t>
      </w:r>
      <w:r w:rsidR="0237A260" w:rsidRPr="40D83AD3">
        <w:t xml:space="preserve">. </w:t>
      </w:r>
      <w:r w:rsidR="23033114" w:rsidRPr="40D83AD3">
        <w:t xml:space="preserve">  </w:t>
      </w:r>
      <w:r w:rsidR="784BFDD0" w:rsidRPr="40D83AD3">
        <w:t>AlignMNH</w:t>
      </w:r>
      <w:r w:rsidR="09706B21" w:rsidRPr="40D83AD3">
        <w:t xml:space="preserve"> is already </w:t>
      </w:r>
      <w:r w:rsidR="784BFDD0" w:rsidRPr="40D83AD3">
        <w:t>work</w:t>
      </w:r>
      <w:r w:rsidR="43E7EDC7" w:rsidRPr="40D83AD3">
        <w:t>in</w:t>
      </w:r>
      <w:r w:rsidR="0C350FF3" w:rsidRPr="40D83AD3">
        <w:t>g</w:t>
      </w:r>
      <w:r w:rsidR="4DF729C6" w:rsidRPr="40D83AD3">
        <w:t xml:space="preserve"> </w:t>
      </w:r>
      <w:r w:rsidR="784BFDD0" w:rsidRPr="40D83AD3">
        <w:t>to nurture collaboration, streamline knowledge sharing and address kn</w:t>
      </w:r>
      <w:r w:rsidR="48D046E4" w:rsidRPr="40D83AD3">
        <w:t>owl</w:t>
      </w:r>
      <w:r w:rsidR="7BBD1722" w:rsidRPr="40D83AD3">
        <w:t>edge gaps</w:t>
      </w:r>
      <w:r w:rsidR="0D492BDE" w:rsidRPr="40D83AD3">
        <w:t xml:space="preserve">; we </w:t>
      </w:r>
      <w:r w:rsidR="55AD37AA" w:rsidRPr="40D83AD3">
        <w:t>envision the new website as a complementary resource</w:t>
      </w:r>
      <w:r w:rsidR="61C709AD" w:rsidRPr="40D83AD3">
        <w:t xml:space="preserve"> to </w:t>
      </w:r>
      <w:r w:rsidR="233A6060" w:rsidRPr="40D83AD3">
        <w:t xml:space="preserve">fuel advocacy for maternal and newborn health. </w:t>
      </w:r>
    </w:p>
    <w:p w14:paraId="04D77F9E" w14:textId="77777777" w:rsidR="00EF2260" w:rsidRDefault="00EF2260" w:rsidP="40D83AD3">
      <w:pPr>
        <w:spacing w:line="240" w:lineRule="auto"/>
        <w:jc w:val="both"/>
      </w:pPr>
    </w:p>
    <w:p w14:paraId="0CA94E29" w14:textId="5887AD47" w:rsidR="00EF2260" w:rsidRPr="00D92982" w:rsidRDefault="00EF2260" w:rsidP="40D83AD3">
      <w:pPr>
        <w:spacing w:line="240" w:lineRule="auto"/>
        <w:jc w:val="both"/>
      </w:pPr>
      <w:r w:rsidRPr="007D0919">
        <w:rPr>
          <w:rFonts w:eastAsia="Times New Roman" w:cstheme="minorHAnsi"/>
          <w:b/>
          <w:bCs/>
          <w:noProof/>
          <w:color w:val="222222"/>
          <w:shd w:val="clear" w:color="auto" w:fill="E6E6E6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0F74E7" wp14:editId="3404A247">
                <wp:simplePos x="0" y="0"/>
                <wp:positionH relativeFrom="margin">
                  <wp:posOffset>0</wp:posOffset>
                </wp:positionH>
                <wp:positionV relativeFrom="paragraph">
                  <wp:posOffset>317500</wp:posOffset>
                </wp:positionV>
                <wp:extent cx="5940425" cy="1495425"/>
                <wp:effectExtent l="0" t="0" r="2222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1495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83F3A" w14:textId="77777777" w:rsidR="00EF2260" w:rsidRDefault="00EF2260" w:rsidP="00EF2260">
                            <w:pP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bookmarkStart w:id="6" w:name="_Hlk142905529"/>
                            <w:bookmarkStart w:id="7" w:name="_Hlk142905530"/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lang w:eastAsia="en-GB"/>
                              </w:rPr>
                              <w:t>Value proposition of the website</w:t>
                            </w:r>
                            <w:r w:rsidRPr="00814F38"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10E8715" w14:textId="77777777" w:rsidR="00EF2260" w:rsidRDefault="00EF2260" w:rsidP="00EF2260">
                            <w:pPr>
                              <w:rPr>
                                <w:color w:val="000000" w:themeColor="text1"/>
                              </w:rPr>
                            </w:pPr>
                            <w:r w:rsidRPr="00662D61">
                              <w:rPr>
                                <w:color w:val="000000" w:themeColor="text1"/>
                              </w:rPr>
                              <w:t xml:space="preserve">Rooted in country experience, the website will provide evidence, guidance, progress tracking and learning to help stakeholders improve maternal and newborn health and wellbeing. </w:t>
                            </w:r>
                          </w:p>
                          <w:p w14:paraId="056129DE" w14:textId="77777777" w:rsidR="00EF2260" w:rsidRDefault="00EF2260" w:rsidP="00EF2260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It is built on the experience from countries that have been rolling out newborn action plans, developing and implementing ENAP/EPMM maternal and newborn health acceleration plans and the activities that are key to progress, including MPDSR systems. </w:t>
                            </w:r>
                          </w:p>
                          <w:bookmarkEnd w:id="6"/>
                          <w:bookmarkEnd w:id="7"/>
                          <w:p w14:paraId="7B8FD913" w14:textId="77777777" w:rsidR="00EF2260" w:rsidRDefault="00EF2260" w:rsidP="00EF2260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222222"/>
                                <w:sz w:val="20"/>
                                <w:szCs w:val="20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F74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5pt;width:467.75pt;height:11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" fillcolor="#b4c6e7 [1300]" strokecolor="#8eaadb [1940]">
                <v:textbox>
                  <w:txbxContent>
                    <w:p w14:paraId="56283F3A" w14:textId="77777777" w:rsidR="00EF2260" w:rsidRDefault="00EF2260" w:rsidP="00EF2260">
                      <w:pPr>
                        <w:rPr>
                          <w:rFonts w:ascii="Calibri" w:hAnsi="Calibri" w:cs="Calibri"/>
                          <w:i/>
                          <w:iCs/>
                          <w:sz w:val="20"/>
                          <w:szCs w:val="20"/>
                        </w:rPr>
                      </w:pPr>
                      <w:bookmarkStart w:id="8" w:name="_Hlk142905529"/>
                      <w:bookmarkStart w:id="9" w:name="_Hlk142905530"/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222222"/>
                          <w:sz w:val="20"/>
                          <w:szCs w:val="20"/>
                          <w:lang w:eastAsia="en-GB"/>
                        </w:rPr>
                        <w:t>Value proposition of the website</w:t>
                      </w:r>
                      <w:r w:rsidRPr="00814F38">
                        <w:rPr>
                          <w:rFonts w:ascii="Calibri" w:hAnsi="Calibri" w:cs="Calibr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10E8715" w14:textId="77777777" w:rsidR="00EF2260" w:rsidRDefault="00EF2260" w:rsidP="00EF2260">
                      <w:pPr>
                        <w:rPr>
                          <w:color w:val="000000" w:themeColor="text1"/>
                        </w:rPr>
                      </w:pPr>
                      <w:r w:rsidRPr="00662D61">
                        <w:rPr>
                          <w:color w:val="000000" w:themeColor="text1"/>
                        </w:rPr>
                        <w:t xml:space="preserve">Rooted in country experience, the website will provide evidence, guidance, progress tracking and learning to help stakeholders improve maternal and newborn health and wellbeing. </w:t>
                      </w:r>
                    </w:p>
                    <w:p w14:paraId="056129DE" w14:textId="77777777" w:rsidR="00EF2260" w:rsidRDefault="00EF2260" w:rsidP="00EF2260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It is built on the experience from countries that have been rolling out newborn action plans, developing and implementing ENAP/EPMM maternal and newborn health acceleration plans and the activities that are key to progress, including MPDSR systems. </w:t>
                      </w:r>
                    </w:p>
                    <w:bookmarkEnd w:id="8"/>
                    <w:bookmarkEnd w:id="9"/>
                    <w:p w14:paraId="7B8FD913" w14:textId="77777777" w:rsidR="00EF2260" w:rsidRDefault="00EF2260" w:rsidP="00EF2260">
                      <w:pPr>
                        <w:rPr>
                          <w:rFonts w:ascii="Calibri" w:eastAsia="Times New Roman" w:hAnsi="Calibri" w:cs="Calibri"/>
                          <w:b/>
                          <w:bCs/>
                          <w:color w:val="222222"/>
                          <w:sz w:val="20"/>
                          <w:szCs w:val="20"/>
                          <w:lang w:eastAsia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42B46A" w14:textId="0184D491" w:rsidR="001614B8" w:rsidRDefault="004113C7" w:rsidP="007D0919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b/>
          <w:color w:val="0070C0"/>
          <w:sz w:val="22"/>
          <w:szCs w:val="22"/>
          <w:lang w:val="en-US"/>
        </w:rPr>
      </w:pPr>
      <w:r w:rsidRPr="00E069F8">
        <w:rPr>
          <w:rFonts w:asciiTheme="minorHAnsi" w:hAnsiTheme="minorHAnsi" w:cstheme="minorHAnsi"/>
          <w:b/>
          <w:color w:val="0070C0"/>
          <w:sz w:val="22"/>
          <w:szCs w:val="22"/>
          <w:lang w:val="en-US"/>
        </w:rPr>
        <w:t>Goal and objectives of the website</w:t>
      </w:r>
      <w:r w:rsidR="001614B8" w:rsidRPr="00E069F8">
        <w:rPr>
          <w:rFonts w:asciiTheme="minorHAnsi" w:hAnsiTheme="minorHAnsi" w:cstheme="minorHAnsi"/>
          <w:b/>
          <w:color w:val="0070C0"/>
          <w:sz w:val="22"/>
          <w:szCs w:val="22"/>
          <w:lang w:val="en-US"/>
        </w:rPr>
        <w:t xml:space="preserve"> </w:t>
      </w:r>
    </w:p>
    <w:p w14:paraId="4C1BF0C1" w14:textId="54AC4BB9" w:rsidR="00D92982" w:rsidRPr="007D0919" w:rsidRDefault="000142ED" w:rsidP="007D0919">
      <w:pPr>
        <w:pStyle w:val="BodyA"/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The main goal of the website is </w:t>
      </w:r>
      <w:r w:rsidR="00C1350D">
        <w:rPr>
          <w:rFonts w:asciiTheme="minorHAnsi" w:hAnsiTheme="minorHAnsi" w:cstheme="minorHAnsi"/>
          <w:position w:val="-16"/>
          <w:sz w:val="22"/>
          <w:szCs w:val="22"/>
          <w:lang w:val="en-US"/>
        </w:rPr>
        <w:t>to support</w:t>
      </w:r>
      <w:r w:rsidR="00D92982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</w:t>
      </w:r>
      <w:r w:rsidR="00662D61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stakeholders </w:t>
      </w:r>
      <w:r w:rsidRPr="007D0919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in their efforts to accelerate the reduction of maternal and newborn deaths and stillbirths. </w:t>
      </w:r>
    </w:p>
    <w:p w14:paraId="318F4D1C" w14:textId="09F3E284" w:rsidR="000142ED" w:rsidRPr="007D0919" w:rsidRDefault="000142ED" w:rsidP="007D0919">
      <w:pPr>
        <w:pStyle w:val="BodyA"/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position w:val="-16"/>
          <w:sz w:val="22"/>
          <w:szCs w:val="22"/>
          <w:lang w:val="en-US"/>
        </w:rPr>
        <w:t>The website proposes to do</w:t>
      </w:r>
      <w:r w:rsidR="00336745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so</w:t>
      </w:r>
      <w:r w:rsidRPr="007D0919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by pursuing </w:t>
      </w:r>
      <w:r w:rsidR="00336745">
        <w:rPr>
          <w:rFonts w:asciiTheme="minorHAnsi" w:hAnsiTheme="minorHAnsi" w:cstheme="minorHAnsi"/>
          <w:position w:val="-16"/>
          <w:sz w:val="22"/>
          <w:szCs w:val="22"/>
          <w:lang w:val="en-US"/>
        </w:rPr>
        <w:t>four</w:t>
      </w:r>
      <w:r w:rsidRPr="007D0919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objectives: </w:t>
      </w:r>
    </w:p>
    <w:p w14:paraId="618DF965" w14:textId="367ACEEB" w:rsidR="000142ED" w:rsidRPr="007D0919" w:rsidRDefault="000142ED" w:rsidP="207B3016">
      <w:pPr>
        <w:pStyle w:val="BodyA"/>
        <w:numPr>
          <w:ilvl w:val="0"/>
          <w:numId w:val="15"/>
        </w:numPr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Track </w:t>
      </w:r>
      <w:r w:rsidR="00AAECA0"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country-level </w:t>
      </w:r>
      <w:r w:rsidRPr="207B3016">
        <w:rPr>
          <w:rFonts w:asciiTheme="minorHAnsi" w:hAnsiTheme="minorHAnsi" w:cstheme="minorBidi"/>
          <w:color w:val="0070C0"/>
          <w:position w:val="-16"/>
          <w:sz w:val="22"/>
          <w:szCs w:val="22"/>
          <w:lang w:val="en-US"/>
        </w:rPr>
        <w:t>progress</w:t>
      </w: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</w:t>
      </w:r>
      <w:r w:rsidR="00B03BA9"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>to support</w:t>
      </w:r>
      <w:r w:rsidR="00982CAB"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accountability</w:t>
      </w:r>
      <w:r w:rsidR="00747A86">
        <w:rPr>
          <w:rFonts w:asciiTheme="minorHAnsi" w:hAnsiTheme="minorHAnsi" w:cstheme="minorBidi"/>
          <w:position w:val="-16"/>
          <w:sz w:val="22"/>
          <w:szCs w:val="22"/>
          <w:lang w:val="en-US"/>
        </w:rPr>
        <w:t>.</w:t>
      </w:r>
    </w:p>
    <w:p w14:paraId="1EA589CF" w14:textId="555AD516" w:rsidR="000142ED" w:rsidRPr="007D0919" w:rsidRDefault="000142ED" w:rsidP="007D0919">
      <w:pPr>
        <w:pStyle w:val="BodyA"/>
        <w:numPr>
          <w:ilvl w:val="0"/>
          <w:numId w:val="15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Facilitate </w:t>
      </w:r>
      <w:r w:rsidRPr="207B3016">
        <w:rPr>
          <w:rFonts w:asciiTheme="minorHAnsi" w:hAnsiTheme="minorHAnsi" w:cstheme="minorBidi"/>
          <w:color w:val="0070C0"/>
          <w:position w:val="-16"/>
          <w:sz w:val="22"/>
          <w:szCs w:val="22"/>
          <w:lang w:val="en-US"/>
        </w:rPr>
        <w:t xml:space="preserve">learning </w:t>
      </w: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to support implementation and accelerate </w:t>
      </w:r>
      <w:r w:rsidR="00C1350D"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>progress.</w:t>
      </w:r>
    </w:p>
    <w:p w14:paraId="4FA4962D" w14:textId="43D0FB15" w:rsidR="000142ED" w:rsidRDefault="00B82016" w:rsidP="007D0919">
      <w:pPr>
        <w:pStyle w:val="BodyA"/>
        <w:numPr>
          <w:ilvl w:val="0"/>
          <w:numId w:val="15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>Inform</w:t>
      </w:r>
      <w:r w:rsidR="000142ED" w:rsidRPr="207B3016">
        <w:rPr>
          <w:rFonts w:asciiTheme="minorHAnsi" w:hAnsiTheme="minorHAnsi" w:cstheme="minorBidi"/>
          <w:color w:val="0070C0"/>
          <w:position w:val="-16"/>
          <w:sz w:val="22"/>
          <w:szCs w:val="22"/>
          <w:lang w:val="en-US"/>
        </w:rPr>
        <w:t xml:space="preserve"> </w:t>
      </w:r>
      <w:r w:rsidR="00492EB1">
        <w:rPr>
          <w:rFonts w:asciiTheme="minorHAnsi" w:hAnsiTheme="minorHAnsi" w:cstheme="minorBidi"/>
          <w:color w:val="0070C0"/>
          <w:position w:val="-16"/>
          <w:sz w:val="22"/>
          <w:szCs w:val="22"/>
          <w:lang w:val="en-US"/>
        </w:rPr>
        <w:t xml:space="preserve">evidence-based </w:t>
      </w:r>
      <w:r w:rsidR="00662D61">
        <w:rPr>
          <w:rFonts w:asciiTheme="minorHAnsi" w:hAnsiTheme="minorHAnsi" w:cstheme="minorBidi"/>
          <w:color w:val="0070C0"/>
          <w:position w:val="-16"/>
          <w:sz w:val="22"/>
          <w:szCs w:val="22"/>
          <w:lang w:val="en-US"/>
        </w:rPr>
        <w:t xml:space="preserve">technical advocacy </w:t>
      </w:r>
      <w:r w:rsidR="00662D61" w:rsidRPr="00662D61">
        <w:rPr>
          <w:rFonts w:asciiTheme="minorHAnsi" w:hAnsiTheme="minorHAnsi" w:cstheme="minorBidi"/>
          <w:color w:val="000000" w:themeColor="text1"/>
          <w:position w:val="-16"/>
          <w:sz w:val="22"/>
          <w:szCs w:val="22"/>
          <w:lang w:val="en-US"/>
        </w:rPr>
        <w:t>t</w:t>
      </w:r>
      <w:r w:rsidR="000142ED" w:rsidRPr="00662D61">
        <w:rPr>
          <w:rFonts w:asciiTheme="minorHAnsi" w:hAnsiTheme="minorHAnsi" w:cstheme="minorBidi"/>
          <w:color w:val="000000" w:themeColor="text1"/>
          <w:position w:val="-16"/>
          <w:sz w:val="22"/>
          <w:szCs w:val="22"/>
          <w:lang w:val="en-US"/>
        </w:rPr>
        <w:t>o</w:t>
      </w:r>
      <w:r w:rsidR="000142ED"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reduce preventable maternal and newborn deaths and stillbirths</w:t>
      </w:r>
      <w:r w:rsidRPr="207B3016">
        <w:rPr>
          <w:rFonts w:asciiTheme="minorHAnsi" w:hAnsiTheme="minorHAnsi" w:cstheme="minorBidi"/>
          <w:position w:val="-16"/>
          <w:sz w:val="22"/>
          <w:szCs w:val="22"/>
          <w:lang w:val="en-US"/>
        </w:rPr>
        <w:t>.</w:t>
      </w:r>
    </w:p>
    <w:p w14:paraId="3222D674" w14:textId="4214D185" w:rsidR="00FA2CFF" w:rsidRDefault="00FA2CFF" w:rsidP="40D83AD3">
      <w:pPr>
        <w:pStyle w:val="BodyA"/>
        <w:numPr>
          <w:ilvl w:val="0"/>
          <w:numId w:val="15"/>
        </w:numPr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Communicate the work in progress led by the ENAP</w:t>
      </w:r>
      <w:r w:rsidR="00337B9F"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,</w:t>
      </w:r>
      <w:r w:rsidR="7D9C4018"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</w:t>
      </w: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EPMM</w:t>
      </w:r>
      <w:r w:rsidR="00337B9F"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, MPDSR</w:t>
      </w: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</w:t>
      </w:r>
      <w:r w:rsidR="00337B9F"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and QoC </w:t>
      </w: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teams, chaired by WHO, </w:t>
      </w:r>
      <w:bookmarkStart w:id="10" w:name="_Int_eTM18vTM"/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UNICEF</w:t>
      </w:r>
      <w:bookmarkEnd w:id="10"/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and UNFPA </w:t>
      </w:r>
      <w:r w:rsidR="00662D61">
        <w:rPr>
          <w:rFonts w:asciiTheme="minorHAnsi" w:hAnsiTheme="minorHAnsi" w:cstheme="minorBidi"/>
          <w:position w:val="-16"/>
          <w:sz w:val="22"/>
          <w:szCs w:val="22"/>
          <w:lang w:val="en-US"/>
        </w:rPr>
        <w:t>through impact stories and lessons.</w:t>
      </w:r>
    </w:p>
    <w:p w14:paraId="37827890" w14:textId="6C4C3166" w:rsidR="40D83AD3" w:rsidRDefault="40D83AD3" w:rsidP="40D83AD3">
      <w:pPr>
        <w:pStyle w:val="BodyA"/>
        <w:rPr>
          <w:color w:val="000000" w:themeColor="text1"/>
          <w:lang w:val="en-US"/>
        </w:rPr>
      </w:pPr>
    </w:p>
    <w:p w14:paraId="04EF5AB6" w14:textId="3D0ECC01" w:rsidR="00522D7F" w:rsidRPr="00EF2260" w:rsidRDefault="00747A86" w:rsidP="007D0919">
      <w:pPr>
        <w:pStyle w:val="BodyA"/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</w:rPr>
      </w:pPr>
      <w:r w:rsidRPr="00EF2260"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</w:rPr>
        <w:t>Target</w:t>
      </w:r>
      <w:r w:rsidR="00522D7F" w:rsidRPr="00EF2260"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</w:rPr>
        <w:t xml:space="preserve"> audiences: </w:t>
      </w:r>
    </w:p>
    <w:p w14:paraId="13B00EAE" w14:textId="65C9F807" w:rsidR="00A96DDE" w:rsidRDefault="00522D7F" w:rsidP="00A96DDE">
      <w:pPr>
        <w:pStyle w:val="BodyA"/>
        <w:numPr>
          <w:ilvl w:val="0"/>
          <w:numId w:val="20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 w:rsidRPr="00A96DDE">
        <w:rPr>
          <w:rFonts w:asciiTheme="minorHAnsi" w:hAnsiTheme="minorHAnsi" w:cstheme="minorHAnsi"/>
          <w:position w:val="-16"/>
          <w:sz w:val="22"/>
          <w:szCs w:val="22"/>
        </w:rPr>
        <w:t xml:space="preserve">National governments, </w:t>
      </w:r>
      <w:r w:rsidR="00875724">
        <w:rPr>
          <w:rFonts w:asciiTheme="minorHAnsi" w:hAnsiTheme="minorHAnsi" w:cstheme="minorHAnsi"/>
          <w:position w:val="-16"/>
          <w:sz w:val="22"/>
          <w:szCs w:val="22"/>
        </w:rPr>
        <w:t xml:space="preserve">decisionmakers </w:t>
      </w:r>
      <w:r w:rsidRPr="00A96DDE">
        <w:rPr>
          <w:rFonts w:asciiTheme="minorHAnsi" w:hAnsiTheme="minorHAnsi" w:cstheme="minorHAnsi"/>
          <w:position w:val="-16"/>
          <w:sz w:val="22"/>
          <w:szCs w:val="22"/>
        </w:rPr>
        <w:t>who are involved in developing and funding m</w:t>
      </w:r>
      <w:r w:rsidR="00D53513" w:rsidRPr="00A96DDE">
        <w:rPr>
          <w:rFonts w:asciiTheme="minorHAnsi" w:hAnsiTheme="minorHAnsi" w:cstheme="minorHAnsi"/>
          <w:position w:val="-16"/>
          <w:sz w:val="22"/>
          <w:szCs w:val="22"/>
          <w:lang w:val="en-US"/>
        </w:rPr>
        <w:t>aternal and newborn health policies</w:t>
      </w:r>
      <w:r w:rsidR="00875724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and strategies</w:t>
      </w:r>
      <w:r w:rsidR="004E720A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 </w:t>
      </w:r>
    </w:p>
    <w:p w14:paraId="3B0C02F9" w14:textId="6EA7D459" w:rsidR="00E069F8" w:rsidRDefault="00522D7F" w:rsidP="40D83AD3">
      <w:pPr>
        <w:pStyle w:val="BodyA"/>
        <w:numPr>
          <w:ilvl w:val="0"/>
          <w:numId w:val="20"/>
        </w:numPr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>Health professional</w:t>
      </w:r>
      <w:r w:rsidR="00875724"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at national and subnational levels </w:t>
      </w:r>
      <w:r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who are involved in designing, </w:t>
      </w:r>
      <w:r w:rsidR="103D9809"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>resourcing,</w:t>
      </w:r>
      <w:r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 and implementing maternal and newborn health programmes</w:t>
      </w:r>
      <w:r w:rsidR="007F79A6"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, professional societies, </w:t>
      </w:r>
      <w:r w:rsid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>r</w:t>
      </w:r>
      <w:r w:rsidR="007F79A6" w:rsidRPr="007F79A6">
        <w:rPr>
          <w:rFonts w:asciiTheme="minorHAnsi" w:hAnsiTheme="minorHAnsi" w:cstheme="minorBidi"/>
          <w:position w:val="-16"/>
          <w:sz w:val="22"/>
          <w:szCs w:val="22"/>
          <w:lang w:val="en-US"/>
        </w:rPr>
        <w:t>egulatory bodies</w:t>
      </w:r>
    </w:p>
    <w:p w14:paraId="137CCCCD" w14:textId="77777777" w:rsidR="00747A86" w:rsidRDefault="00747A86" w:rsidP="00747A86">
      <w:pPr>
        <w:pStyle w:val="BodyA"/>
        <w:numPr>
          <w:ilvl w:val="0"/>
          <w:numId w:val="20"/>
        </w:numPr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>Advocates for maternal and newborn survival and health, at national, regional, and global levels.</w:t>
      </w:r>
    </w:p>
    <w:p w14:paraId="7EFBA876" w14:textId="10C87833" w:rsidR="007F79A6" w:rsidRDefault="007F79A6" w:rsidP="40D83AD3">
      <w:pPr>
        <w:pStyle w:val="BodyA"/>
        <w:numPr>
          <w:ilvl w:val="0"/>
          <w:numId w:val="20"/>
        </w:numPr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>
        <w:rPr>
          <w:rFonts w:asciiTheme="minorHAnsi" w:hAnsiTheme="minorHAnsi" w:cstheme="minorBidi"/>
          <w:position w:val="-16"/>
          <w:sz w:val="22"/>
          <w:szCs w:val="22"/>
          <w:lang w:val="en-US"/>
        </w:rPr>
        <w:t>Implementing partners: INGOs, NGOs, CSOs</w:t>
      </w:r>
    </w:p>
    <w:p w14:paraId="668A1503" w14:textId="77777777" w:rsidR="007F79A6" w:rsidRDefault="00E257C2" w:rsidP="00E257C2">
      <w:pPr>
        <w:pStyle w:val="BodyA"/>
        <w:numPr>
          <w:ilvl w:val="0"/>
          <w:numId w:val="20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Development partners: United Nations and other multilateral agencies, </w:t>
      </w:r>
      <w:r w:rsidR="007F79A6"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bilateral donors </w:t>
      </w:r>
    </w:p>
    <w:p w14:paraId="770069EF" w14:textId="77777777" w:rsidR="007F79A6" w:rsidRDefault="007F79A6" w:rsidP="00E257C2">
      <w:pPr>
        <w:pStyle w:val="BodyA"/>
        <w:numPr>
          <w:ilvl w:val="0"/>
          <w:numId w:val="20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>
        <w:rPr>
          <w:rFonts w:asciiTheme="minorHAnsi" w:hAnsiTheme="minorHAnsi" w:cstheme="minorHAnsi"/>
          <w:position w:val="-16"/>
          <w:sz w:val="22"/>
          <w:szCs w:val="22"/>
          <w:lang w:val="en-US"/>
        </w:rPr>
        <w:t>Academia</w:t>
      </w:r>
    </w:p>
    <w:p w14:paraId="692E3624" w14:textId="77777777" w:rsidR="007F79A6" w:rsidRDefault="007F79A6" w:rsidP="00E257C2">
      <w:pPr>
        <w:pStyle w:val="BodyA"/>
        <w:numPr>
          <w:ilvl w:val="0"/>
          <w:numId w:val="20"/>
        </w:numPr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  <w:r>
        <w:rPr>
          <w:rFonts w:asciiTheme="minorHAnsi" w:hAnsiTheme="minorHAnsi" w:cstheme="minorHAnsi"/>
          <w:position w:val="-16"/>
          <w:sz w:val="22"/>
          <w:szCs w:val="22"/>
          <w:lang w:val="en-US"/>
        </w:rPr>
        <w:t xml:space="preserve">Private sector </w:t>
      </w:r>
    </w:p>
    <w:p w14:paraId="4A4BB3F3" w14:textId="77777777" w:rsidR="00E257C2" w:rsidRDefault="00E257C2" w:rsidP="00E257C2">
      <w:pPr>
        <w:pStyle w:val="BodyA"/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</w:p>
    <w:p w14:paraId="12E84D5D" w14:textId="77777777" w:rsidR="00E257C2" w:rsidRPr="00060EF2" w:rsidRDefault="00E257C2" w:rsidP="00E257C2">
      <w:pPr>
        <w:pStyle w:val="BodyA"/>
        <w:rPr>
          <w:rFonts w:asciiTheme="minorHAnsi" w:hAnsiTheme="minorHAnsi" w:cstheme="minorHAnsi"/>
          <w:i/>
          <w:iCs/>
          <w:position w:val="-16"/>
          <w:sz w:val="22"/>
          <w:szCs w:val="22"/>
          <w:lang w:val="en-US"/>
        </w:rPr>
      </w:pPr>
      <w:r w:rsidRPr="00060EF2">
        <w:rPr>
          <w:rFonts w:asciiTheme="minorHAnsi" w:hAnsiTheme="minorHAnsi" w:cstheme="minorHAnsi"/>
          <w:i/>
          <w:iCs/>
          <w:position w:val="-16"/>
          <w:sz w:val="22"/>
          <w:szCs w:val="22"/>
          <w:lang w:val="en-US"/>
        </w:rPr>
        <w:t xml:space="preserve">Small scale opinion leader research to be conducted to determine what different audiences want and what matters the most to them. </w:t>
      </w:r>
    </w:p>
    <w:p w14:paraId="643A62C9" w14:textId="77777777" w:rsidR="00E257C2" w:rsidRDefault="00E257C2" w:rsidP="00E257C2">
      <w:pPr>
        <w:pStyle w:val="BodyA"/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</w:p>
    <w:p w14:paraId="3C33DC06" w14:textId="77777777" w:rsidR="00E257C2" w:rsidRPr="007D0919" w:rsidRDefault="00E257C2" w:rsidP="00E257C2">
      <w:pPr>
        <w:pStyle w:val="BodyA"/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  <w:lang w:val="en-US"/>
        </w:rPr>
        <w:t>Content type</w:t>
      </w:r>
      <w:r w:rsidRPr="007D0919">
        <w:rPr>
          <w:rFonts w:asciiTheme="minorHAnsi" w:hAnsiTheme="minorHAnsi" w:cstheme="minorHAnsi"/>
          <w:b/>
          <w:bCs/>
          <w:color w:val="0070C0"/>
          <w:position w:val="-16"/>
          <w:sz w:val="22"/>
          <w:szCs w:val="22"/>
          <w:lang w:val="en-US"/>
        </w:rPr>
        <w:t xml:space="preserve"> </w:t>
      </w:r>
      <w:r w:rsidRPr="006947EC">
        <w:rPr>
          <w:rFonts w:asciiTheme="minorHAnsi" w:hAnsiTheme="minorHAnsi" w:cstheme="minorHAnsi"/>
          <w:color w:val="0070C0"/>
          <w:position w:val="-16"/>
          <w:sz w:val="22"/>
          <w:szCs w:val="22"/>
          <w:lang w:val="en-US"/>
        </w:rPr>
        <w:t>(more details are in the website resource list)</w:t>
      </w:r>
    </w:p>
    <w:p w14:paraId="2C8C95B1" w14:textId="77777777" w:rsidR="00E257C2" w:rsidRPr="007D0919" w:rsidRDefault="00E257C2" w:rsidP="00E257C2">
      <w:pPr>
        <w:pStyle w:val="BodyA"/>
        <w:rPr>
          <w:rFonts w:asciiTheme="minorHAnsi" w:hAnsiTheme="minorHAnsi" w:cstheme="minorHAnsi"/>
          <w:position w:val="-16"/>
          <w:sz w:val="22"/>
          <w:szCs w:val="22"/>
          <w:lang w:val="en-US"/>
        </w:rPr>
      </w:pPr>
    </w:p>
    <w:p w14:paraId="3E0B0A62" w14:textId="489A2346" w:rsidR="00E257C2" w:rsidRPr="007D0919" w:rsidRDefault="00E257C2" w:rsidP="00E257C2">
      <w:pPr>
        <w:pStyle w:val="BodyA"/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  <w:r w:rsidRPr="40D83AD3">
        <w:rPr>
          <w:rFonts w:asciiTheme="minorHAnsi" w:hAnsiTheme="minorHAnsi" w:cstheme="minorBidi"/>
          <w:position w:val="-16"/>
          <w:sz w:val="22"/>
          <w:szCs w:val="22"/>
          <w:lang w:val="en-US"/>
        </w:rPr>
        <w:t xml:space="preserve">The following content type will support these objectives: </w:t>
      </w:r>
    </w:p>
    <w:p w14:paraId="4EFABBE4" w14:textId="77777777" w:rsidR="00E257C2" w:rsidRDefault="00E257C2" w:rsidP="00E257C2">
      <w:pPr>
        <w:pStyle w:val="BodyA"/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</w:p>
    <w:tbl>
      <w:tblPr>
        <w:tblStyle w:val="GridTable5Dark-Accent1"/>
        <w:tblpPr w:leftFromText="180" w:rightFromText="180" w:vertAnchor="text" w:horzAnchor="margin" w:tblpXSpec="center" w:tblpY="30"/>
        <w:tblW w:w="10350" w:type="dxa"/>
        <w:tblLook w:val="04A0" w:firstRow="1" w:lastRow="0" w:firstColumn="1" w:lastColumn="0" w:noHBand="0" w:noVBand="1"/>
      </w:tblPr>
      <w:tblGrid>
        <w:gridCol w:w="1838"/>
        <w:gridCol w:w="2268"/>
        <w:gridCol w:w="2126"/>
        <w:gridCol w:w="2127"/>
        <w:gridCol w:w="1991"/>
      </w:tblGrid>
      <w:tr w:rsidR="00E257C2" w:rsidRPr="007D0919" w14:paraId="05651713" w14:textId="77777777" w:rsidTr="00E257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ADEC35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bookmarkStart w:id="11" w:name="_Hlk145791644"/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OBJECTIVE</w:t>
            </w:r>
          </w:p>
        </w:tc>
        <w:tc>
          <w:tcPr>
            <w:tcW w:w="8512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D4B861E" w14:textId="77777777" w:rsidR="00E257C2" w:rsidRPr="00060EF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CONTENT TYPE</w:t>
            </w:r>
          </w:p>
        </w:tc>
      </w:tr>
      <w:tr w:rsidR="00E257C2" w:rsidRPr="007D0919" w14:paraId="596E9FFE" w14:textId="77777777" w:rsidTr="00E25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32F638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b w:val="0"/>
                <w:bCs w:val="0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TRACK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progress</w:t>
            </w:r>
          </w:p>
          <w:p w14:paraId="481C6C4E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73BB64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</w:pPr>
            <w:r w:rsidRPr="207B3016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ENAP EPMM targets dashboard (link to MCA data portal)</w:t>
            </w:r>
          </w:p>
          <w:p w14:paraId="43E890A4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07B3016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ENAP/EPMM milestones progress</w:t>
            </w:r>
          </w:p>
          <w:p w14:paraId="4C01CEF3" w14:textId="77777777" w:rsidR="00E257C2" w:rsidRPr="00060EF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Quality of Care data </w:t>
            </w:r>
          </w:p>
          <w:p w14:paraId="7C6D2547" w14:textId="77777777" w:rsidR="00E257C2" w:rsidRPr="00060EF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060EF2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MPDSR data  </w:t>
            </w:r>
          </w:p>
        </w:tc>
        <w:tc>
          <w:tcPr>
            <w:tcW w:w="212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3C0F4E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060EF2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Country pages and Country plans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&amp; progress</w:t>
            </w:r>
          </w:p>
          <w:p w14:paraId="5523D636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QoC country pages?</w:t>
            </w:r>
          </w:p>
          <w:p w14:paraId="5ADDBC45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</w:pPr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MNH profiles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8C8E11" w14:textId="77777777" w:rsidR="00E257C2" w:rsidRPr="00060EF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7" w:firstLine="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060EF2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News and updates</w:t>
            </w:r>
          </w:p>
        </w:tc>
        <w:tc>
          <w:tcPr>
            <w:tcW w:w="1991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632E457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position w:val="-16"/>
                <w:sz w:val="22"/>
                <w:szCs w:val="22"/>
                <w:lang w:val="en-US"/>
              </w:rPr>
            </w:pPr>
          </w:p>
        </w:tc>
      </w:tr>
      <w:tr w:rsidR="00E257C2" w:rsidRPr="007D0919" w14:paraId="03EE974B" w14:textId="77777777" w:rsidTr="00E257C2">
        <w:trPr>
          <w:trHeight w:val="2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4" w:space="0" w:color="FFFFFF" w:themeColor="background1"/>
            </w:tcBorders>
            <w:shd w:val="clear" w:color="auto" w:fill="8EAADB" w:themeFill="accent1" w:themeFillTint="99"/>
          </w:tcPr>
          <w:p w14:paraId="03FCAA92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lastRenderedPageBreak/>
              <w:t>LEARN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for implementation</w:t>
            </w: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  <w:shd w:val="clear" w:color="auto" w:fill="8EAADB" w:themeFill="accent1" w:themeFillTint="99"/>
          </w:tcPr>
          <w:p w14:paraId="0F28479B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Knowledge library of technical knowledge, implementation tools and guidance</w:t>
            </w:r>
          </w:p>
          <w:p w14:paraId="174FD15D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207B3016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MPDSR toolkit</w:t>
            </w:r>
          </w:p>
          <w:p w14:paraId="6C1F9E45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07B3016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Midwifery tools</w:t>
            </w:r>
          </w:p>
          <w:p w14:paraId="1407B3D5" w14:textId="77777777" w:rsidR="00E257C2" w:rsidRPr="007D0919" w:rsidRDefault="00E257C2" w:rsidP="00E257C2">
            <w:pPr>
              <w:pStyle w:val="Body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one" w:sz="0" w:color="000000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</w:pPr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Courses, toolkits, and manuals listed in the website resource list</w:t>
            </w:r>
          </w:p>
        </w:tc>
        <w:tc>
          <w:tcPr>
            <w:tcW w:w="2126" w:type="dxa"/>
            <w:tcBorders>
              <w:top w:val="single" w:sz="4" w:space="0" w:color="FFFFFF" w:themeColor="background1"/>
            </w:tcBorders>
            <w:shd w:val="clear" w:color="auto" w:fill="8EAADB" w:themeFill="accent1" w:themeFillTint="99"/>
          </w:tcPr>
          <w:p w14:paraId="068AA21D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Webinars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of country learning, progress, launches of WHO guidelines, research, reports </w:t>
            </w:r>
          </w:p>
        </w:tc>
        <w:tc>
          <w:tcPr>
            <w:tcW w:w="2127" w:type="dxa"/>
            <w:tcBorders>
              <w:top w:val="single" w:sz="4" w:space="0" w:color="FFFFFF" w:themeColor="background1"/>
            </w:tcBorders>
            <w:shd w:val="clear" w:color="auto" w:fill="8EAADB" w:themeFill="accent1" w:themeFillTint="99"/>
          </w:tcPr>
          <w:p w14:paraId="0F79DAB3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Stories on implementation (written, audio, video)</w:t>
            </w:r>
          </w:p>
          <w:p w14:paraId="50C7C64A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QoC guidance, QI training, </w:t>
            </w:r>
          </w:p>
          <w:p w14:paraId="1B0EE6BE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Midwifery Education</w:t>
            </w:r>
          </w:p>
          <w:p w14:paraId="25B6C30B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SSNB care </w:t>
            </w:r>
          </w:p>
          <w:p w14:paraId="6F65436D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MPDSR training material</w:t>
            </w:r>
          </w:p>
        </w:tc>
        <w:tc>
          <w:tcPr>
            <w:tcW w:w="1991" w:type="dxa"/>
            <w:tcBorders>
              <w:top w:val="single" w:sz="4" w:space="0" w:color="FFFFFF" w:themeColor="background1"/>
            </w:tcBorders>
            <w:shd w:val="clear" w:color="auto" w:fill="8EAADB" w:themeFill="accent1" w:themeFillTint="99"/>
          </w:tcPr>
          <w:p w14:paraId="1AD8A2E9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060EF2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Communities of practice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(</w:t>
            </w:r>
            <w:r w:rsidRPr="00060EF2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TBD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)</w:t>
            </w:r>
          </w:p>
        </w:tc>
      </w:tr>
      <w:tr w:rsidR="00E257C2" w:rsidRPr="007D0919" w14:paraId="3F9DE6D1" w14:textId="77777777" w:rsidTr="00E25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32ED922" w14:textId="73662F02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Bidi"/>
                <w:b w:val="0"/>
                <w:bCs w:val="0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 xml:space="preserve">INFORM technical </w:t>
            </w:r>
            <w:r w:rsidR="00EF2260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advocacy.</w:t>
            </w:r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 xml:space="preserve"> </w:t>
            </w:r>
          </w:p>
          <w:p w14:paraId="674CD2BA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b w:val="0"/>
                <w:bCs w:val="0"/>
                <w:position w:val="-16"/>
                <w:sz w:val="22"/>
                <w:szCs w:val="22"/>
                <w:lang w:val="en-US"/>
              </w:rPr>
            </w:pPr>
          </w:p>
          <w:p w14:paraId="093D20A3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b w:val="0"/>
                <w:bCs w:val="0"/>
                <w:position w:val="-16"/>
                <w:sz w:val="22"/>
                <w:szCs w:val="22"/>
                <w:lang w:val="en-US"/>
              </w:rPr>
            </w:pPr>
          </w:p>
          <w:p w14:paraId="0919B262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14:paraId="39DD10AD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Data and evidence</w:t>
            </w: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 Accountability toolkit on MPDSR and engagement with parliamentarians </w:t>
            </w:r>
          </w:p>
        </w:tc>
        <w:tc>
          <w:tcPr>
            <w:tcW w:w="2126" w:type="dxa"/>
          </w:tcPr>
          <w:p w14:paraId="70D583BA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Country needs and learning </w:t>
            </w:r>
          </w:p>
          <w:p w14:paraId="4A2B7054" w14:textId="2343FE30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 xml:space="preserve">Constituent </w:t>
            </w:r>
            <w:r w:rsidR="00EF2260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stories.</w:t>
            </w:r>
          </w:p>
          <w:p w14:paraId="7F8126CC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 w:rsidRPr="007D0919"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Calls to action</w:t>
            </w:r>
          </w:p>
        </w:tc>
        <w:tc>
          <w:tcPr>
            <w:tcW w:w="2127" w:type="dxa"/>
          </w:tcPr>
          <w:p w14:paraId="18BA499C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M</w:t>
            </w:r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essages and content for global moments (</w:t>
            </w:r>
            <w:bookmarkStart w:id="12" w:name="_Int_SmkywcSL"/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WHA</w:t>
            </w:r>
            <w:bookmarkEnd w:id="12"/>
            <w:r w:rsidRPr="40D83AD3">
              <w:rPr>
                <w:rFonts w:asciiTheme="minorHAnsi" w:hAnsiTheme="minorHAnsi" w:cstheme="minorBidi"/>
                <w:position w:val="-16"/>
                <w:sz w:val="22"/>
                <w:szCs w:val="22"/>
                <w:lang w:val="en-US"/>
              </w:rPr>
              <w:t>, IMNHC, UNGA etc.)</w:t>
            </w:r>
          </w:p>
        </w:tc>
        <w:tc>
          <w:tcPr>
            <w:tcW w:w="1991" w:type="dxa"/>
          </w:tcPr>
          <w:p w14:paraId="3DA6B5EC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</w:p>
        </w:tc>
      </w:tr>
      <w:tr w:rsidR="00E257C2" w:rsidRPr="007D0919" w14:paraId="1260D9FF" w14:textId="77777777" w:rsidTr="00E257C2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7ACAFBA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SHARE updates</w:t>
            </w:r>
          </w:p>
        </w:tc>
        <w:tc>
          <w:tcPr>
            <w:tcW w:w="2268" w:type="dxa"/>
          </w:tcPr>
          <w:p w14:paraId="26DE3735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</w:tcPr>
          <w:p w14:paraId="35F8AE6B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Stories</w:t>
            </w:r>
          </w:p>
        </w:tc>
        <w:tc>
          <w:tcPr>
            <w:tcW w:w="2127" w:type="dxa"/>
          </w:tcPr>
          <w:p w14:paraId="20480143" w14:textId="77777777" w:rsidR="00E257C2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  <w:t>News and updates</w:t>
            </w:r>
          </w:p>
        </w:tc>
        <w:tc>
          <w:tcPr>
            <w:tcW w:w="1991" w:type="dxa"/>
          </w:tcPr>
          <w:p w14:paraId="05651846" w14:textId="77777777" w:rsidR="00E257C2" w:rsidRPr="007D0919" w:rsidRDefault="00E257C2" w:rsidP="00E257C2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position w:val="-16"/>
                <w:sz w:val="22"/>
                <w:szCs w:val="22"/>
                <w:lang w:val="en-US"/>
              </w:rPr>
            </w:pPr>
          </w:p>
        </w:tc>
      </w:tr>
      <w:bookmarkEnd w:id="11"/>
    </w:tbl>
    <w:p w14:paraId="1B0BCBC1" w14:textId="77777777" w:rsidR="00E257C2" w:rsidRPr="00A96DDE" w:rsidRDefault="00E257C2" w:rsidP="00E257C2">
      <w:pPr>
        <w:pStyle w:val="BodyA"/>
        <w:ind w:left="720"/>
        <w:rPr>
          <w:rFonts w:asciiTheme="minorHAnsi" w:hAnsiTheme="minorHAnsi" w:cstheme="minorBidi"/>
          <w:position w:val="-16"/>
          <w:sz w:val="22"/>
          <w:szCs w:val="22"/>
          <w:lang w:val="en-US"/>
        </w:rPr>
      </w:pPr>
    </w:p>
    <w:p w14:paraId="77F2AC5B" w14:textId="77777777" w:rsidR="00802745" w:rsidRDefault="00802745" w:rsidP="007D0919">
      <w:pPr>
        <w:pStyle w:val="BodyA"/>
        <w:rPr>
          <w:rFonts w:asciiTheme="minorHAnsi" w:hAnsiTheme="minorHAnsi" w:cstheme="minorHAnsi"/>
          <w:b/>
          <w:bCs/>
          <w:color w:val="0070C0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b/>
          <w:bCs/>
          <w:color w:val="0070C0"/>
          <w:sz w:val="22"/>
          <w:szCs w:val="22"/>
          <w:lang w:val="en-US"/>
        </w:rPr>
        <w:t>Functionalities</w:t>
      </w:r>
    </w:p>
    <w:p w14:paraId="44757291" w14:textId="77777777" w:rsidR="00060EF2" w:rsidRDefault="00060EF2" w:rsidP="007D0919">
      <w:pPr>
        <w:pStyle w:val="BodyA"/>
        <w:rPr>
          <w:rFonts w:asciiTheme="minorHAnsi" w:hAnsiTheme="minorHAnsi" w:cstheme="minorHAnsi"/>
          <w:b/>
          <w:bCs/>
          <w:color w:val="0070C0"/>
          <w:sz w:val="22"/>
          <w:szCs w:val="22"/>
          <w:lang w:val="en-US"/>
        </w:rPr>
      </w:pPr>
    </w:p>
    <w:p w14:paraId="1CFD34A2" w14:textId="577196FA" w:rsidR="00060EF2" w:rsidRPr="00060EF2" w:rsidRDefault="00060EF2" w:rsidP="007D0919">
      <w:pPr>
        <w:pStyle w:val="BodyA"/>
        <w:rPr>
          <w:rFonts w:asciiTheme="minorHAnsi" w:hAnsiTheme="minorHAnsi" w:cstheme="minorHAnsi"/>
          <w:color w:val="0070C0"/>
          <w:sz w:val="22"/>
          <w:szCs w:val="22"/>
          <w:lang w:val="en-US"/>
        </w:rPr>
      </w:pPr>
      <w:r w:rsidRPr="00060EF2">
        <w:rPr>
          <w:rFonts w:asciiTheme="minorHAnsi" w:hAnsiTheme="minorHAnsi" w:cstheme="minorHAnsi"/>
          <w:color w:val="auto"/>
          <w:sz w:val="22"/>
          <w:szCs w:val="22"/>
          <w:lang w:val="en-US"/>
        </w:rPr>
        <w:t>The functionalities required to support these content types:</w:t>
      </w:r>
    </w:p>
    <w:p w14:paraId="33CB0F01" w14:textId="709416EE" w:rsidR="00802745" w:rsidRPr="007D0919" w:rsidRDefault="00802745" w:rsidP="40D83AD3">
      <w:pPr>
        <w:pStyle w:val="BodyA"/>
        <w:numPr>
          <w:ilvl w:val="0"/>
          <w:numId w:val="14"/>
        </w:numPr>
        <w:rPr>
          <w:rFonts w:asciiTheme="minorHAnsi" w:hAnsiTheme="minorHAnsi" w:cstheme="minorBidi"/>
          <w:sz w:val="22"/>
          <w:szCs w:val="22"/>
          <w:lang w:val="en-US"/>
        </w:rPr>
      </w:pPr>
      <w:r w:rsidRPr="40D83AD3">
        <w:rPr>
          <w:rFonts w:asciiTheme="minorHAnsi" w:hAnsiTheme="minorHAnsi" w:cstheme="minorBidi"/>
          <w:sz w:val="22"/>
          <w:szCs w:val="22"/>
          <w:lang w:val="en-US"/>
        </w:rPr>
        <w:t xml:space="preserve">Dynamic home page with series of stories, </w:t>
      </w:r>
      <w:r w:rsidR="54C726F1" w:rsidRPr="40D83AD3">
        <w:rPr>
          <w:rFonts w:asciiTheme="minorHAnsi" w:hAnsiTheme="minorHAnsi" w:cstheme="minorBidi"/>
          <w:sz w:val="22"/>
          <w:szCs w:val="22"/>
          <w:lang w:val="en-US"/>
        </w:rPr>
        <w:t>infographics,</w:t>
      </w:r>
      <w:r w:rsidRPr="40D83AD3">
        <w:rPr>
          <w:rFonts w:asciiTheme="minorHAnsi" w:hAnsiTheme="minorHAnsi" w:cstheme="minorBidi"/>
          <w:sz w:val="22"/>
          <w:szCs w:val="22"/>
          <w:lang w:val="en-US"/>
        </w:rPr>
        <w:t xml:space="preserve"> and potentially animated background</w:t>
      </w:r>
    </w:p>
    <w:p w14:paraId="100B5B3A" w14:textId="498EB46C" w:rsidR="00802745" w:rsidRPr="007D0919" w:rsidRDefault="00802745" w:rsidP="40D83AD3">
      <w:pPr>
        <w:pStyle w:val="BodyA"/>
        <w:numPr>
          <w:ilvl w:val="0"/>
          <w:numId w:val="14"/>
        </w:numPr>
        <w:rPr>
          <w:rFonts w:asciiTheme="minorHAnsi" w:hAnsiTheme="minorHAnsi" w:cstheme="minorBidi"/>
          <w:sz w:val="22"/>
          <w:szCs w:val="22"/>
          <w:lang w:val="en-US"/>
        </w:rPr>
      </w:pPr>
      <w:r w:rsidRPr="207B3016">
        <w:rPr>
          <w:rFonts w:asciiTheme="minorHAnsi" w:hAnsiTheme="minorHAnsi" w:cstheme="minorBidi"/>
          <w:sz w:val="22"/>
          <w:szCs w:val="22"/>
          <w:lang w:val="en-US"/>
        </w:rPr>
        <w:t>Visualization of data</w:t>
      </w:r>
      <w:r w:rsidR="00665B1B" w:rsidRPr="207B3016">
        <w:rPr>
          <w:rFonts w:asciiTheme="minorHAnsi" w:hAnsiTheme="minorHAnsi" w:cstheme="minorBidi"/>
          <w:sz w:val="22"/>
          <w:szCs w:val="22"/>
          <w:lang w:val="en-US"/>
        </w:rPr>
        <w:t xml:space="preserve"> </w:t>
      </w:r>
      <w:r w:rsidR="49784AD7" w:rsidRPr="207B3016">
        <w:rPr>
          <w:rFonts w:asciiTheme="minorHAnsi" w:hAnsiTheme="minorHAnsi" w:cstheme="minorBidi"/>
          <w:sz w:val="22"/>
          <w:szCs w:val="22"/>
          <w:lang w:val="en-US"/>
        </w:rPr>
        <w:t xml:space="preserve">with links to the MCA data </w:t>
      </w:r>
      <w:r w:rsidR="0A5663E2" w:rsidRPr="207B3016">
        <w:rPr>
          <w:rFonts w:asciiTheme="minorHAnsi" w:hAnsiTheme="minorHAnsi" w:cstheme="minorBidi"/>
          <w:sz w:val="22"/>
          <w:szCs w:val="22"/>
          <w:lang w:val="en-US"/>
        </w:rPr>
        <w:t>portal -</w:t>
      </w:r>
      <w:r w:rsidR="008857F1" w:rsidRPr="207B3016">
        <w:rPr>
          <w:rFonts w:asciiTheme="minorHAnsi" w:hAnsiTheme="minorHAnsi" w:cstheme="minorBidi"/>
          <w:sz w:val="22"/>
          <w:szCs w:val="22"/>
          <w:lang w:val="en-US"/>
        </w:rPr>
        <w:t xml:space="preserve"> ENAP EPMM dashboard and upcoming MPDSR data component</w:t>
      </w:r>
    </w:p>
    <w:p w14:paraId="1EB78CF3" w14:textId="2601F6E8" w:rsidR="00802745" w:rsidRDefault="00802745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sz w:val="22"/>
          <w:szCs w:val="22"/>
          <w:lang w:val="en-US"/>
        </w:rPr>
        <w:t>Database as a repository of knowledge resources</w:t>
      </w:r>
      <w:r w:rsidR="00665B1B" w:rsidRPr="007D0919">
        <w:rPr>
          <w:rFonts w:asciiTheme="minorHAnsi" w:hAnsiTheme="minorHAnsi" w:cstheme="minorHAnsi"/>
          <w:sz w:val="22"/>
          <w:szCs w:val="22"/>
          <w:lang w:val="en-US"/>
        </w:rPr>
        <w:t xml:space="preserve"> (see mapping of existing resources</w:t>
      </w:r>
      <w:r w:rsidRPr="007D0919">
        <w:rPr>
          <w:rFonts w:asciiTheme="minorHAnsi" w:hAnsiTheme="minorHAnsi" w:cstheme="minorHAnsi"/>
          <w:sz w:val="22"/>
          <w:szCs w:val="22"/>
          <w:lang w:val="en-US"/>
        </w:rPr>
        <w:t xml:space="preserve">) and advocacy resources </w:t>
      </w:r>
      <w:r w:rsidR="00665B1B" w:rsidRPr="007D0919">
        <w:rPr>
          <w:rFonts w:asciiTheme="minorHAnsi" w:hAnsiTheme="minorHAnsi" w:cstheme="minorHAnsi"/>
          <w:sz w:val="22"/>
          <w:szCs w:val="22"/>
          <w:lang w:val="en-US"/>
        </w:rPr>
        <w:t xml:space="preserve">to be developed for key maternal and newborn health </w:t>
      </w:r>
      <w:r w:rsidR="00C1350D" w:rsidRPr="007D0919">
        <w:rPr>
          <w:rFonts w:asciiTheme="minorHAnsi" w:hAnsiTheme="minorHAnsi" w:cstheme="minorHAnsi"/>
          <w:sz w:val="22"/>
          <w:szCs w:val="22"/>
          <w:lang w:val="en-US"/>
        </w:rPr>
        <w:t>moments;</w:t>
      </w:r>
      <w:r w:rsidR="00060EF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D0919">
        <w:rPr>
          <w:rFonts w:asciiTheme="minorHAnsi" w:hAnsiTheme="minorHAnsi" w:cstheme="minorHAnsi"/>
          <w:sz w:val="22"/>
          <w:szCs w:val="22"/>
          <w:lang w:val="en-US"/>
        </w:rPr>
        <w:t xml:space="preserve">database to support printed, audio and video </w:t>
      </w:r>
      <w:r w:rsidR="00C1350D" w:rsidRPr="007D0919">
        <w:rPr>
          <w:rFonts w:asciiTheme="minorHAnsi" w:hAnsiTheme="minorHAnsi" w:cstheme="minorHAnsi"/>
          <w:sz w:val="22"/>
          <w:szCs w:val="22"/>
          <w:lang w:val="en-US"/>
        </w:rPr>
        <w:t>formats.</w:t>
      </w:r>
    </w:p>
    <w:p w14:paraId="02A707B2" w14:textId="77777777" w:rsidR="00802745" w:rsidRPr="007D0919" w:rsidRDefault="00802745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sz w:val="22"/>
          <w:szCs w:val="22"/>
          <w:lang w:val="en-US"/>
        </w:rPr>
        <w:t>Search function in pages and file titles</w:t>
      </w:r>
    </w:p>
    <w:p w14:paraId="76F9E5E8" w14:textId="3922F5FF" w:rsidR="00665B1B" w:rsidRDefault="00665B1B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60EF2">
        <w:rPr>
          <w:rFonts w:asciiTheme="minorHAnsi" w:hAnsiTheme="minorHAnsi" w:cstheme="minorHAnsi"/>
          <w:sz w:val="22"/>
          <w:szCs w:val="22"/>
          <w:lang w:val="en-US"/>
        </w:rPr>
        <w:t>Community of practice (TBD)</w:t>
      </w:r>
    </w:p>
    <w:p w14:paraId="19DE15CE" w14:textId="73D64AC9" w:rsidR="00F84BA7" w:rsidRPr="00060EF2" w:rsidRDefault="00F84BA7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Password protected technical working group </w:t>
      </w:r>
      <w:r w:rsidRPr="00B445EC">
        <w:rPr>
          <w:rFonts w:asciiTheme="minorHAnsi" w:hAnsiTheme="minorHAnsi" w:cstheme="minorHAnsi"/>
          <w:sz w:val="22"/>
          <w:szCs w:val="22"/>
          <w:lang w:val="en-US"/>
        </w:rPr>
        <w:t>pages (TBC)</w:t>
      </w:r>
      <w:r w:rsidR="00AB5E8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6C7A1213" w14:textId="16CDD437" w:rsidR="00802745" w:rsidRPr="007D0919" w:rsidRDefault="00802745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sz w:val="22"/>
          <w:szCs w:val="22"/>
          <w:lang w:val="en-US"/>
        </w:rPr>
        <w:t>Embedded registration form</w:t>
      </w:r>
      <w:r w:rsidR="00F84BA7">
        <w:rPr>
          <w:rFonts w:asciiTheme="minorHAnsi" w:hAnsiTheme="minorHAnsi" w:cstheme="minorHAnsi"/>
          <w:sz w:val="22"/>
          <w:szCs w:val="22"/>
          <w:lang w:val="en-US"/>
        </w:rPr>
        <w:t xml:space="preserve"> (C</w:t>
      </w:r>
      <w:r w:rsidR="004E720A">
        <w:rPr>
          <w:rFonts w:asciiTheme="minorHAnsi" w:hAnsiTheme="minorHAnsi" w:cstheme="minorHAnsi"/>
          <w:sz w:val="22"/>
          <w:szCs w:val="22"/>
          <w:lang w:val="en-US"/>
        </w:rPr>
        <w:t>ampaign Manager</w:t>
      </w:r>
      <w:r w:rsidR="00F84BA7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22144117" w14:textId="55B628F5" w:rsidR="00802745" w:rsidRPr="007D0919" w:rsidRDefault="00802745" w:rsidP="007D0919">
      <w:pPr>
        <w:pStyle w:val="BodyA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7D0919">
        <w:rPr>
          <w:rFonts w:asciiTheme="minorHAnsi" w:hAnsiTheme="minorHAnsi" w:cstheme="minorHAnsi"/>
          <w:sz w:val="22"/>
          <w:szCs w:val="22"/>
          <w:lang w:val="en-US"/>
        </w:rPr>
        <w:t xml:space="preserve">Contact </w:t>
      </w:r>
      <w:r w:rsidR="00EF2260" w:rsidRPr="007D0919">
        <w:rPr>
          <w:rFonts w:asciiTheme="minorHAnsi" w:hAnsiTheme="minorHAnsi" w:cstheme="minorHAnsi"/>
          <w:sz w:val="22"/>
          <w:szCs w:val="22"/>
          <w:lang w:val="en-US"/>
        </w:rPr>
        <w:t>form.</w:t>
      </w:r>
    </w:p>
    <w:p w14:paraId="0E1D0EAF" w14:textId="77777777" w:rsidR="00EF2260" w:rsidRDefault="00EF2260" w:rsidP="007D0919">
      <w:pPr>
        <w:pStyle w:val="Heading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color w:val="0070C0"/>
          <w:sz w:val="22"/>
          <w:szCs w:val="22"/>
          <w:lang w:val="en-US"/>
        </w:rPr>
      </w:pPr>
    </w:p>
    <w:p w14:paraId="13ECDCDE" w14:textId="30D247E6" w:rsidR="001614B8" w:rsidRPr="007D0919" w:rsidRDefault="001614B8" w:rsidP="007D0919">
      <w:pPr>
        <w:pStyle w:val="Heading2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eastAsia="Arial" w:hAnsiTheme="minorHAnsi" w:cstheme="minorHAnsi"/>
          <w:color w:val="0070C0"/>
          <w:sz w:val="22"/>
          <w:szCs w:val="22"/>
        </w:rPr>
      </w:pPr>
      <w:r w:rsidRPr="007D0919">
        <w:rPr>
          <w:rFonts w:asciiTheme="minorHAnsi" w:hAnsiTheme="minorHAnsi" w:cstheme="minorHAnsi"/>
          <w:color w:val="0070C0"/>
          <w:sz w:val="22"/>
          <w:szCs w:val="22"/>
          <w:lang w:val="en-US"/>
        </w:rPr>
        <w:t xml:space="preserve">Branding </w:t>
      </w:r>
    </w:p>
    <w:p w14:paraId="00E1D9DD" w14:textId="77777777" w:rsidR="001614B8" w:rsidRPr="007D0919" w:rsidRDefault="001614B8" w:rsidP="007D0919">
      <w:pPr>
        <w:pStyle w:val="BodyA"/>
        <w:rPr>
          <w:rFonts w:asciiTheme="minorHAnsi" w:hAnsiTheme="minorHAnsi" w:cstheme="minorHAnsi"/>
          <w:sz w:val="22"/>
          <w:szCs w:val="22"/>
        </w:rPr>
      </w:pPr>
    </w:p>
    <w:p w14:paraId="0FFF4D61" w14:textId="77777777" w:rsidR="00AE054C" w:rsidRPr="00E069F8" w:rsidRDefault="00AE054C" w:rsidP="007D0919">
      <w:pPr>
        <w:pStyle w:val="BodyA"/>
        <w:tabs>
          <w:tab w:val="left" w:pos="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069F8">
        <w:rPr>
          <w:rFonts w:asciiTheme="minorHAnsi" w:hAnsiTheme="minorHAnsi" w:cstheme="minorHAnsi"/>
          <w:b/>
          <w:bCs/>
          <w:color w:val="auto"/>
          <w:sz w:val="22"/>
          <w:szCs w:val="22"/>
        </w:rPr>
        <w:t>Name</w:t>
      </w:r>
    </w:p>
    <w:p w14:paraId="3CE67F5F" w14:textId="486BF9A8" w:rsidR="00AE054C" w:rsidRPr="007D0919" w:rsidRDefault="001079C7" w:rsidP="40D83AD3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Bidi"/>
          <w:sz w:val="22"/>
          <w:szCs w:val="22"/>
        </w:rPr>
      </w:pPr>
      <w:r w:rsidRPr="207B3016">
        <w:rPr>
          <w:rFonts w:asciiTheme="minorHAnsi" w:hAnsiTheme="minorHAnsi" w:cstheme="minorBidi"/>
          <w:sz w:val="22"/>
          <w:szCs w:val="22"/>
        </w:rPr>
        <w:t>The w</w:t>
      </w:r>
      <w:r w:rsidR="00AE054C" w:rsidRPr="207B3016">
        <w:rPr>
          <w:rFonts w:asciiTheme="minorHAnsi" w:hAnsiTheme="minorHAnsi" w:cstheme="minorBidi"/>
          <w:sz w:val="22"/>
          <w:szCs w:val="22"/>
        </w:rPr>
        <w:t>ebsite will adopt a name that capture its intention to position ma</w:t>
      </w:r>
      <w:r w:rsidR="004A3974" w:rsidRPr="207B3016">
        <w:rPr>
          <w:rFonts w:asciiTheme="minorHAnsi" w:hAnsiTheme="minorHAnsi" w:cstheme="minorBidi"/>
          <w:sz w:val="22"/>
          <w:szCs w:val="22"/>
        </w:rPr>
        <w:t>ternal and newborn</w:t>
      </w:r>
      <w:r w:rsidR="00AE054C" w:rsidRPr="207B3016">
        <w:rPr>
          <w:rFonts w:asciiTheme="minorHAnsi" w:hAnsiTheme="minorHAnsi" w:cstheme="minorBidi"/>
          <w:sz w:val="22"/>
          <w:szCs w:val="22"/>
        </w:rPr>
        <w:t xml:space="preserve"> survival </w:t>
      </w:r>
      <w:r w:rsidR="00B445EC" w:rsidRPr="207B3016">
        <w:rPr>
          <w:rFonts w:asciiTheme="minorHAnsi" w:hAnsiTheme="minorHAnsi" w:cstheme="minorBidi"/>
          <w:sz w:val="22"/>
          <w:szCs w:val="22"/>
        </w:rPr>
        <w:t xml:space="preserve">and wellbeing </w:t>
      </w:r>
      <w:r w:rsidR="00AE054C" w:rsidRPr="207B3016">
        <w:rPr>
          <w:rFonts w:asciiTheme="minorHAnsi" w:hAnsiTheme="minorHAnsi" w:cstheme="minorBidi"/>
          <w:sz w:val="22"/>
          <w:szCs w:val="22"/>
        </w:rPr>
        <w:t xml:space="preserve">as one </w:t>
      </w:r>
      <w:r w:rsidR="615B5FDE" w:rsidRPr="207B3016">
        <w:rPr>
          <w:rFonts w:asciiTheme="minorHAnsi" w:hAnsiTheme="minorHAnsi" w:cstheme="minorBidi"/>
          <w:sz w:val="22"/>
          <w:szCs w:val="22"/>
        </w:rPr>
        <w:t>movement and</w:t>
      </w:r>
      <w:r w:rsidR="009F7012" w:rsidRPr="207B3016">
        <w:rPr>
          <w:rFonts w:asciiTheme="minorHAnsi" w:hAnsiTheme="minorHAnsi" w:cstheme="minorBidi"/>
          <w:sz w:val="22"/>
          <w:szCs w:val="22"/>
        </w:rPr>
        <w:t xml:space="preserve"> move away from the current ENAP/EPMM acronyms</w:t>
      </w:r>
      <w:r w:rsidR="4CFF0287" w:rsidRPr="207B3016">
        <w:rPr>
          <w:rFonts w:asciiTheme="minorHAnsi" w:hAnsiTheme="minorHAnsi" w:cstheme="minorBidi"/>
          <w:sz w:val="22"/>
          <w:szCs w:val="22"/>
        </w:rPr>
        <w:t xml:space="preserve">. </w:t>
      </w:r>
      <w:r w:rsidR="00E257C2">
        <w:rPr>
          <w:rFonts w:asciiTheme="minorHAnsi" w:hAnsiTheme="minorHAnsi" w:cstheme="minorBidi"/>
          <w:sz w:val="22"/>
          <w:szCs w:val="22"/>
        </w:rPr>
        <w:t>Partners are currently reviewing options.</w:t>
      </w:r>
    </w:p>
    <w:p w14:paraId="55A9D571" w14:textId="77777777" w:rsidR="001079C7" w:rsidRPr="007D0919" w:rsidRDefault="001079C7" w:rsidP="007D0919">
      <w:pPr>
        <w:pStyle w:val="BodyA"/>
        <w:tabs>
          <w:tab w:val="left" w:pos="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sz w:val="22"/>
          <w:szCs w:val="22"/>
        </w:rPr>
      </w:pPr>
    </w:p>
    <w:p w14:paraId="43C27EAB" w14:textId="39D83299" w:rsidR="00AE054C" w:rsidRPr="007D0919" w:rsidRDefault="00AE054C" w:rsidP="007D0919">
      <w:pPr>
        <w:pStyle w:val="BodyA"/>
        <w:tabs>
          <w:tab w:val="left" w:pos="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7D0919">
        <w:rPr>
          <w:rFonts w:asciiTheme="minorHAnsi" w:hAnsiTheme="minorHAnsi" w:cstheme="minorHAnsi"/>
          <w:b/>
          <w:bCs/>
          <w:sz w:val="22"/>
          <w:szCs w:val="22"/>
        </w:rPr>
        <w:t>Logo</w:t>
      </w:r>
      <w:r w:rsidR="00EF5839" w:rsidRPr="007D0919">
        <w:rPr>
          <w:rFonts w:asciiTheme="minorHAnsi" w:hAnsiTheme="minorHAnsi" w:cstheme="minorHAnsi"/>
          <w:b/>
          <w:bCs/>
          <w:sz w:val="22"/>
          <w:szCs w:val="22"/>
        </w:rPr>
        <w:t xml:space="preserve"> and other branding assets (colour palette, fonts, imagery)</w:t>
      </w:r>
    </w:p>
    <w:p w14:paraId="19CFCC84" w14:textId="2A70E6E4" w:rsidR="00EF5839" w:rsidRPr="007D0919" w:rsidRDefault="00EF5839" w:rsidP="007D0919">
      <w:pPr>
        <w:pStyle w:val="BodyA"/>
        <w:tabs>
          <w:tab w:val="left" w:pos="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sz w:val="22"/>
          <w:szCs w:val="22"/>
        </w:rPr>
      </w:pPr>
      <w:r w:rsidRPr="007D0919">
        <w:rPr>
          <w:rFonts w:asciiTheme="minorHAnsi" w:hAnsiTheme="minorHAnsi" w:cstheme="minorHAnsi"/>
          <w:sz w:val="22"/>
          <w:szCs w:val="22"/>
        </w:rPr>
        <w:t>Under development as part of the rebranding of ENAP-EPMM. Where the website will be hosted will also have an impact on the logos</w:t>
      </w:r>
      <w:r w:rsidR="007D0919" w:rsidRPr="007D0919">
        <w:rPr>
          <w:rFonts w:asciiTheme="minorHAnsi" w:hAnsiTheme="minorHAnsi" w:cstheme="minorHAnsi"/>
          <w:sz w:val="22"/>
          <w:szCs w:val="22"/>
        </w:rPr>
        <w:t>, all of which to be discussed with UNICEF and UNFPA.</w:t>
      </w:r>
    </w:p>
    <w:p w14:paraId="2928D18F" w14:textId="77777777" w:rsidR="00EF5839" w:rsidRPr="007D0919" w:rsidRDefault="00EF5839" w:rsidP="007D0919">
      <w:pPr>
        <w:pStyle w:val="BodyA"/>
        <w:tabs>
          <w:tab w:val="left" w:pos="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Theme="minorHAnsi" w:hAnsiTheme="minorHAnsi" w:cstheme="minorHAnsi"/>
          <w:sz w:val="22"/>
          <w:szCs w:val="22"/>
        </w:rPr>
      </w:pPr>
    </w:p>
    <w:p w14:paraId="17DB6206" w14:textId="7609B89C" w:rsidR="001614B8" w:rsidRDefault="000F7A18" w:rsidP="001614B8">
      <w:pPr>
        <w:pStyle w:val="BodyText"/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Timing</w:t>
      </w:r>
    </w:p>
    <w:p w14:paraId="2A87DBDE" w14:textId="77777777" w:rsidR="008018B0" w:rsidRDefault="008018B0" w:rsidP="001614B8">
      <w:pPr>
        <w:pStyle w:val="BodyText"/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</w:pPr>
    </w:p>
    <w:p w14:paraId="0C074BBB" w14:textId="47E59F14" w:rsidR="008857F1" w:rsidRPr="008018B0" w:rsidRDefault="008018B0" w:rsidP="40D83AD3">
      <w:pPr>
        <w:pStyle w:val="BodyText"/>
        <w:rPr>
          <w:rFonts w:asciiTheme="minorHAnsi" w:hAnsiTheme="minorHAnsi" w:cstheme="minorBidi"/>
          <w:color w:val="4472C4" w:themeColor="accent1"/>
          <w:sz w:val="22"/>
          <w:szCs w:val="22"/>
        </w:rPr>
      </w:pPr>
      <w:r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 xml:space="preserve">We are aiming for the new website to be up and running by the end of </w:t>
      </w:r>
      <w:r w:rsidR="009A0631">
        <w:rPr>
          <w:rFonts w:asciiTheme="minorHAnsi" w:hAnsiTheme="minorHAnsi" w:cstheme="minorBidi"/>
          <w:color w:val="4472C4" w:themeColor="accent1"/>
          <w:sz w:val="22"/>
          <w:szCs w:val="22"/>
        </w:rPr>
        <w:t>February 2024</w:t>
      </w:r>
      <w:r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 xml:space="preserve">. </w:t>
      </w:r>
      <w:r w:rsidR="008857F1"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>There are several processes which are taking place in parallel to the development of this new website</w:t>
      </w:r>
      <w:r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 xml:space="preserve"> and will </w:t>
      </w:r>
      <w:r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lastRenderedPageBreak/>
        <w:t xml:space="preserve">have an impact on the timing. This is what we are suggesting </w:t>
      </w:r>
      <w:r w:rsidR="2EFAAC29"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>to</w:t>
      </w:r>
      <w:r w:rsidRPr="40D83AD3">
        <w:rPr>
          <w:rFonts w:asciiTheme="minorHAnsi" w:hAnsiTheme="minorHAnsi" w:cstheme="minorBidi"/>
          <w:color w:val="4472C4" w:themeColor="accent1"/>
          <w:sz w:val="22"/>
          <w:szCs w:val="22"/>
        </w:rPr>
        <w:t xml:space="preserve"> not slow down development: </w:t>
      </w:r>
    </w:p>
    <w:p w14:paraId="0389A429" w14:textId="77777777" w:rsidR="00060EF2" w:rsidRDefault="00060EF2" w:rsidP="001614B8">
      <w:pPr>
        <w:pStyle w:val="BodyText"/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</w:pPr>
    </w:p>
    <w:p w14:paraId="229C43B5" w14:textId="7293F84A" w:rsidR="008857F1" w:rsidRDefault="008857F1" w:rsidP="00232BAE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8018B0">
        <w:rPr>
          <w:rFonts w:asciiTheme="minorHAnsi" w:hAnsiTheme="minorHAnsi" w:cstheme="minorHAnsi"/>
          <w:b/>
          <w:bCs/>
          <w:sz w:val="22"/>
          <w:szCs w:val="22"/>
        </w:rPr>
        <w:t>Data</w:t>
      </w:r>
      <w:r w:rsidR="00AB5E84">
        <w:rPr>
          <w:rFonts w:asciiTheme="minorHAnsi" w:hAnsiTheme="minorHAnsi" w:cstheme="minorHAnsi"/>
          <w:b/>
          <w:bCs/>
          <w:sz w:val="22"/>
          <w:szCs w:val="22"/>
        </w:rPr>
        <w:t xml:space="preserve"> resources</w:t>
      </w:r>
      <w:r w:rsidRPr="008018B0">
        <w:rPr>
          <w:rFonts w:asciiTheme="minorHAnsi" w:hAnsiTheme="minorHAnsi" w:cstheme="minorHAnsi"/>
          <w:b/>
          <w:bCs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The new website will draw on the MCA data portal for data</w:t>
      </w:r>
      <w:r w:rsidR="00232BAE" w:rsidRPr="00C1350D">
        <w:rPr>
          <w:rFonts w:asciiTheme="minorHAnsi" w:hAnsiTheme="minorHAnsi" w:cstheme="minorHAnsi"/>
          <w:sz w:val="22"/>
          <w:szCs w:val="22"/>
        </w:rPr>
        <w:t xml:space="preserve"> analysis and visualization</w:t>
      </w:r>
      <w:r w:rsidR="008018B0">
        <w:rPr>
          <w:rFonts w:asciiTheme="minorHAnsi" w:hAnsiTheme="minorHAnsi" w:cstheme="minorHAnsi"/>
          <w:sz w:val="22"/>
          <w:szCs w:val="22"/>
        </w:rPr>
        <w:t>, including for the ENAP EPMM dashboard, and for MPDSR</w:t>
      </w:r>
      <w:r w:rsidR="00232BAE" w:rsidRPr="00C1350D">
        <w:rPr>
          <w:rFonts w:asciiTheme="minorHAnsi" w:hAnsiTheme="minorHAnsi" w:cstheme="minorHAnsi"/>
          <w:sz w:val="22"/>
          <w:szCs w:val="22"/>
        </w:rPr>
        <w:t xml:space="preserve">. </w:t>
      </w:r>
      <w:r w:rsidR="008018B0">
        <w:rPr>
          <w:rFonts w:asciiTheme="minorHAnsi" w:hAnsiTheme="minorHAnsi" w:cstheme="minorHAnsi"/>
          <w:sz w:val="22"/>
          <w:szCs w:val="22"/>
        </w:rPr>
        <w:t>Although the MPDSR data collection and analysis function is not developed yet, the new website will proceed now, and</w:t>
      </w:r>
      <w:r w:rsidR="008018B0" w:rsidRPr="00AB5E84">
        <w:rPr>
          <w:rFonts w:asciiTheme="minorHAnsi" w:hAnsiTheme="minorHAnsi" w:cstheme="minorHAnsi"/>
          <w:b/>
          <w:bCs/>
          <w:sz w:val="22"/>
          <w:szCs w:val="22"/>
        </w:rPr>
        <w:t xml:space="preserve"> link</w:t>
      </w:r>
      <w:r w:rsidR="008018B0">
        <w:rPr>
          <w:rFonts w:asciiTheme="minorHAnsi" w:hAnsiTheme="minorHAnsi" w:cstheme="minorHAnsi"/>
          <w:sz w:val="22"/>
          <w:szCs w:val="22"/>
        </w:rPr>
        <w:t xml:space="preserve"> to the MPDSR data asap. </w:t>
      </w:r>
    </w:p>
    <w:p w14:paraId="71B179D1" w14:textId="77777777" w:rsidR="008018B0" w:rsidRDefault="008018B0" w:rsidP="00232BAE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6C9D00F6" w14:textId="65036BBF" w:rsidR="008857F1" w:rsidRDefault="008857F1" w:rsidP="6DC0CF8D">
      <w:pPr>
        <w:pStyle w:val="BodyText"/>
        <w:rPr>
          <w:rFonts w:asciiTheme="minorHAnsi" w:hAnsiTheme="minorHAnsi" w:cstheme="minorBidi"/>
          <w:sz w:val="22"/>
          <w:szCs w:val="22"/>
        </w:rPr>
      </w:pPr>
      <w:r w:rsidRPr="6B1C6096">
        <w:rPr>
          <w:rFonts w:asciiTheme="minorHAnsi" w:hAnsiTheme="minorHAnsi" w:cstheme="minorBidi"/>
          <w:b/>
          <w:bCs/>
          <w:sz w:val="22"/>
          <w:szCs w:val="22"/>
        </w:rPr>
        <w:t>Q</w:t>
      </w:r>
      <w:r w:rsidR="00CD6918" w:rsidRPr="6B1C6096">
        <w:rPr>
          <w:rFonts w:asciiTheme="minorHAnsi" w:hAnsiTheme="minorHAnsi" w:cstheme="minorBidi"/>
          <w:b/>
          <w:bCs/>
          <w:sz w:val="22"/>
          <w:szCs w:val="22"/>
        </w:rPr>
        <w:t>uality of Care Network</w:t>
      </w:r>
      <w:r w:rsidRPr="6B1C6096">
        <w:rPr>
          <w:rFonts w:asciiTheme="minorHAnsi" w:hAnsiTheme="minorHAnsi" w:cstheme="minorBidi"/>
          <w:b/>
          <w:bCs/>
          <w:sz w:val="22"/>
          <w:szCs w:val="22"/>
        </w:rPr>
        <w:t xml:space="preserve"> website</w:t>
      </w:r>
      <w:r w:rsidRPr="6B1C6096">
        <w:rPr>
          <w:rFonts w:asciiTheme="minorHAnsi" w:hAnsiTheme="minorHAnsi" w:cstheme="minorBidi"/>
          <w:sz w:val="22"/>
          <w:szCs w:val="22"/>
        </w:rPr>
        <w:t xml:space="preserve">: </w:t>
      </w:r>
      <w:r w:rsidR="008018B0" w:rsidRPr="6B1C6096">
        <w:rPr>
          <w:rFonts w:asciiTheme="minorHAnsi" w:hAnsiTheme="minorHAnsi" w:cstheme="minorBidi"/>
          <w:sz w:val="22"/>
          <w:szCs w:val="22"/>
        </w:rPr>
        <w:t>T</w:t>
      </w:r>
      <w:r w:rsidRPr="6B1C6096">
        <w:rPr>
          <w:rFonts w:asciiTheme="minorHAnsi" w:hAnsiTheme="minorHAnsi" w:cstheme="minorBidi"/>
          <w:sz w:val="22"/>
          <w:szCs w:val="22"/>
        </w:rPr>
        <w:t>he content of the current Q</w:t>
      </w:r>
      <w:r w:rsidR="00CD6918" w:rsidRPr="6B1C6096">
        <w:rPr>
          <w:rFonts w:asciiTheme="minorHAnsi" w:hAnsiTheme="minorHAnsi" w:cstheme="minorBidi"/>
          <w:sz w:val="22"/>
          <w:szCs w:val="22"/>
        </w:rPr>
        <w:t>uality of Care Network</w:t>
      </w:r>
      <w:r w:rsidRPr="6B1C6096">
        <w:rPr>
          <w:rFonts w:asciiTheme="minorHAnsi" w:hAnsiTheme="minorHAnsi" w:cstheme="minorBidi"/>
          <w:sz w:val="22"/>
          <w:szCs w:val="22"/>
        </w:rPr>
        <w:t xml:space="preserve"> website will be incorporated into this new website</w:t>
      </w:r>
      <w:r w:rsidR="00AB5E84" w:rsidRPr="6B1C6096">
        <w:rPr>
          <w:rFonts w:asciiTheme="minorHAnsi" w:hAnsiTheme="minorHAnsi" w:cstheme="minorBidi"/>
          <w:sz w:val="22"/>
          <w:szCs w:val="22"/>
        </w:rPr>
        <w:t>. While the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new website will be built with the functionalities to accommodate the </w:t>
      </w:r>
      <w:bookmarkStart w:id="13" w:name="_Int_ll7AI0l5"/>
      <w:r w:rsidR="008018B0" w:rsidRPr="6B1C6096">
        <w:rPr>
          <w:rFonts w:asciiTheme="minorHAnsi" w:hAnsiTheme="minorHAnsi" w:cstheme="minorBidi"/>
          <w:sz w:val="22"/>
          <w:szCs w:val="22"/>
        </w:rPr>
        <w:t>Q</w:t>
      </w:r>
      <w:r w:rsidR="00CD6918" w:rsidRPr="6B1C6096">
        <w:rPr>
          <w:rFonts w:asciiTheme="minorHAnsi" w:hAnsiTheme="minorHAnsi" w:cstheme="minorBidi"/>
          <w:sz w:val="22"/>
          <w:szCs w:val="22"/>
        </w:rPr>
        <w:t>uality of Care</w:t>
      </w:r>
      <w:bookmarkEnd w:id="13"/>
      <w:r w:rsidR="00CD6918" w:rsidRPr="6B1C6096">
        <w:rPr>
          <w:rFonts w:asciiTheme="minorHAnsi" w:hAnsiTheme="minorHAnsi" w:cstheme="minorBidi"/>
          <w:sz w:val="22"/>
          <w:szCs w:val="22"/>
        </w:rPr>
        <w:t xml:space="preserve"> Network website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content, the migration </w:t>
      </w:r>
      <w:r w:rsidR="5198B2D7" w:rsidRPr="6B1C6096">
        <w:rPr>
          <w:rFonts w:asciiTheme="minorHAnsi" w:hAnsiTheme="minorHAnsi" w:cstheme="minorBidi"/>
          <w:sz w:val="22"/>
          <w:szCs w:val="22"/>
        </w:rPr>
        <w:t>will require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an audit of the </w:t>
      </w:r>
      <w:bookmarkStart w:id="14" w:name="_Int_AeW1SNI0"/>
      <w:r w:rsidR="00CD6918" w:rsidRPr="6B1C6096">
        <w:rPr>
          <w:rFonts w:asciiTheme="minorHAnsi" w:hAnsiTheme="minorHAnsi" w:cstheme="minorBidi"/>
          <w:sz w:val="22"/>
          <w:szCs w:val="22"/>
        </w:rPr>
        <w:t>Quality of Care</w:t>
      </w:r>
      <w:bookmarkEnd w:id="14"/>
      <w:r w:rsidR="00CD6918" w:rsidRPr="6B1C6096">
        <w:rPr>
          <w:rFonts w:asciiTheme="minorHAnsi" w:hAnsiTheme="minorHAnsi" w:cstheme="minorBidi"/>
          <w:sz w:val="22"/>
          <w:szCs w:val="22"/>
        </w:rPr>
        <w:t xml:space="preserve"> Network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website content, and </w:t>
      </w:r>
      <w:bookmarkStart w:id="15" w:name="_Int_VUtdj6X7"/>
      <w:r w:rsidR="008018B0" w:rsidRPr="6B1C6096">
        <w:rPr>
          <w:rFonts w:asciiTheme="minorHAnsi" w:hAnsiTheme="minorHAnsi" w:cstheme="minorBidi"/>
          <w:sz w:val="22"/>
          <w:szCs w:val="22"/>
        </w:rPr>
        <w:t>probably a</w:t>
      </w:r>
      <w:bookmarkEnd w:id="15"/>
      <w:r w:rsidR="008018B0" w:rsidRPr="6B1C6096">
        <w:rPr>
          <w:rFonts w:asciiTheme="minorHAnsi" w:hAnsiTheme="minorHAnsi" w:cstheme="minorBidi"/>
          <w:sz w:val="22"/>
          <w:szCs w:val="22"/>
        </w:rPr>
        <w:t xml:space="preserve"> switch to </w:t>
      </w:r>
      <w:bookmarkStart w:id="16" w:name="_Int_Qx4Le2Bm"/>
      <w:r w:rsidR="008018B0" w:rsidRPr="6B1C6096">
        <w:rPr>
          <w:rFonts w:asciiTheme="minorHAnsi" w:hAnsiTheme="minorHAnsi" w:cstheme="minorBidi"/>
          <w:sz w:val="22"/>
          <w:szCs w:val="22"/>
        </w:rPr>
        <w:t>a new content</w:t>
      </w:r>
      <w:bookmarkEnd w:id="16"/>
      <w:r w:rsidR="008018B0" w:rsidRPr="6B1C6096">
        <w:rPr>
          <w:rFonts w:asciiTheme="minorHAnsi" w:hAnsiTheme="minorHAnsi" w:cstheme="minorBidi"/>
          <w:sz w:val="22"/>
          <w:szCs w:val="22"/>
        </w:rPr>
        <w:t xml:space="preserve"> management system. We suggest </w:t>
      </w:r>
      <w:r w:rsidR="006947EC" w:rsidRPr="6B1C6096">
        <w:rPr>
          <w:rFonts w:asciiTheme="minorHAnsi" w:hAnsiTheme="minorHAnsi" w:cstheme="minorBidi"/>
          <w:sz w:val="22"/>
          <w:szCs w:val="22"/>
        </w:rPr>
        <w:t>extending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the maintenance contract for the </w:t>
      </w:r>
      <w:bookmarkStart w:id="17" w:name="_Int_byRUrCJA"/>
      <w:r w:rsidR="008018B0" w:rsidRPr="6B1C6096">
        <w:rPr>
          <w:rFonts w:asciiTheme="minorHAnsi" w:hAnsiTheme="minorHAnsi" w:cstheme="minorBidi"/>
          <w:sz w:val="22"/>
          <w:szCs w:val="22"/>
        </w:rPr>
        <w:t>Q</w:t>
      </w:r>
      <w:r w:rsidR="00CD6918" w:rsidRPr="6B1C6096">
        <w:rPr>
          <w:rFonts w:asciiTheme="minorHAnsi" w:hAnsiTheme="minorHAnsi" w:cstheme="minorBidi"/>
          <w:sz w:val="22"/>
          <w:szCs w:val="22"/>
        </w:rPr>
        <w:t>uality of Care</w:t>
      </w:r>
      <w:bookmarkEnd w:id="17"/>
      <w:r w:rsidR="00CD6918" w:rsidRPr="6B1C6096">
        <w:rPr>
          <w:rFonts w:asciiTheme="minorHAnsi" w:hAnsiTheme="minorHAnsi" w:cstheme="minorBidi"/>
          <w:sz w:val="22"/>
          <w:szCs w:val="22"/>
        </w:rPr>
        <w:t xml:space="preserve"> Network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website until end of March 2024,</w:t>
      </w:r>
      <w:r w:rsidR="000F7A18" w:rsidRPr="6B1C6096">
        <w:rPr>
          <w:rFonts w:asciiTheme="minorHAnsi" w:hAnsiTheme="minorHAnsi" w:cstheme="minorBidi"/>
          <w:sz w:val="22"/>
          <w:szCs w:val="22"/>
        </w:rPr>
        <w:t xml:space="preserve"> and to i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nclude a link to </w:t>
      </w:r>
      <w:r w:rsidR="008018B0" w:rsidRPr="6B1C6096">
        <w:rPr>
          <w:rStyle w:val="Hyperlink"/>
          <w:rFonts w:asciiTheme="minorHAnsi" w:hAnsiTheme="minorHAnsi" w:cstheme="minorBidi"/>
          <w:color w:val="4471C4"/>
          <w:sz w:val="22"/>
          <w:szCs w:val="22"/>
        </w:rPr>
        <w:t>www.qualityofcarenetwork.org</w:t>
      </w:r>
      <w:r w:rsidR="008018B0" w:rsidRPr="6B1C6096">
        <w:rPr>
          <w:rFonts w:asciiTheme="minorHAnsi" w:hAnsiTheme="minorHAnsi" w:cstheme="minorBidi"/>
          <w:sz w:val="22"/>
          <w:szCs w:val="22"/>
        </w:rPr>
        <w:t xml:space="preserve"> in the new website until then</w:t>
      </w:r>
      <w:r w:rsidR="000F7A18" w:rsidRPr="6B1C6096">
        <w:rPr>
          <w:rFonts w:asciiTheme="minorHAnsi" w:hAnsiTheme="minorHAnsi" w:cstheme="minorBidi"/>
          <w:sz w:val="22"/>
          <w:szCs w:val="22"/>
        </w:rPr>
        <w:t xml:space="preserve">; </w:t>
      </w:r>
      <w:r w:rsidR="00AB5E84" w:rsidRPr="6B1C6096">
        <w:rPr>
          <w:rFonts w:asciiTheme="minorHAnsi" w:hAnsiTheme="minorHAnsi" w:cstheme="minorBidi"/>
          <w:sz w:val="22"/>
          <w:szCs w:val="22"/>
        </w:rPr>
        <w:t xml:space="preserve">migrate the </w:t>
      </w:r>
      <w:bookmarkStart w:id="18" w:name="_Int_jp6wuFfj"/>
      <w:r w:rsidR="00AB5E84" w:rsidRPr="6B1C6096">
        <w:rPr>
          <w:rFonts w:asciiTheme="minorHAnsi" w:hAnsiTheme="minorHAnsi" w:cstheme="minorBidi"/>
          <w:sz w:val="22"/>
          <w:szCs w:val="22"/>
        </w:rPr>
        <w:t>Q</w:t>
      </w:r>
      <w:r w:rsidR="00CD6918" w:rsidRPr="6B1C6096">
        <w:rPr>
          <w:rFonts w:asciiTheme="minorHAnsi" w:hAnsiTheme="minorHAnsi" w:cstheme="minorBidi"/>
          <w:sz w:val="22"/>
          <w:szCs w:val="22"/>
        </w:rPr>
        <w:t>uality of Care</w:t>
      </w:r>
      <w:bookmarkEnd w:id="18"/>
      <w:r w:rsidR="00CD6918" w:rsidRPr="6B1C6096">
        <w:rPr>
          <w:rFonts w:asciiTheme="minorHAnsi" w:hAnsiTheme="minorHAnsi" w:cstheme="minorBidi"/>
          <w:sz w:val="22"/>
          <w:szCs w:val="22"/>
        </w:rPr>
        <w:t xml:space="preserve"> Network</w:t>
      </w:r>
      <w:r w:rsidR="00AB5E84" w:rsidRPr="6B1C6096">
        <w:rPr>
          <w:rFonts w:asciiTheme="minorHAnsi" w:hAnsiTheme="minorHAnsi" w:cstheme="minorBidi"/>
          <w:sz w:val="22"/>
          <w:szCs w:val="22"/>
        </w:rPr>
        <w:t xml:space="preserve"> website in January-March 2024. </w:t>
      </w:r>
    </w:p>
    <w:p w14:paraId="783C89B7" w14:textId="77777777" w:rsidR="00AB5E84" w:rsidRDefault="00AB5E84" w:rsidP="00232BAE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43C864A1" w14:textId="42330A1A" w:rsidR="00232BAE" w:rsidRPr="000F7A18" w:rsidRDefault="008857F1" w:rsidP="40D83AD3">
      <w:pPr>
        <w:pStyle w:val="BodyText"/>
        <w:rPr>
          <w:rFonts w:asciiTheme="minorHAnsi" w:hAnsiTheme="minorHAnsi" w:cstheme="minorBidi"/>
          <w:sz w:val="22"/>
          <w:szCs w:val="22"/>
          <w:lang w:val="en-US"/>
        </w:rPr>
      </w:pPr>
      <w:r w:rsidRPr="207B3016">
        <w:rPr>
          <w:rFonts w:asciiTheme="minorHAnsi" w:hAnsiTheme="minorHAnsi" w:cstheme="minorBidi"/>
          <w:b/>
          <w:bCs/>
          <w:sz w:val="22"/>
          <w:szCs w:val="22"/>
        </w:rPr>
        <w:t>Branding:</w:t>
      </w:r>
      <w:r w:rsidR="00AB5E84" w:rsidRPr="207B3016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00FB6061" w:rsidRPr="207B3016">
        <w:rPr>
          <w:rFonts w:asciiTheme="minorHAnsi" w:hAnsiTheme="minorHAnsi" w:cstheme="minorBidi"/>
          <w:sz w:val="22"/>
          <w:szCs w:val="22"/>
        </w:rPr>
        <w:t xml:space="preserve"> A rebranding of ENAP EPMM is under consideration</w:t>
      </w:r>
      <w:r w:rsidR="799C6DE0" w:rsidRPr="207B3016">
        <w:rPr>
          <w:rFonts w:asciiTheme="minorHAnsi" w:hAnsiTheme="minorHAnsi" w:cstheme="minorBidi"/>
          <w:sz w:val="22"/>
          <w:szCs w:val="22"/>
        </w:rPr>
        <w:t xml:space="preserve"> </w:t>
      </w:r>
      <w:r w:rsidR="00FB6061" w:rsidRPr="207B3016">
        <w:rPr>
          <w:rFonts w:asciiTheme="minorHAnsi" w:hAnsiTheme="minorHAnsi" w:cstheme="minorBidi"/>
          <w:sz w:val="22"/>
          <w:szCs w:val="22"/>
        </w:rPr>
        <w:t xml:space="preserve">to move toward new accessible </w:t>
      </w:r>
      <w:r w:rsidR="00CD6918" w:rsidRPr="207B3016">
        <w:rPr>
          <w:rFonts w:asciiTheme="minorHAnsi" w:hAnsiTheme="minorHAnsi" w:cstheme="minorBidi"/>
          <w:sz w:val="22"/>
          <w:szCs w:val="22"/>
        </w:rPr>
        <w:t>language and</w:t>
      </w:r>
      <w:r w:rsidR="00FB6061" w:rsidRPr="207B3016">
        <w:rPr>
          <w:rFonts w:asciiTheme="minorHAnsi" w:hAnsiTheme="minorHAnsi" w:cstheme="minorBidi"/>
          <w:sz w:val="22"/>
          <w:szCs w:val="22"/>
        </w:rPr>
        <w:t xml:space="preserve"> will extend to the new website. But, since the rebranding</w:t>
      </w:r>
      <w:r w:rsidR="00EF3652">
        <w:rPr>
          <w:rFonts w:asciiTheme="minorHAnsi" w:hAnsiTheme="minorHAnsi" w:cstheme="minorBidi"/>
          <w:sz w:val="22"/>
          <w:szCs w:val="22"/>
        </w:rPr>
        <w:t xml:space="preserve"> </w:t>
      </w:r>
      <w:r w:rsidR="00A51E2D" w:rsidRPr="207B3016">
        <w:rPr>
          <w:rFonts w:asciiTheme="minorHAnsi" w:hAnsiTheme="minorHAnsi" w:cstheme="minorBidi"/>
          <w:sz w:val="22"/>
          <w:szCs w:val="22"/>
        </w:rPr>
        <w:t>is likely to be done in 2024, we propose to: a.</w:t>
      </w:r>
      <w:r w:rsidR="00FB6061" w:rsidRPr="207B3016">
        <w:rPr>
          <w:rFonts w:asciiTheme="minorHAnsi" w:hAnsiTheme="minorHAnsi" w:cstheme="minorBidi"/>
          <w:sz w:val="22"/>
          <w:szCs w:val="22"/>
        </w:rPr>
        <w:t xml:space="preserve"> include in our T</w:t>
      </w:r>
      <w:r w:rsidR="00CD6918" w:rsidRPr="207B3016">
        <w:rPr>
          <w:rFonts w:asciiTheme="minorHAnsi" w:hAnsiTheme="minorHAnsi" w:cstheme="minorBidi"/>
          <w:sz w:val="22"/>
          <w:szCs w:val="22"/>
        </w:rPr>
        <w:t>erms of Reference</w:t>
      </w:r>
      <w:r w:rsidR="00FB6061" w:rsidRPr="207B3016">
        <w:rPr>
          <w:rFonts w:asciiTheme="minorHAnsi" w:hAnsiTheme="minorHAnsi" w:cstheme="minorBidi"/>
          <w:sz w:val="22"/>
          <w:szCs w:val="22"/>
        </w:rPr>
        <w:t xml:space="preserve"> for the web developer that the logo, colour palette and fonts may </w:t>
      </w:r>
      <w:r w:rsidR="000F7A18" w:rsidRPr="207B3016">
        <w:rPr>
          <w:rFonts w:asciiTheme="minorHAnsi" w:hAnsiTheme="minorHAnsi" w:cstheme="minorBidi"/>
          <w:sz w:val="22"/>
          <w:szCs w:val="22"/>
        </w:rPr>
        <w:t xml:space="preserve">change as per the rebranding </w:t>
      </w:r>
      <w:r w:rsidR="00A51E2D" w:rsidRPr="207B3016">
        <w:rPr>
          <w:rFonts w:asciiTheme="minorHAnsi" w:hAnsiTheme="minorHAnsi" w:cstheme="minorBidi"/>
          <w:sz w:val="22"/>
          <w:szCs w:val="22"/>
        </w:rPr>
        <w:t xml:space="preserve">in </w:t>
      </w:r>
      <w:r w:rsidR="00EF2260" w:rsidRPr="207B3016">
        <w:rPr>
          <w:rFonts w:asciiTheme="minorHAnsi" w:hAnsiTheme="minorHAnsi" w:cstheme="minorBidi"/>
          <w:sz w:val="22"/>
          <w:szCs w:val="22"/>
        </w:rPr>
        <w:t>2024 and</w:t>
      </w:r>
      <w:r w:rsidR="006370B7" w:rsidRPr="207B3016">
        <w:rPr>
          <w:rFonts w:asciiTheme="minorHAnsi" w:hAnsiTheme="minorHAnsi" w:cstheme="minorBidi"/>
          <w:sz w:val="22"/>
          <w:szCs w:val="22"/>
        </w:rPr>
        <w:t xml:space="preserve"> ask them to budget for it</w:t>
      </w:r>
      <w:r w:rsidR="00A51E2D" w:rsidRPr="207B3016">
        <w:rPr>
          <w:rFonts w:asciiTheme="minorHAnsi" w:hAnsiTheme="minorHAnsi" w:cstheme="minorBidi"/>
          <w:sz w:val="22"/>
          <w:szCs w:val="22"/>
        </w:rPr>
        <w:t xml:space="preserve">; </w:t>
      </w:r>
      <w:r w:rsidR="000F7A18" w:rsidRPr="207B3016">
        <w:rPr>
          <w:rFonts w:asciiTheme="minorHAnsi" w:hAnsiTheme="minorHAnsi" w:cstheme="minorBidi"/>
          <w:sz w:val="22"/>
          <w:szCs w:val="22"/>
        </w:rPr>
        <w:t xml:space="preserve">and b. indicate to the creative agency leading the rebranding the few characteristics of the new website that </w:t>
      </w:r>
      <w:r w:rsidR="2FB62FE4" w:rsidRPr="207B3016">
        <w:rPr>
          <w:rFonts w:asciiTheme="minorHAnsi" w:hAnsiTheme="minorHAnsi" w:cstheme="minorBidi"/>
          <w:sz w:val="22"/>
          <w:szCs w:val="22"/>
        </w:rPr>
        <w:t>cannot</w:t>
      </w:r>
      <w:r w:rsidR="000F7A18" w:rsidRPr="207B3016">
        <w:rPr>
          <w:rFonts w:asciiTheme="minorHAnsi" w:hAnsiTheme="minorHAnsi" w:cstheme="minorBidi"/>
          <w:sz w:val="22"/>
          <w:szCs w:val="22"/>
        </w:rPr>
        <w:t xml:space="preserve"> change (such as the name and URL). </w:t>
      </w:r>
      <w:r w:rsidR="67710EF8" w:rsidRPr="207B3016">
        <w:rPr>
          <w:rFonts w:asciiTheme="minorHAnsi" w:hAnsiTheme="minorHAnsi" w:cstheme="minorBidi"/>
          <w:sz w:val="22"/>
          <w:szCs w:val="22"/>
        </w:rPr>
        <w:t>The new website will feature WHO, UNICEF and UNFPA logos</w:t>
      </w:r>
      <w:r w:rsidR="0D83FEDE" w:rsidRPr="207B3016">
        <w:rPr>
          <w:rFonts w:asciiTheme="minorHAnsi" w:hAnsiTheme="minorHAnsi" w:cstheme="minorBidi"/>
          <w:sz w:val="22"/>
          <w:szCs w:val="22"/>
        </w:rPr>
        <w:t xml:space="preserve">. </w:t>
      </w:r>
    </w:p>
    <w:sectPr w:rsidR="00232BAE" w:rsidRPr="000F7A1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75D6D" w14:textId="77777777" w:rsidR="003D45DE" w:rsidRDefault="003D45DE" w:rsidP="007D0919">
      <w:pPr>
        <w:spacing w:after="0" w:line="240" w:lineRule="auto"/>
      </w:pPr>
      <w:r>
        <w:separator/>
      </w:r>
    </w:p>
  </w:endnote>
  <w:endnote w:type="continuationSeparator" w:id="0">
    <w:p w14:paraId="41261903" w14:textId="77777777" w:rsidR="003D45DE" w:rsidRDefault="003D45DE" w:rsidP="007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160F" w14:textId="77777777" w:rsidR="003D45DE" w:rsidRDefault="003D45DE" w:rsidP="007D0919">
      <w:pPr>
        <w:spacing w:after="0" w:line="240" w:lineRule="auto"/>
      </w:pPr>
      <w:r>
        <w:separator/>
      </w:r>
    </w:p>
  </w:footnote>
  <w:footnote w:type="continuationSeparator" w:id="0">
    <w:p w14:paraId="57E783C1" w14:textId="77777777" w:rsidR="003D45DE" w:rsidRDefault="003D45DE" w:rsidP="007D0919">
      <w:pPr>
        <w:spacing w:after="0" w:line="240" w:lineRule="auto"/>
      </w:pPr>
      <w:r>
        <w:continuationSeparator/>
      </w:r>
    </w:p>
  </w:footnote>
  <w:footnote w:id="1">
    <w:p w14:paraId="720EA862" w14:textId="3F6A8349" w:rsidR="00243579" w:rsidRDefault="00243579">
      <w:pPr>
        <w:pStyle w:val="FootnoteText"/>
      </w:pPr>
      <w:r>
        <w:rPr>
          <w:rStyle w:val="FootnoteReference"/>
        </w:rPr>
        <w:footnoteRef/>
      </w:r>
      <w:r>
        <w:t xml:space="preserve"> The new website will link to the MCA data portal.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492F" w14:textId="77777777" w:rsidR="007D790D" w:rsidRDefault="007D790D">
    <w:pPr>
      <w:pStyle w:val="BodyText"/>
      <w:spacing w:line="14" w:lineRule="auto"/>
      <w:rPr>
        <w:sz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a34clZN/00v0/" int2:id="S3o37Hgy">
      <int2:state int2:value="Rejected" int2:type="AugLoop_Text_Critique"/>
    </int2:textHash>
    <int2:textHash int2:hashCode="ni8UUdXdlt6RIo" int2:id="bYNOXxtW">
      <int2:state int2:value="Rejected" int2:type="AugLoop_Text_Critique"/>
    </int2:textHash>
    <int2:textHash int2:hashCode="RhU7PHzttkRjF3" int2:id="nV9o50U1">
      <int2:state int2:value="Rejected" int2:type="AugLoop_Text_Critique"/>
    </int2:textHash>
    <int2:textHash int2:hashCode="kByidkXaRxGvMx" int2:id="JOLSqBQB">
      <int2:state int2:value="Rejected" int2:type="AugLoop_Text_Critique"/>
    </int2:textHash>
    <int2:textHash int2:hashCode="OrtZNwJC/JiGrS" int2:id="hE3Lsm0c">
      <int2:state int2:value="Rejected" int2:type="AugLoop_Text_Critique"/>
    </int2:textHash>
    <int2:textHash int2:hashCode="/k1HT17aWVYsY6" int2:id="QFr2RTri">
      <int2:state int2:value="Rejected" int2:type="AugLoop_Text_Critique"/>
    </int2:textHash>
    <int2:textHash int2:hashCode="P2232o6V9iOslc" int2:id="lcZignfh">
      <int2:state int2:value="Rejected" int2:type="AugLoop_Text_Critique"/>
    </int2:textHash>
    <int2:bookmark int2:bookmarkName="_Int_Qx4Le2Bm" int2:invalidationBookmarkName="" int2:hashCode="IwCiCj+aGeuI5p" int2:id="rfNeeUI8">
      <int2:state int2:value="Rejected" int2:type="AugLoop_Text_Critique"/>
    </int2:bookmark>
    <int2:bookmark int2:bookmarkName="_Int_VUtdj6X7" int2:invalidationBookmarkName="" int2:hashCode="tjQt8WpNoyDnTn" int2:id="a5dgumI1">
      <int2:state int2:value="Rejected" int2:type="AugLoop_Text_Critique"/>
    </int2:bookmark>
    <int2:bookmark int2:bookmarkName="_Int_kxfli3YS" int2:invalidationBookmarkName="" int2:hashCode="LA1Afk2rb8w2sa" int2:id="WDommOte">
      <int2:state int2:value="Rejected" int2:type="AugLoop_Text_Critique"/>
    </int2:bookmark>
    <int2:bookmark int2:bookmarkName="_Int_jp6wuFfj" int2:invalidationBookmarkName="" int2:hashCode="s683cBhZadZ3hh" int2:id="9kNpvUNX">
      <int2:state int2:value="Rejected" int2:type="AugLoop_Text_Critique"/>
    </int2:bookmark>
    <int2:bookmark int2:bookmarkName="_Int_AeW1SNI0" int2:invalidationBookmarkName="" int2:hashCode="s683cBhZadZ3hh" int2:id="xhGEYbNS">
      <int2:state int2:value="Rejected" int2:type="AugLoop_Text_Critique"/>
    </int2:bookmark>
    <int2:bookmark int2:bookmarkName="_Int_byRUrCJA" int2:invalidationBookmarkName="" int2:hashCode="s683cBhZadZ3hh" int2:id="Xpkc8U9a">
      <int2:state int2:value="Rejected" int2:type="AugLoop_Text_Critique"/>
    </int2:bookmark>
    <int2:bookmark int2:bookmarkName="_Int_ll7AI0l5" int2:invalidationBookmarkName="" int2:hashCode="s683cBhZadZ3hh" int2:id="VCcG1n7S">
      <int2:state int2:value="Rejected" int2:type="AugLoop_Text_Critique"/>
    </int2:bookmark>
    <int2:bookmark int2:bookmarkName="_Int_wBBqM3KN" int2:invalidationBookmarkName="" int2:hashCode="s683cBhZadZ3hh" int2:id="Pt0s6qS8">
      <int2:state int2:value="Rejected" int2:type="AugLoop_Text_Critique"/>
    </int2:bookmark>
    <int2:bookmark int2:bookmarkName="_Int_GdLBH8a9" int2:invalidationBookmarkName="" int2:hashCode="s683cBhZadZ3hh" int2:id="MUJucmVJ">
      <int2:state int2:value="Rejected" int2:type="AugLoop_Text_Critique"/>
    </int2:bookmark>
    <int2:bookmark int2:bookmarkName="_Int_BI5Ov0FQ" int2:invalidationBookmarkName="" int2:hashCode="8ecaxokFqeKYeT" int2:id="aQ2QBjjJ">
      <int2:state int2:value="Rejected" int2:type="AugLoop_Text_Critique"/>
    </int2:bookmark>
    <int2:bookmark int2:bookmarkName="_Int_NqOyLq4V" int2:invalidationBookmarkName="" int2:hashCode="A5r7UjOonCryc9" int2:id="I1C4M7RA">
      <int2:state int2:value="Rejected" int2:type="AugLoop_Text_Critique"/>
    </int2:bookmark>
    <int2:bookmark int2:bookmarkName="_Int_oguF2gm4" int2:invalidationBookmarkName="" int2:hashCode="Zr5HO3gvfSgysE" int2:id="HUfV72fp">
      <int2:state int2:value="Rejected" int2:type="AugLoop_Acronyms_AcronymsCritique"/>
    </int2:bookmark>
    <int2:bookmark int2:bookmarkName="_Int_eTM18vTM" int2:invalidationBookmarkName="" int2:hashCode="6Bm9dvVQ0govy/" int2:id="pZMWlmzM">
      <int2:state int2:value="Rejected" int2:type="AugLoop_Acronyms_AcronymsCritique"/>
    </int2:bookmark>
    <int2:bookmark int2:bookmarkName="_Int_SmkywcSL" int2:invalidationBookmarkName="" int2:hashCode="FC/B1V6dUd8mgx" int2:id="Xd83FD3J">
      <int2:state int2:value="Rejected" int2:type="AugLoop_Acronyms_Acronyms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0EB"/>
    <w:multiLevelType w:val="hybridMultilevel"/>
    <w:tmpl w:val="C61A8AB4"/>
    <w:lvl w:ilvl="0" w:tplc="6A2CB48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64592"/>
    <w:multiLevelType w:val="hybridMultilevel"/>
    <w:tmpl w:val="5008C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787A"/>
    <w:multiLevelType w:val="hybridMultilevel"/>
    <w:tmpl w:val="25103AC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B4D4F"/>
    <w:multiLevelType w:val="hybridMultilevel"/>
    <w:tmpl w:val="221C1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506DE"/>
    <w:multiLevelType w:val="hybridMultilevel"/>
    <w:tmpl w:val="335E1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5D55"/>
    <w:multiLevelType w:val="hybridMultilevel"/>
    <w:tmpl w:val="B55AD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61380"/>
    <w:multiLevelType w:val="hybridMultilevel"/>
    <w:tmpl w:val="7452C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F7247"/>
    <w:multiLevelType w:val="hybridMultilevel"/>
    <w:tmpl w:val="D6EA5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03EEA"/>
    <w:multiLevelType w:val="hybridMultilevel"/>
    <w:tmpl w:val="9724B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D7C57"/>
    <w:multiLevelType w:val="hybridMultilevel"/>
    <w:tmpl w:val="BEBA99F2"/>
    <w:lvl w:ilvl="0" w:tplc="68E8284A">
      <w:numFmt w:val="bullet"/>
      <w:lvlText w:val="•"/>
      <w:lvlJc w:val="left"/>
      <w:pPr>
        <w:ind w:left="283" w:hanging="284"/>
      </w:pPr>
      <w:rPr>
        <w:rFonts w:ascii="Arial" w:eastAsia="Arial" w:hAnsi="Arial" w:cs="Arial" w:hint="default"/>
        <w:color w:val="231F20"/>
        <w:w w:val="102"/>
        <w:sz w:val="24"/>
        <w:szCs w:val="24"/>
        <w:lang w:val="en-GB" w:eastAsia="en-GB" w:bidi="en-GB"/>
      </w:rPr>
    </w:lvl>
    <w:lvl w:ilvl="1" w:tplc="065663B4">
      <w:numFmt w:val="bullet"/>
      <w:lvlText w:val="•"/>
      <w:lvlJc w:val="left"/>
      <w:pPr>
        <w:ind w:left="837" w:hanging="284"/>
      </w:pPr>
      <w:rPr>
        <w:rFonts w:hint="default"/>
        <w:lang w:val="en-GB" w:eastAsia="en-GB" w:bidi="en-GB"/>
      </w:rPr>
    </w:lvl>
    <w:lvl w:ilvl="2" w:tplc="856CE576">
      <w:numFmt w:val="bullet"/>
      <w:lvlText w:val="•"/>
      <w:lvlJc w:val="left"/>
      <w:pPr>
        <w:ind w:left="1394" w:hanging="284"/>
      </w:pPr>
      <w:rPr>
        <w:rFonts w:hint="default"/>
        <w:lang w:val="en-GB" w:eastAsia="en-GB" w:bidi="en-GB"/>
      </w:rPr>
    </w:lvl>
    <w:lvl w:ilvl="3" w:tplc="71E864A8">
      <w:numFmt w:val="bullet"/>
      <w:lvlText w:val="•"/>
      <w:lvlJc w:val="left"/>
      <w:pPr>
        <w:ind w:left="1952" w:hanging="284"/>
      </w:pPr>
      <w:rPr>
        <w:rFonts w:hint="default"/>
        <w:lang w:val="en-GB" w:eastAsia="en-GB" w:bidi="en-GB"/>
      </w:rPr>
    </w:lvl>
    <w:lvl w:ilvl="4" w:tplc="0400E1C2">
      <w:numFmt w:val="bullet"/>
      <w:lvlText w:val="•"/>
      <w:lvlJc w:val="left"/>
      <w:pPr>
        <w:ind w:left="2509" w:hanging="284"/>
      </w:pPr>
      <w:rPr>
        <w:rFonts w:hint="default"/>
        <w:lang w:val="en-GB" w:eastAsia="en-GB" w:bidi="en-GB"/>
      </w:rPr>
    </w:lvl>
    <w:lvl w:ilvl="5" w:tplc="72583D6C">
      <w:numFmt w:val="bullet"/>
      <w:lvlText w:val="•"/>
      <w:lvlJc w:val="left"/>
      <w:pPr>
        <w:ind w:left="3066" w:hanging="284"/>
      </w:pPr>
      <w:rPr>
        <w:rFonts w:hint="default"/>
        <w:lang w:val="en-GB" w:eastAsia="en-GB" w:bidi="en-GB"/>
      </w:rPr>
    </w:lvl>
    <w:lvl w:ilvl="6" w:tplc="CC927C82">
      <w:numFmt w:val="bullet"/>
      <w:lvlText w:val="•"/>
      <w:lvlJc w:val="left"/>
      <w:pPr>
        <w:ind w:left="3624" w:hanging="284"/>
      </w:pPr>
      <w:rPr>
        <w:rFonts w:hint="default"/>
        <w:lang w:val="en-GB" w:eastAsia="en-GB" w:bidi="en-GB"/>
      </w:rPr>
    </w:lvl>
    <w:lvl w:ilvl="7" w:tplc="FB5CACBE">
      <w:numFmt w:val="bullet"/>
      <w:lvlText w:val="•"/>
      <w:lvlJc w:val="left"/>
      <w:pPr>
        <w:ind w:left="4181" w:hanging="284"/>
      </w:pPr>
      <w:rPr>
        <w:rFonts w:hint="default"/>
        <w:lang w:val="en-GB" w:eastAsia="en-GB" w:bidi="en-GB"/>
      </w:rPr>
    </w:lvl>
    <w:lvl w:ilvl="8" w:tplc="8AAECDC0">
      <w:numFmt w:val="bullet"/>
      <w:lvlText w:val="•"/>
      <w:lvlJc w:val="left"/>
      <w:pPr>
        <w:ind w:left="4738" w:hanging="284"/>
      </w:pPr>
      <w:rPr>
        <w:rFonts w:hint="default"/>
        <w:lang w:val="en-GB" w:eastAsia="en-GB" w:bidi="en-GB"/>
      </w:rPr>
    </w:lvl>
  </w:abstractNum>
  <w:abstractNum w:abstractNumId="10" w15:restartNumberingAfterBreak="0">
    <w:nsid w:val="2E553356"/>
    <w:multiLevelType w:val="hybridMultilevel"/>
    <w:tmpl w:val="321A5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818F7"/>
    <w:multiLevelType w:val="hybridMultilevel"/>
    <w:tmpl w:val="DC9CD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00661"/>
    <w:multiLevelType w:val="hybridMultilevel"/>
    <w:tmpl w:val="F53490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A6F8F"/>
    <w:multiLevelType w:val="hybridMultilevel"/>
    <w:tmpl w:val="3086F974"/>
    <w:lvl w:ilvl="0" w:tplc="5BC2B0BA">
      <w:numFmt w:val="bullet"/>
      <w:lvlText w:val="•"/>
      <w:lvlJc w:val="left"/>
      <w:pPr>
        <w:ind w:left="420" w:hanging="284"/>
      </w:pPr>
      <w:rPr>
        <w:rFonts w:ascii="Arial" w:eastAsia="Arial" w:hAnsi="Arial" w:cs="Arial" w:hint="default"/>
        <w:color w:val="231F20"/>
        <w:w w:val="102"/>
        <w:sz w:val="24"/>
        <w:szCs w:val="24"/>
        <w:lang w:val="en-GB" w:eastAsia="en-GB" w:bidi="en-GB"/>
      </w:rPr>
    </w:lvl>
    <w:lvl w:ilvl="1" w:tplc="63FC4988">
      <w:numFmt w:val="bullet"/>
      <w:lvlText w:val="•"/>
      <w:lvlJc w:val="left"/>
      <w:pPr>
        <w:ind w:left="987" w:hanging="284"/>
      </w:pPr>
      <w:rPr>
        <w:rFonts w:ascii="Arial" w:eastAsia="Arial" w:hAnsi="Arial" w:cs="Arial" w:hint="default"/>
        <w:color w:val="231F20"/>
        <w:w w:val="102"/>
        <w:sz w:val="24"/>
        <w:szCs w:val="24"/>
        <w:lang w:val="en-GB" w:eastAsia="en-GB" w:bidi="en-GB"/>
      </w:rPr>
    </w:lvl>
    <w:lvl w:ilvl="2" w:tplc="6AFA77B6">
      <w:numFmt w:val="bullet"/>
      <w:lvlText w:val="•"/>
      <w:lvlJc w:val="left"/>
      <w:pPr>
        <w:ind w:left="1907" w:hanging="284"/>
      </w:pPr>
      <w:rPr>
        <w:rFonts w:hint="default"/>
        <w:lang w:val="en-GB" w:eastAsia="en-GB" w:bidi="en-GB"/>
      </w:rPr>
    </w:lvl>
    <w:lvl w:ilvl="3" w:tplc="26B8BDC6">
      <w:numFmt w:val="bullet"/>
      <w:lvlText w:val="•"/>
      <w:lvlJc w:val="left"/>
      <w:pPr>
        <w:ind w:left="2834" w:hanging="284"/>
      </w:pPr>
      <w:rPr>
        <w:rFonts w:hint="default"/>
        <w:lang w:val="en-GB" w:eastAsia="en-GB" w:bidi="en-GB"/>
      </w:rPr>
    </w:lvl>
    <w:lvl w:ilvl="4" w:tplc="FAF88A42">
      <w:numFmt w:val="bullet"/>
      <w:lvlText w:val="•"/>
      <w:lvlJc w:val="left"/>
      <w:pPr>
        <w:ind w:left="3761" w:hanging="284"/>
      </w:pPr>
      <w:rPr>
        <w:rFonts w:hint="default"/>
        <w:lang w:val="en-GB" w:eastAsia="en-GB" w:bidi="en-GB"/>
      </w:rPr>
    </w:lvl>
    <w:lvl w:ilvl="5" w:tplc="AB008AB2">
      <w:numFmt w:val="bullet"/>
      <w:lvlText w:val="•"/>
      <w:lvlJc w:val="left"/>
      <w:pPr>
        <w:ind w:left="4689" w:hanging="284"/>
      </w:pPr>
      <w:rPr>
        <w:rFonts w:hint="default"/>
        <w:lang w:val="en-GB" w:eastAsia="en-GB" w:bidi="en-GB"/>
      </w:rPr>
    </w:lvl>
    <w:lvl w:ilvl="6" w:tplc="62CA78D0">
      <w:numFmt w:val="bullet"/>
      <w:lvlText w:val="•"/>
      <w:lvlJc w:val="left"/>
      <w:pPr>
        <w:ind w:left="5616" w:hanging="284"/>
      </w:pPr>
      <w:rPr>
        <w:rFonts w:hint="default"/>
        <w:lang w:val="en-GB" w:eastAsia="en-GB" w:bidi="en-GB"/>
      </w:rPr>
    </w:lvl>
    <w:lvl w:ilvl="7" w:tplc="5B74F2B0">
      <w:numFmt w:val="bullet"/>
      <w:lvlText w:val="•"/>
      <w:lvlJc w:val="left"/>
      <w:pPr>
        <w:ind w:left="6543" w:hanging="284"/>
      </w:pPr>
      <w:rPr>
        <w:rFonts w:hint="default"/>
        <w:lang w:val="en-GB" w:eastAsia="en-GB" w:bidi="en-GB"/>
      </w:rPr>
    </w:lvl>
    <w:lvl w:ilvl="8" w:tplc="FD40283A">
      <w:numFmt w:val="bullet"/>
      <w:lvlText w:val="•"/>
      <w:lvlJc w:val="left"/>
      <w:pPr>
        <w:ind w:left="7470" w:hanging="284"/>
      </w:pPr>
      <w:rPr>
        <w:rFonts w:hint="default"/>
        <w:lang w:val="en-GB" w:eastAsia="en-GB" w:bidi="en-GB"/>
      </w:rPr>
    </w:lvl>
  </w:abstractNum>
  <w:abstractNum w:abstractNumId="14" w15:restartNumberingAfterBreak="0">
    <w:nsid w:val="474A23CF"/>
    <w:multiLevelType w:val="hybridMultilevel"/>
    <w:tmpl w:val="DA5A2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D0EC3"/>
    <w:multiLevelType w:val="hybridMultilevel"/>
    <w:tmpl w:val="B8DC5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33300"/>
    <w:multiLevelType w:val="hybridMultilevel"/>
    <w:tmpl w:val="8A3CB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04EC9"/>
    <w:multiLevelType w:val="hybridMultilevel"/>
    <w:tmpl w:val="5828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C560E"/>
    <w:multiLevelType w:val="hybridMultilevel"/>
    <w:tmpl w:val="2A0A2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C0E60"/>
    <w:multiLevelType w:val="hybridMultilevel"/>
    <w:tmpl w:val="44EED148"/>
    <w:lvl w:ilvl="0" w:tplc="410E328C">
      <w:numFmt w:val="bullet"/>
      <w:lvlText w:val="•"/>
      <w:lvlJc w:val="left"/>
      <w:pPr>
        <w:ind w:left="283" w:hanging="284"/>
      </w:pPr>
      <w:rPr>
        <w:rFonts w:ascii="Arial" w:eastAsia="Arial" w:hAnsi="Arial" w:cs="Arial" w:hint="default"/>
        <w:color w:val="231F20"/>
        <w:w w:val="102"/>
        <w:sz w:val="24"/>
        <w:szCs w:val="24"/>
        <w:lang w:val="en-GB" w:eastAsia="en-GB" w:bidi="en-GB"/>
      </w:rPr>
    </w:lvl>
    <w:lvl w:ilvl="1" w:tplc="94D2DBAC">
      <w:numFmt w:val="bullet"/>
      <w:lvlText w:val="•"/>
      <w:lvlJc w:val="left"/>
      <w:pPr>
        <w:ind w:left="780" w:hanging="284"/>
      </w:pPr>
      <w:rPr>
        <w:rFonts w:hint="default"/>
        <w:lang w:val="en-GB" w:eastAsia="en-GB" w:bidi="en-GB"/>
      </w:rPr>
    </w:lvl>
    <w:lvl w:ilvl="2" w:tplc="DA128A98">
      <w:numFmt w:val="bullet"/>
      <w:lvlText w:val="•"/>
      <w:lvlJc w:val="left"/>
      <w:pPr>
        <w:ind w:left="1280" w:hanging="284"/>
      </w:pPr>
      <w:rPr>
        <w:rFonts w:hint="default"/>
        <w:lang w:val="en-GB" w:eastAsia="en-GB" w:bidi="en-GB"/>
      </w:rPr>
    </w:lvl>
    <w:lvl w:ilvl="3" w:tplc="6BB46554">
      <w:numFmt w:val="bullet"/>
      <w:lvlText w:val="•"/>
      <w:lvlJc w:val="left"/>
      <w:pPr>
        <w:ind w:left="1780" w:hanging="284"/>
      </w:pPr>
      <w:rPr>
        <w:rFonts w:hint="default"/>
        <w:lang w:val="en-GB" w:eastAsia="en-GB" w:bidi="en-GB"/>
      </w:rPr>
    </w:lvl>
    <w:lvl w:ilvl="4" w:tplc="BF1077F0">
      <w:numFmt w:val="bullet"/>
      <w:lvlText w:val="•"/>
      <w:lvlJc w:val="left"/>
      <w:pPr>
        <w:ind w:left="2280" w:hanging="284"/>
      </w:pPr>
      <w:rPr>
        <w:rFonts w:hint="default"/>
        <w:lang w:val="en-GB" w:eastAsia="en-GB" w:bidi="en-GB"/>
      </w:rPr>
    </w:lvl>
    <w:lvl w:ilvl="5" w:tplc="C6740AA8">
      <w:numFmt w:val="bullet"/>
      <w:lvlText w:val="•"/>
      <w:lvlJc w:val="left"/>
      <w:pPr>
        <w:ind w:left="2780" w:hanging="284"/>
      </w:pPr>
      <w:rPr>
        <w:rFonts w:hint="default"/>
        <w:lang w:val="en-GB" w:eastAsia="en-GB" w:bidi="en-GB"/>
      </w:rPr>
    </w:lvl>
    <w:lvl w:ilvl="6" w:tplc="4EFA2412">
      <w:numFmt w:val="bullet"/>
      <w:lvlText w:val="•"/>
      <w:lvlJc w:val="left"/>
      <w:pPr>
        <w:ind w:left="3280" w:hanging="284"/>
      </w:pPr>
      <w:rPr>
        <w:rFonts w:hint="default"/>
        <w:lang w:val="en-GB" w:eastAsia="en-GB" w:bidi="en-GB"/>
      </w:rPr>
    </w:lvl>
    <w:lvl w:ilvl="7" w:tplc="108AF8AA">
      <w:numFmt w:val="bullet"/>
      <w:lvlText w:val="•"/>
      <w:lvlJc w:val="left"/>
      <w:pPr>
        <w:ind w:left="3780" w:hanging="284"/>
      </w:pPr>
      <w:rPr>
        <w:rFonts w:hint="default"/>
        <w:lang w:val="en-GB" w:eastAsia="en-GB" w:bidi="en-GB"/>
      </w:rPr>
    </w:lvl>
    <w:lvl w:ilvl="8" w:tplc="24F2ACC4">
      <w:numFmt w:val="bullet"/>
      <w:lvlText w:val="•"/>
      <w:lvlJc w:val="left"/>
      <w:pPr>
        <w:ind w:left="4280" w:hanging="284"/>
      </w:pPr>
      <w:rPr>
        <w:rFonts w:hint="default"/>
        <w:lang w:val="en-GB" w:eastAsia="en-GB" w:bidi="en-GB"/>
      </w:rPr>
    </w:lvl>
  </w:abstractNum>
  <w:abstractNum w:abstractNumId="20" w15:restartNumberingAfterBreak="0">
    <w:nsid w:val="72601B7B"/>
    <w:multiLevelType w:val="hybridMultilevel"/>
    <w:tmpl w:val="F9EE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32380"/>
    <w:multiLevelType w:val="hybridMultilevel"/>
    <w:tmpl w:val="641E6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504B6"/>
    <w:multiLevelType w:val="hybridMultilevel"/>
    <w:tmpl w:val="DFA2C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6"/>
  </w:num>
  <w:num w:numId="8">
    <w:abstractNumId w:val="9"/>
  </w:num>
  <w:num w:numId="9">
    <w:abstractNumId w:val="19"/>
  </w:num>
  <w:num w:numId="10">
    <w:abstractNumId w:val="13"/>
  </w:num>
  <w:num w:numId="11">
    <w:abstractNumId w:val="17"/>
  </w:num>
  <w:num w:numId="12">
    <w:abstractNumId w:val="4"/>
  </w:num>
  <w:num w:numId="13">
    <w:abstractNumId w:val="3"/>
  </w:num>
  <w:num w:numId="14">
    <w:abstractNumId w:val="7"/>
  </w:num>
  <w:num w:numId="15">
    <w:abstractNumId w:val="12"/>
  </w:num>
  <w:num w:numId="16">
    <w:abstractNumId w:val="14"/>
  </w:num>
  <w:num w:numId="17">
    <w:abstractNumId w:val="15"/>
  </w:num>
  <w:num w:numId="18">
    <w:abstractNumId w:val="1"/>
  </w:num>
  <w:num w:numId="19">
    <w:abstractNumId w:val="20"/>
  </w:num>
  <w:num w:numId="20">
    <w:abstractNumId w:val="8"/>
  </w:num>
  <w:num w:numId="21">
    <w:abstractNumId w:val="18"/>
  </w:num>
  <w:num w:numId="22">
    <w:abstractNumId w:val="2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C05"/>
    <w:rsid w:val="00013E11"/>
    <w:rsid w:val="000142ED"/>
    <w:rsid w:val="0003797C"/>
    <w:rsid w:val="00043EB3"/>
    <w:rsid w:val="00055404"/>
    <w:rsid w:val="00060EF2"/>
    <w:rsid w:val="00071E18"/>
    <w:rsid w:val="00093EBA"/>
    <w:rsid w:val="000C44E9"/>
    <w:rsid w:val="000C4F70"/>
    <w:rsid w:val="000D6D43"/>
    <w:rsid w:val="000D7EEF"/>
    <w:rsid w:val="000F7A18"/>
    <w:rsid w:val="00101A88"/>
    <w:rsid w:val="0010332D"/>
    <w:rsid w:val="001079C7"/>
    <w:rsid w:val="001213F0"/>
    <w:rsid w:val="001614B8"/>
    <w:rsid w:val="001648B3"/>
    <w:rsid w:val="001B50AD"/>
    <w:rsid w:val="001D3354"/>
    <w:rsid w:val="001F41AC"/>
    <w:rsid w:val="001F6E6F"/>
    <w:rsid w:val="00206B07"/>
    <w:rsid w:val="00210ED6"/>
    <w:rsid w:val="00232BAE"/>
    <w:rsid w:val="00243579"/>
    <w:rsid w:val="00297D4B"/>
    <w:rsid w:val="00336682"/>
    <w:rsid w:val="00336745"/>
    <w:rsid w:val="00337B9F"/>
    <w:rsid w:val="003D45DE"/>
    <w:rsid w:val="004113C7"/>
    <w:rsid w:val="0041727E"/>
    <w:rsid w:val="0044517A"/>
    <w:rsid w:val="0046073C"/>
    <w:rsid w:val="004806AB"/>
    <w:rsid w:val="00492EB1"/>
    <w:rsid w:val="004A3974"/>
    <w:rsid w:val="004E720A"/>
    <w:rsid w:val="00506AD7"/>
    <w:rsid w:val="00522247"/>
    <w:rsid w:val="00522D7F"/>
    <w:rsid w:val="00535540"/>
    <w:rsid w:val="00543CC3"/>
    <w:rsid w:val="00582C9C"/>
    <w:rsid w:val="00596BE5"/>
    <w:rsid w:val="005A2959"/>
    <w:rsid w:val="005F15D1"/>
    <w:rsid w:val="006104DD"/>
    <w:rsid w:val="00620A6D"/>
    <w:rsid w:val="006370B7"/>
    <w:rsid w:val="00647618"/>
    <w:rsid w:val="00662D61"/>
    <w:rsid w:val="00665B1B"/>
    <w:rsid w:val="00676ADB"/>
    <w:rsid w:val="006947EC"/>
    <w:rsid w:val="006A5B87"/>
    <w:rsid w:val="007152F0"/>
    <w:rsid w:val="00715875"/>
    <w:rsid w:val="00726A31"/>
    <w:rsid w:val="00747A86"/>
    <w:rsid w:val="007625A7"/>
    <w:rsid w:val="007D0919"/>
    <w:rsid w:val="007D790D"/>
    <w:rsid w:val="007F79A6"/>
    <w:rsid w:val="008018B0"/>
    <w:rsid w:val="00801C05"/>
    <w:rsid w:val="00802745"/>
    <w:rsid w:val="00814F38"/>
    <w:rsid w:val="00860B58"/>
    <w:rsid w:val="00875724"/>
    <w:rsid w:val="008857F1"/>
    <w:rsid w:val="008B7BCD"/>
    <w:rsid w:val="008C4BEF"/>
    <w:rsid w:val="00906E39"/>
    <w:rsid w:val="009615E2"/>
    <w:rsid w:val="00982CAB"/>
    <w:rsid w:val="009906B0"/>
    <w:rsid w:val="009A0631"/>
    <w:rsid w:val="009A1D5B"/>
    <w:rsid w:val="009F7012"/>
    <w:rsid w:val="00A111DF"/>
    <w:rsid w:val="00A238B1"/>
    <w:rsid w:val="00A51E2D"/>
    <w:rsid w:val="00A96DDE"/>
    <w:rsid w:val="00AAECA0"/>
    <w:rsid w:val="00AB3ECD"/>
    <w:rsid w:val="00AB5E84"/>
    <w:rsid w:val="00AB5FCF"/>
    <w:rsid w:val="00AE054C"/>
    <w:rsid w:val="00AF708B"/>
    <w:rsid w:val="00B03BA9"/>
    <w:rsid w:val="00B04CBB"/>
    <w:rsid w:val="00B445EC"/>
    <w:rsid w:val="00B51670"/>
    <w:rsid w:val="00B678EB"/>
    <w:rsid w:val="00B77199"/>
    <w:rsid w:val="00B82016"/>
    <w:rsid w:val="00BB0E0D"/>
    <w:rsid w:val="00BE5D72"/>
    <w:rsid w:val="00BF1230"/>
    <w:rsid w:val="00C0278D"/>
    <w:rsid w:val="00C1350D"/>
    <w:rsid w:val="00C14C0F"/>
    <w:rsid w:val="00C36078"/>
    <w:rsid w:val="00CC6EBB"/>
    <w:rsid w:val="00CC763A"/>
    <w:rsid w:val="00CD6918"/>
    <w:rsid w:val="00D43135"/>
    <w:rsid w:val="00D53513"/>
    <w:rsid w:val="00D92982"/>
    <w:rsid w:val="00DE396A"/>
    <w:rsid w:val="00E069F8"/>
    <w:rsid w:val="00E257C2"/>
    <w:rsid w:val="00E554E8"/>
    <w:rsid w:val="00E73177"/>
    <w:rsid w:val="00ED6171"/>
    <w:rsid w:val="00EF2260"/>
    <w:rsid w:val="00EF3652"/>
    <w:rsid w:val="00EF5839"/>
    <w:rsid w:val="00F054A1"/>
    <w:rsid w:val="00F55EB7"/>
    <w:rsid w:val="00F84BA7"/>
    <w:rsid w:val="00FA2CFF"/>
    <w:rsid w:val="00FB6061"/>
    <w:rsid w:val="00FC44D7"/>
    <w:rsid w:val="00FF2850"/>
    <w:rsid w:val="0237A260"/>
    <w:rsid w:val="04BA52E8"/>
    <w:rsid w:val="05430896"/>
    <w:rsid w:val="063C2EFE"/>
    <w:rsid w:val="09706B21"/>
    <w:rsid w:val="0A5663E2"/>
    <w:rsid w:val="0C350FF3"/>
    <w:rsid w:val="0CAF3470"/>
    <w:rsid w:val="0D492BDE"/>
    <w:rsid w:val="0D83FEDE"/>
    <w:rsid w:val="0E4B04D1"/>
    <w:rsid w:val="0FE6D532"/>
    <w:rsid w:val="103D9809"/>
    <w:rsid w:val="1063424D"/>
    <w:rsid w:val="1190EB12"/>
    <w:rsid w:val="13E6C872"/>
    <w:rsid w:val="141CE7F9"/>
    <w:rsid w:val="162452DC"/>
    <w:rsid w:val="16814338"/>
    <w:rsid w:val="175488BB"/>
    <w:rsid w:val="18E720FB"/>
    <w:rsid w:val="18F0591C"/>
    <w:rsid w:val="19384F00"/>
    <w:rsid w:val="1F3CC84C"/>
    <w:rsid w:val="1F7DBA30"/>
    <w:rsid w:val="207B3016"/>
    <w:rsid w:val="23033114"/>
    <w:rsid w:val="233A6060"/>
    <w:rsid w:val="281E3DE6"/>
    <w:rsid w:val="2A3AB26C"/>
    <w:rsid w:val="2A99D3CB"/>
    <w:rsid w:val="2B7CE7DD"/>
    <w:rsid w:val="2DFB885B"/>
    <w:rsid w:val="2EFAAC29"/>
    <w:rsid w:val="2FB62FE4"/>
    <w:rsid w:val="2FC5A1D4"/>
    <w:rsid w:val="3148863C"/>
    <w:rsid w:val="323990A3"/>
    <w:rsid w:val="32FD4296"/>
    <w:rsid w:val="3387F9C2"/>
    <w:rsid w:val="34BBF1D3"/>
    <w:rsid w:val="38CD28EE"/>
    <w:rsid w:val="3AC0E306"/>
    <w:rsid w:val="3D17DEBA"/>
    <w:rsid w:val="3DA09A11"/>
    <w:rsid w:val="40D83AD3"/>
    <w:rsid w:val="4134974E"/>
    <w:rsid w:val="41352CF9"/>
    <w:rsid w:val="43E7EDC7"/>
    <w:rsid w:val="446C3810"/>
    <w:rsid w:val="45A1C637"/>
    <w:rsid w:val="46DCED20"/>
    <w:rsid w:val="47299A98"/>
    <w:rsid w:val="47A3D8D2"/>
    <w:rsid w:val="47A75394"/>
    <w:rsid w:val="48D046E4"/>
    <w:rsid w:val="48F167D7"/>
    <w:rsid w:val="49784AD7"/>
    <w:rsid w:val="4B321C73"/>
    <w:rsid w:val="4BCAC9C3"/>
    <w:rsid w:val="4CFF0287"/>
    <w:rsid w:val="4DF729C6"/>
    <w:rsid w:val="5198B2D7"/>
    <w:rsid w:val="5364C994"/>
    <w:rsid w:val="54C726F1"/>
    <w:rsid w:val="550EBE40"/>
    <w:rsid w:val="55AD37AA"/>
    <w:rsid w:val="583E656C"/>
    <w:rsid w:val="5BB1AED1"/>
    <w:rsid w:val="5C041E96"/>
    <w:rsid w:val="5E73FDEC"/>
    <w:rsid w:val="5F03D8B6"/>
    <w:rsid w:val="5F075378"/>
    <w:rsid w:val="60AC2929"/>
    <w:rsid w:val="615B5FDE"/>
    <w:rsid w:val="6182C8AB"/>
    <w:rsid w:val="61C709AD"/>
    <w:rsid w:val="63C19C3E"/>
    <w:rsid w:val="67710EF8"/>
    <w:rsid w:val="6895F917"/>
    <w:rsid w:val="69F21C68"/>
    <w:rsid w:val="6A784F37"/>
    <w:rsid w:val="6B1C6096"/>
    <w:rsid w:val="6DC0CF8D"/>
    <w:rsid w:val="70F20CFC"/>
    <w:rsid w:val="723F01A5"/>
    <w:rsid w:val="76FBDF5D"/>
    <w:rsid w:val="778171E1"/>
    <w:rsid w:val="779D77AC"/>
    <w:rsid w:val="784BFDD0"/>
    <w:rsid w:val="799C6DE0"/>
    <w:rsid w:val="7BBD1722"/>
    <w:rsid w:val="7D9C4018"/>
    <w:rsid w:val="7ED3F5BD"/>
    <w:rsid w:val="7F0650F7"/>
    <w:rsid w:val="7F218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46E01"/>
  <w15:chartTrackingRefBased/>
  <w15:docId w15:val="{E7845326-05AA-4BF6-A514-31D55182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14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A"/>
    <w:link w:val="Heading2Char"/>
    <w:uiPriority w:val="9"/>
    <w:unhideWhenUsed/>
    <w:qFormat/>
    <w:rsid w:val="001614B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" w:eastAsia="Helvetica" w:hAnsi="Helvetica" w:cs="Helvetica"/>
      <w:b/>
      <w:bCs/>
      <w:color w:val="000000"/>
      <w:sz w:val="32"/>
      <w:szCs w:val="32"/>
      <w:u w:color="000000"/>
      <w:bdr w:val="ni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05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614B8"/>
    <w:rPr>
      <w:rFonts w:ascii="Helvetica" w:eastAsia="Helvetica" w:hAnsi="Helvetica" w:cs="Helvetica"/>
      <w:b/>
      <w:bCs/>
      <w:color w:val="000000"/>
      <w:sz w:val="32"/>
      <w:szCs w:val="32"/>
      <w:u w:color="000000"/>
      <w:bdr w:val="nil"/>
      <w:lang w:eastAsia="en-GB"/>
    </w:rPr>
  </w:style>
  <w:style w:type="character" w:styleId="Hyperlink">
    <w:name w:val="Hyperlink"/>
    <w:rsid w:val="001614B8"/>
    <w:rPr>
      <w:u w:val="single"/>
    </w:rPr>
  </w:style>
  <w:style w:type="paragraph" w:customStyle="1" w:styleId="BodyA">
    <w:name w:val="Body A"/>
    <w:rsid w:val="001614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  <w:u w:color="000000"/>
      <w:bdr w:val="nil"/>
      <w:lang w:eastAsia="en-GB"/>
    </w:rPr>
  </w:style>
  <w:style w:type="table" w:styleId="TableGrid">
    <w:name w:val="Table Grid"/>
    <w:basedOn w:val="TableNormal"/>
    <w:uiPriority w:val="39"/>
    <w:rsid w:val="001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1614B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614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1614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1614B8"/>
    <w:rPr>
      <w:rFonts w:ascii="Arial" w:eastAsia="Arial" w:hAnsi="Arial" w:cs="Arial"/>
      <w:sz w:val="24"/>
      <w:szCs w:val="24"/>
      <w:lang w:eastAsia="en-GB" w:bidi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A397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D0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919"/>
  </w:style>
  <w:style w:type="paragraph" w:styleId="Footer">
    <w:name w:val="footer"/>
    <w:basedOn w:val="Normal"/>
    <w:link w:val="FooterChar"/>
    <w:uiPriority w:val="99"/>
    <w:unhideWhenUsed/>
    <w:rsid w:val="007D0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919"/>
  </w:style>
  <w:style w:type="paragraph" w:styleId="Revision">
    <w:name w:val="Revision"/>
    <w:hidden/>
    <w:uiPriority w:val="99"/>
    <w:semiHidden/>
    <w:rsid w:val="00FA2CF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C6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EBB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35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5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3579"/>
    <w:rPr>
      <w:vertAlign w:val="superscrip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C109C-D91C-46CA-812D-17DE0743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1375</Words>
  <Characters>7705</Characters>
  <Application>Microsoft Office Word</Application>
  <DocSecurity>0</DocSecurity>
  <Lines>208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Benedicte Walter</dc:creator>
  <cp:keywords/>
  <dc:description/>
  <cp:lastModifiedBy>SHARMA, Vipul Kumar</cp:lastModifiedBy>
  <cp:revision>12</cp:revision>
  <cp:lastPrinted>2023-11-22T17:39:00Z</cp:lastPrinted>
  <dcterms:created xsi:type="dcterms:W3CDTF">2023-11-22T17:38:00Z</dcterms:created>
  <dcterms:modified xsi:type="dcterms:W3CDTF">2023-12-04T14:57:00Z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925abfedb157f0ff74cb0485a52f334c581df86f7b89b8fe2446e9d3e2f717f2</vt:lpwstr>
  </property>
</Properties>
</file>