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ff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color w:val="ff0000"/>
          <w:rtl w:val="0"/>
        </w:rPr>
        <w:t xml:space="preserve">ITB/2023/49427</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leader="none" w:pos="-1440"/>
          <w:tab w:val="left" w:leader="none" w:pos="7200"/>
        </w:tabs>
        <w:jc w:val="both"/>
        <w:rPr>
          <w:rFonts w:ascii="Open Sans" w:cs="Open Sans" w:eastAsia="Open Sans" w:hAnsi="Open Sans"/>
          <w:highlight w:val="lightGray"/>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 and Services</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C">
      <w:pPr>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00D">
      <w:pPr>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UNOPS Special Conditions of Contract</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Special Conditions of Contract shall supplement and/or amend the UNOPS General Conditions of Contract. Whenever there is a conflict, the provisions herein prevail over those in the General Conditions of Contract. The corresponding Clause number of the General Conditions of Contract is indicated in the left column of the below table.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8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cantSplit w:val="0"/>
          <w:trHeight w:val="281" w:hRule="atLeast"/>
          <w:tblHeader w:val="0"/>
        </w:trPr>
        <w:tc>
          <w:tcPr>
            <w:vMerge w:val="restart"/>
            <w:shd w:fill="d9d9d9" w:val="clear"/>
            <w:vAlign w:val="center"/>
          </w:tcPr>
          <w:p w:rsidR="00000000" w:rsidDel="00000000" w:rsidP="00000000" w:rsidRDefault="00000000" w:rsidRPr="00000000" w14:paraId="00000012">
            <w:pPr>
              <w:jc w:val="center"/>
              <w:rPr>
                <w:b w:val="1"/>
              </w:rPr>
            </w:pPr>
            <w:r w:rsidDel="00000000" w:rsidR="00000000" w:rsidRPr="00000000">
              <w:rPr>
                <w:b w:val="1"/>
                <w:rtl w:val="0"/>
              </w:rPr>
              <w:t xml:space="preserve">Clause in General Conditions of Contract</w:t>
            </w:r>
          </w:p>
        </w:tc>
        <w:tc>
          <w:tcPr>
            <w:vMerge w:val="restart"/>
            <w:shd w:fill="d9d9d9" w:val="clear"/>
            <w:vAlign w:val="center"/>
          </w:tcPr>
          <w:p w:rsidR="00000000" w:rsidDel="00000000" w:rsidP="00000000" w:rsidRDefault="00000000" w:rsidRPr="00000000" w14:paraId="00000013">
            <w:pPr>
              <w:jc w:val="center"/>
              <w:rPr>
                <w:b w:val="1"/>
              </w:rPr>
            </w:pPr>
            <w:r w:rsidDel="00000000" w:rsidR="00000000" w:rsidRPr="00000000">
              <w:rPr>
                <w:b w:val="1"/>
                <w:rtl w:val="0"/>
              </w:rPr>
              <w:t xml:space="preserve">Special Condition of Contract</w:t>
            </w:r>
          </w:p>
        </w:tc>
      </w:tr>
      <w:tr>
        <w:trPr>
          <w:cantSplit w:val="0"/>
          <w:trHeight w:val="281" w:hRule="atLeast"/>
          <w:tblHeader w:val="0"/>
        </w:trPr>
        <w:tc>
          <w:tcPr>
            <w:vMerge w:val="continue"/>
            <w:shd w:fill="d9d9d9" w:val="clea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16">
            <w:pPr>
              <w:jc w:val="center"/>
              <w:rPr/>
            </w:pPr>
            <w:r w:rsidDel="00000000" w:rsidR="00000000" w:rsidRPr="00000000">
              <w:rPr>
                <w:rtl w:val="0"/>
              </w:rPr>
            </w:r>
          </w:p>
        </w:tc>
        <w:tc>
          <w:tcPr>
            <w:vAlign w:val="center"/>
          </w:tcPr>
          <w:p w:rsidR="00000000" w:rsidDel="00000000" w:rsidP="00000000" w:rsidRDefault="00000000" w:rsidRPr="00000000" w14:paraId="00000017">
            <w:pPr>
              <w:rPr>
                <w:b w:val="1"/>
              </w:rPr>
            </w:pPr>
            <w:r w:rsidDel="00000000" w:rsidR="00000000" w:rsidRPr="00000000">
              <w:rPr>
                <w:b w:val="1"/>
                <w:rtl w:val="0"/>
              </w:rPr>
              <w:t xml:space="preserve">None</w:t>
            </w:r>
          </w:p>
        </w:tc>
      </w:tr>
      <w:tr>
        <w:trPr>
          <w:cantSplit w:val="0"/>
          <w:trHeight w:val="467" w:hRule="atLeast"/>
          <w:tblHeader w:val="0"/>
        </w:trPr>
        <w:tc>
          <w:tcPr>
            <w:vAlign w:val="center"/>
          </w:tcPr>
          <w:p w:rsidR="00000000" w:rsidDel="00000000" w:rsidP="00000000" w:rsidRDefault="00000000" w:rsidRPr="00000000" w14:paraId="00000018">
            <w:pPr>
              <w:jc w:val="center"/>
              <w:rPr/>
            </w:pPr>
            <w:r w:rsidDel="00000000" w:rsidR="00000000" w:rsidRPr="00000000">
              <w:rPr>
                <w:rtl w:val="0"/>
              </w:rPr>
            </w:r>
          </w:p>
        </w:tc>
        <w:tc>
          <w:tcPr>
            <w:vAlign w:val="center"/>
          </w:tcPr>
          <w:p w:rsidR="00000000" w:rsidDel="00000000" w:rsidP="00000000" w:rsidRDefault="00000000" w:rsidRPr="00000000" w14:paraId="00000019">
            <w:pPr>
              <w:rPr/>
            </w:pPr>
            <w:r w:rsidDel="00000000" w:rsidR="00000000" w:rsidRPr="00000000">
              <w:rPr>
                <w:rtl w:val="0"/>
              </w:rPr>
            </w:r>
          </w:p>
        </w:tc>
      </w:tr>
      <w:tr>
        <w:trPr>
          <w:cantSplit w:val="0"/>
          <w:trHeight w:val="357" w:hRule="atLeast"/>
          <w:tblHeader w:val="0"/>
        </w:trPr>
        <w:tc>
          <w:tcPr>
            <w:vAlign w:val="center"/>
          </w:tcPr>
          <w:p w:rsidR="00000000" w:rsidDel="00000000" w:rsidP="00000000" w:rsidRDefault="00000000" w:rsidRPr="00000000" w14:paraId="0000001A">
            <w:pPr>
              <w:jc w:val="center"/>
              <w:rPr/>
            </w:pPr>
            <w:r w:rsidDel="00000000" w:rsidR="00000000" w:rsidRPr="00000000">
              <w:rPr>
                <w:rtl w:val="0"/>
              </w:rPr>
            </w:r>
          </w:p>
        </w:tc>
        <w:tc>
          <w:tcPr>
            <w:vAlign w:val="center"/>
          </w:tcPr>
          <w:p w:rsidR="00000000" w:rsidDel="00000000" w:rsidP="00000000" w:rsidRDefault="00000000" w:rsidRPr="00000000" w14:paraId="0000001B">
            <w:pPr>
              <w:rPr/>
            </w:pP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01C">
            <w:pPr>
              <w:jc w:val="center"/>
              <w:rPr/>
            </w:pPr>
            <w:r w:rsidDel="00000000" w:rsidR="00000000" w:rsidRPr="00000000">
              <w:rPr>
                <w:rtl w:val="0"/>
              </w:rPr>
            </w:r>
          </w:p>
        </w:tc>
        <w:tc>
          <w:tcPr>
            <w:vAlign w:val="center"/>
          </w:tcPr>
          <w:p w:rsidR="00000000" w:rsidDel="00000000" w:rsidP="00000000" w:rsidRDefault="00000000" w:rsidRPr="00000000" w14:paraId="0000001D">
            <w:pPr>
              <w:rPr/>
            </w:pPr>
            <w:r w:rsidDel="00000000" w:rsidR="00000000" w:rsidRPr="00000000">
              <w:rPr>
                <w:rtl w:val="0"/>
              </w:rPr>
            </w:r>
          </w:p>
        </w:tc>
      </w:tr>
    </w:tbl>
    <w:p w:rsidR="00000000" w:rsidDel="00000000" w:rsidP="00000000" w:rsidRDefault="00000000" w:rsidRPr="00000000" w14:paraId="0000001E">
      <w:pPr>
        <w:rPr>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1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24">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28">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2B">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2C">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2D">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E">
      <w:pPr>
        <w:rPr/>
      </w:pPr>
      <w:r w:rsidDel="00000000" w:rsidR="00000000" w:rsidRPr="00000000">
        <w:rPr>
          <w:rtl w:val="0"/>
        </w:rPr>
        <w:t xml:space="preserve">_________________________________________________</w:t>
      </w:r>
    </w:p>
    <w:p w:rsidR="00000000" w:rsidDel="00000000" w:rsidP="00000000" w:rsidRDefault="00000000" w:rsidRPr="00000000" w14:paraId="0000002F">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30">
      <w:pPr>
        <w:rPr>
          <w:sz w:val="22"/>
          <w:szCs w:val="22"/>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3A">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3zFieymaE3cCjJr2tFTBGd0GB2A==">AMUW2mU3sAKoon7xMEPfZEkHH4c1P36U70J7PGVwZJ4XtaKiqxENmHxo5BG0S8ACnQm1fRSRlKXTeKh0Thar/emoPeYoLOvD/YKR7ZP9lTPTu2Lxea8qpedsezsbfaYR6+MrbO5i5VPE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