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spacing w:after="120" w:before="360" w:lineRule="auto"/>
        <w:rPr>
          <w:rFonts w:ascii="Open Sans" w:cs="Open Sans" w:eastAsia="Open Sans" w:hAnsi="Open Sans"/>
          <w:b w:val="1"/>
          <w:color w:val="0092d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keepLines w:val="1"/>
        <w:spacing w:after="120" w:before="360" w:lineRule="auto"/>
        <w:rPr>
          <w:rFonts w:ascii="Open Sans" w:cs="Open Sans" w:eastAsia="Open Sans" w:hAnsi="Open Sans"/>
          <w:b w:val="1"/>
          <w:color w:val="0092d1"/>
          <w:sz w:val="28"/>
          <w:szCs w:val="28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0092d1"/>
          <w:sz w:val="28"/>
          <w:szCs w:val="28"/>
          <w:rtl w:val="0"/>
        </w:rPr>
        <w:t xml:space="preserve">Section IV: Contract Forms</w:t>
      </w:r>
    </w:p>
    <w:p w:rsidR="00000000" w:rsidDel="00000000" w:rsidP="00000000" w:rsidRDefault="00000000" w:rsidRPr="00000000" w14:paraId="00000003">
      <w:pPr>
        <w:keepNext w:val="1"/>
        <w:keepLines w:val="1"/>
        <w:spacing w:after="240" w:before="360" w:lineRule="auto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eSourcing reference: 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ITB/2023/48692</w:t>
      </w:r>
    </w:p>
    <w:p w:rsidR="00000000" w:rsidDel="00000000" w:rsidP="00000000" w:rsidRDefault="00000000" w:rsidRPr="00000000" w14:paraId="00000004">
      <w:pPr>
        <w:keepNext w:val="1"/>
        <w:keepLines w:val="1"/>
        <w:spacing w:after="120" w:before="360" w:lineRule="auto"/>
        <w:rPr>
          <w:rFonts w:ascii="Open Sans" w:cs="Open Sans" w:eastAsia="Open Sans" w:hAnsi="Open Sans"/>
          <w:b w:val="1"/>
          <w:color w:val="0092d1"/>
          <w:sz w:val="28"/>
          <w:szCs w:val="28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0092d1"/>
          <w:sz w:val="28"/>
          <w:szCs w:val="28"/>
          <w:rtl w:val="0"/>
        </w:rPr>
        <w:t xml:space="preserve">IV-1: UNOPS General Conditions of Contract</w:t>
      </w:r>
    </w:p>
    <w:p w:rsidR="00000000" w:rsidDel="00000000" w:rsidP="00000000" w:rsidRDefault="00000000" w:rsidRPr="00000000" w14:paraId="00000005">
      <w:pPr>
        <w:tabs>
          <w:tab w:val="center" w:leader="none" w:pos="4320"/>
          <w:tab w:val="right" w:leader="none" w:pos="8640"/>
          <w:tab w:val="left" w:leader="none" w:pos="-1440"/>
          <w:tab w:val="left" w:leader="none" w:pos="7200"/>
        </w:tabs>
        <w:ind w:left="142" w:firstLine="0"/>
        <w:rPr>
          <w:rFonts w:ascii="Open Sans" w:cs="Open Sans" w:eastAsia="Open Sans" w:hAnsi="Open Sans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-1440"/>
          <w:tab w:val="left" w:leader="none" w:pos="7200"/>
        </w:tabs>
        <w:spacing w:after="200" w:line="276" w:lineRule="auto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In the event of a Contract, the following General Conditions of Contract will apply: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tabs>
          <w:tab w:val="left" w:leader="none" w:pos="-1440"/>
          <w:tab w:val="left" w:leader="none" w:pos="7200"/>
        </w:tabs>
        <w:spacing w:line="276" w:lineRule="auto"/>
        <w:ind w:left="1440" w:hanging="360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UNOPS General Conditions of Contract for the provision of Goods</w:t>
      </w:r>
    </w:p>
    <w:p w:rsidR="00000000" w:rsidDel="00000000" w:rsidP="00000000" w:rsidRDefault="00000000" w:rsidRPr="00000000" w14:paraId="00000008">
      <w:pPr>
        <w:tabs>
          <w:tab w:val="left" w:leader="none" w:pos="-1440"/>
          <w:tab w:val="left" w:leader="none" w:pos="7200"/>
        </w:tabs>
        <w:spacing w:line="276" w:lineRule="auto"/>
        <w:ind w:left="1440" w:firstLine="0"/>
        <w:rPr>
          <w:rFonts w:ascii="Open Sans" w:cs="Open Sans" w:eastAsia="Open Sans" w:hAnsi="Open Sans"/>
          <w:highlight w:val="lightGr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-1440"/>
          <w:tab w:val="left" w:leader="none" w:pos="7200"/>
        </w:tabs>
        <w:spacing w:line="276" w:lineRule="auto"/>
        <w:ind w:left="1440" w:firstLine="0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highlight w:val="lightGray"/>
          <w:rtl w:val="0"/>
        </w:rPr>
        <w:t xml:space="preserve">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leader="none" w:pos="-1440"/>
          <w:tab w:val="left" w:leader="none" w:pos="7200"/>
        </w:tabs>
        <w:spacing w:line="276" w:lineRule="auto"/>
        <w:ind w:left="1440" w:firstLine="0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tabs>
          <w:tab w:val="left" w:leader="none" w:pos="-1440"/>
          <w:tab w:val="left" w:leader="none" w:pos="7200"/>
        </w:tabs>
        <w:spacing w:line="276" w:lineRule="auto"/>
        <w:ind w:left="1440" w:hanging="360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UNOPS General Conditions of Contract for the provision of Goods and Services</w:t>
      </w:r>
    </w:p>
    <w:p w:rsidR="00000000" w:rsidDel="00000000" w:rsidP="00000000" w:rsidRDefault="00000000" w:rsidRPr="00000000" w14:paraId="0000000C">
      <w:pPr>
        <w:tabs>
          <w:tab w:val="left" w:leader="none" w:pos="-1440"/>
          <w:tab w:val="left" w:leader="none" w:pos="7200"/>
        </w:tabs>
        <w:spacing w:after="200" w:line="276" w:lineRule="auto"/>
        <w:ind w:left="1440" w:firstLine="0"/>
        <w:rPr>
          <w:rFonts w:ascii="Open Sans" w:cs="Open Sans" w:eastAsia="Open Sans" w:hAnsi="Open Sans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leader="none" w:pos="-1440"/>
          <w:tab w:val="left" w:leader="none" w:pos="7200"/>
        </w:tabs>
        <w:spacing w:line="276" w:lineRule="auto"/>
        <w:rPr>
          <w:rFonts w:ascii="Open Sans" w:cs="Open Sans" w:eastAsia="Open Sans" w:hAnsi="Open Sans"/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The conditions are available at: </w:t>
      </w:r>
      <w:hyperlink r:id="rId7">
        <w:r w:rsidDel="00000000" w:rsidR="00000000" w:rsidRPr="00000000">
          <w:rPr>
            <w:rFonts w:ascii="Open Sans" w:cs="Open Sans" w:eastAsia="Open Sans" w:hAnsi="Open Sans"/>
            <w:color w:val="1155cc"/>
            <w:u w:val="single"/>
            <w:rtl w:val="0"/>
          </w:rPr>
          <w:t xml:space="preserve">https://www.unops.org/business-opportunities/how-we-procure</w:t>
        </w:r>
      </w:hyperlink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default"/>
      <w:footerReference r:id="rId11" w:type="first"/>
      <w:pgSz w:h="16839" w:w="11907" w:orient="portrait"/>
      <w:pgMar w:bottom="1440" w:top="1440" w:left="1077" w:right="1077" w:header="720" w:footer="720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Verdana"/>
  <w:font w:name="Times New Roman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Open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889.0" w:type="dxa"/>
      <w:jc w:val="left"/>
      <w:tblInd w:w="-108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17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left"/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Open Sans" w:cs="Open Sans" w:eastAsia="Open Sans" w:hAnsi="Open Sans"/>
              <w:sz w:val="18"/>
              <w:szCs w:val="18"/>
              <w:rtl w:val="0"/>
            </w:rPr>
            <w:t xml:space="preserve">UNOPS 2021</w:t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18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widowControl w:val="0"/>
      <w:spacing w:line="276" w:lineRule="auto"/>
      <w:rPr>
        <w:i w:val="1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156845</wp:posOffset>
          </wp:positionH>
          <wp:positionV relativeFrom="paragraph">
            <wp:posOffset>-7814</wp:posOffset>
          </wp:positionV>
          <wp:extent cx="1477645" cy="215900"/>
          <wp:effectExtent b="0" l="0" r="0" t="0"/>
          <wp:wrapNone/>
          <wp:docPr id="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/>
                  <a:ln/>
                </pic:spPr>
              </pic:pic>
            </a:graphicData>
          </a:graphic>
        </wp:anchor>
      </w:drawing>
    </w:r>
  </w:p>
  <w:tbl>
    <w:tblPr>
      <w:tblStyle w:val="Table1"/>
      <w:tblW w:w="9889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9889"/>
      <w:tblGridChange w:id="0">
        <w:tblGrid>
          <w:gridCol w:w="9889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0F">
          <w:pPr>
            <w:tabs>
              <w:tab w:val="center" w:leader="none" w:pos="4320"/>
              <w:tab w:val="right" w:leader="none" w:pos="8640"/>
            </w:tabs>
            <w:jc w:val="right"/>
            <w:rPr>
              <w:rFonts w:ascii="Open Sans" w:cs="Open Sans" w:eastAsia="Open Sans" w:hAnsi="Open Sans"/>
              <w:sz w:val="18"/>
              <w:szCs w:val="18"/>
            </w:rPr>
          </w:pPr>
          <w:r w:rsidDel="00000000" w:rsidR="00000000" w:rsidRPr="00000000">
            <w:rPr>
              <w:rFonts w:ascii="Open Sans" w:cs="Open Sans" w:eastAsia="Open Sans" w:hAnsi="Open Sans"/>
              <w:sz w:val="18"/>
              <w:szCs w:val="18"/>
              <w:rtl w:val="0"/>
            </w:rPr>
            <w:t xml:space="preserve">UNOPS eSourcing v2021</w:t>
          </w:r>
        </w:p>
      </w:tc>
    </w:tr>
  </w:tbl>
  <w:p w:rsidR="00000000" w:rsidDel="00000000" w:rsidP="00000000" w:rsidRDefault="00000000" w:rsidRPr="00000000" w14:paraId="00000010">
    <w:pPr>
      <w:tabs>
        <w:tab w:val="center" w:leader="none" w:pos="4320"/>
        <w:tab w:val="right" w:leader="none" w:pos="8640"/>
      </w:tabs>
      <w:jc w:val="right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889.0" w:type="dxa"/>
      <w:jc w:val="left"/>
      <w:tblInd w:w="-108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944.5"/>
      <w:gridCol w:w="4944.5"/>
      <w:tblGridChange w:id="0">
        <w:tblGrid>
          <w:gridCol w:w="4944.5"/>
          <w:gridCol w:w="4944.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12">
          <w:pPr>
            <w:tabs>
              <w:tab w:val="center" w:leader="none" w:pos="4320"/>
              <w:tab w:val="right" w:leader="none" w:pos="8640"/>
            </w:tabs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</w:rPr>
            <w:drawing>
              <wp:inline distB="0" distT="0" distL="114300" distR="114300">
                <wp:extent cx="1477645" cy="215900"/>
                <wp:effectExtent b="0" l="0" r="0" t="0"/>
                <wp:docPr id="10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7645" cy="2159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13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ITB Ref No: 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highlight w:val="yellow"/>
              <w:u w:val="none"/>
              <w:vertAlign w:val="baseline"/>
              <w:rtl w:val="0"/>
            </w:rPr>
            <w:t xml:space="preserve">xxx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pageBreakBefore w:val="0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pageBreakBefore w:val="0"/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pageBreakBefore w:val="0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pageBreakBefore w:val="0"/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pageBreakBefore w:val="0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pageBreakBefore w:val="0"/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pageBreakBefore w:val="0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pageBreakBefore w:val="0"/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after="60" w:before="240" w:lineRule="auto"/>
      <w:jc w:val="center"/>
    </w:pPr>
    <w:rPr>
      <w:b w:val="1"/>
      <w:sz w:val="32"/>
      <w:szCs w:val="32"/>
    </w:rPr>
  </w:style>
  <w:style w:type="paragraph" w:styleId="Subtitle">
    <w:name w:val="Subtitle"/>
    <w:basedOn w:val="Normal"/>
    <w:next w:val="Normal"/>
    <w:pPr>
      <w:pageBreakBefore w:val="0"/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7.0" w:type="dxa"/>
        <w:bottom w:w="0.0" w:type="dxa"/>
        <w:right w:w="107.0" w:type="dxa"/>
      </w:tblCellMar>
    </w:tblPr>
  </w:style>
  <w:style w:type="table" w:styleId="Table5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8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9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pageBreakBefore w:val="0"/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pageBreakBefore w:val="0"/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pageBreakBefore w:val="0"/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unops.org/business-opportunities/how-we-procure" TargetMode="Externa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OpenSans-regular.ttf"/><Relationship Id="rId4" Type="http://schemas.openxmlformats.org/officeDocument/2006/relationships/font" Target="fonts/OpenSans-bold.ttf"/><Relationship Id="rId5" Type="http://schemas.openxmlformats.org/officeDocument/2006/relationships/font" Target="fonts/OpenSans-italic.ttf"/><Relationship Id="rId6" Type="http://schemas.openxmlformats.org/officeDocument/2006/relationships/font" Target="fonts/Open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xNNBQwmFXaVnUkVHd8ikN8C0Og==">CgMxLjA4AHIhMTQ1SmxzWkdsN2dfQVpNempqX3lqNjZYRkN6X2ZpbnA2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