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pBdr>
          <w:top w:space="0" w:sz="0" w:val="nil"/>
          <w:left w:space="0" w:sz="0" w:val="nil"/>
          <w:bottom w:space="0" w:sz="0" w:val="nil"/>
          <w:right w:space="0" w:sz="0" w:val="nil"/>
          <w:between w:space="0" w:sz="0" w:val="nil"/>
        </w:pBdr>
        <w:ind w:left="720" w:hanging="720"/>
        <w:jc w:val="center"/>
        <w:rPr>
          <w:rFonts w:ascii="Arial" w:cs="Arial" w:eastAsia="Arial" w:hAnsi="Arial"/>
          <w:b w:val="1"/>
          <w:smallCaps w:val="1"/>
          <w:sz w:val="22"/>
          <w:szCs w:val="22"/>
        </w:rPr>
      </w:pPr>
      <w:bookmarkStart w:colFirst="0" w:colLast="0" w:name="_heading=h.wp2ureivq4mj" w:id="0"/>
      <w:bookmarkEnd w:id="0"/>
      <w:r w:rsidDel="00000000" w:rsidR="00000000" w:rsidRPr="00000000">
        <w:rPr>
          <w:rFonts w:ascii="Arial" w:cs="Arial" w:eastAsia="Arial" w:hAnsi="Arial"/>
          <w:b w:val="1"/>
          <w:smallCaps w:val="1"/>
          <w:sz w:val="22"/>
          <w:szCs w:val="22"/>
          <w:rtl w:val="0"/>
        </w:rPr>
        <w:t xml:space="preserve">SECCIÓN IV</w:t>
      </w:r>
    </w:p>
    <w:p w:rsidR="00000000" w:rsidDel="00000000" w:rsidP="00000000" w:rsidRDefault="00000000" w:rsidRPr="00000000" w14:paraId="00000002">
      <w:pPr>
        <w:keepNext w:val="1"/>
        <w:pBdr>
          <w:top w:space="0" w:sz="0" w:val="nil"/>
          <w:left w:space="0" w:sz="0" w:val="nil"/>
          <w:bottom w:space="0" w:sz="0" w:val="nil"/>
          <w:right w:space="0" w:sz="0" w:val="nil"/>
          <w:between w:space="0" w:sz="0" w:val="nil"/>
        </w:pBdr>
        <w:jc w:val="center"/>
        <w:rPr>
          <w:rFonts w:ascii="Arial" w:cs="Arial" w:eastAsia="Arial" w:hAnsi="Arial"/>
          <w:b w:val="1"/>
          <w:smallCaps w:val="1"/>
          <w:sz w:val="22"/>
          <w:szCs w:val="22"/>
        </w:rPr>
      </w:pPr>
      <w:r w:rsidDel="00000000" w:rsidR="00000000" w:rsidRPr="00000000">
        <w:rPr>
          <w:rtl w:val="0"/>
        </w:rPr>
      </w:r>
    </w:p>
    <w:p w:rsidR="00000000" w:rsidDel="00000000" w:rsidP="00000000" w:rsidRDefault="00000000" w:rsidRPr="00000000" w14:paraId="00000003">
      <w:pPr>
        <w:keepNext w:val="1"/>
        <w:pBdr>
          <w:top w:space="0" w:sz="0" w:val="nil"/>
          <w:left w:space="0" w:sz="0" w:val="nil"/>
          <w:bottom w:space="0" w:sz="0" w:val="nil"/>
          <w:right w:space="0" w:sz="0" w:val="nil"/>
          <w:between w:space="0" w:sz="0" w:val="nil"/>
        </w:pBdr>
        <w:jc w:val="center"/>
        <w:rPr>
          <w:rFonts w:ascii="Arial" w:cs="Arial" w:eastAsia="Arial" w:hAnsi="Arial"/>
          <w:b w:val="1"/>
          <w:smallCaps w:val="1"/>
          <w:color w:val="000000"/>
          <w:sz w:val="22"/>
          <w:szCs w:val="22"/>
        </w:rPr>
      </w:pPr>
      <w:r w:rsidDel="00000000" w:rsidR="00000000" w:rsidRPr="00000000">
        <w:rPr>
          <w:rFonts w:ascii="Arial" w:cs="Arial" w:eastAsia="Arial" w:hAnsi="Arial"/>
          <w:b w:val="1"/>
          <w:smallCaps w:val="1"/>
          <w:sz w:val="22"/>
          <w:szCs w:val="22"/>
          <w:rtl w:val="0"/>
        </w:rPr>
        <w:t xml:space="preserve">MÉTODOS Y </w:t>
      </w:r>
      <w:r w:rsidDel="00000000" w:rsidR="00000000" w:rsidRPr="00000000">
        <w:rPr>
          <w:rFonts w:ascii="Arial" w:cs="Arial" w:eastAsia="Arial" w:hAnsi="Arial"/>
          <w:b w:val="1"/>
          <w:smallCaps w:val="1"/>
          <w:color w:val="000000"/>
          <w:sz w:val="22"/>
          <w:szCs w:val="22"/>
          <w:rtl w:val="0"/>
        </w:rPr>
        <w:t xml:space="preserve">CRITERIOS DE </w:t>
      </w:r>
      <w:r w:rsidDel="00000000" w:rsidR="00000000" w:rsidRPr="00000000">
        <w:rPr>
          <w:rFonts w:ascii="Arial" w:cs="Arial" w:eastAsia="Arial" w:hAnsi="Arial"/>
          <w:b w:val="1"/>
          <w:smallCaps w:val="1"/>
          <w:color w:val="000000"/>
          <w:sz w:val="22"/>
          <w:szCs w:val="22"/>
          <w:rtl w:val="0"/>
        </w:rPr>
        <w:t xml:space="preserve">EVALUACIÓN</w:t>
      </w:r>
    </w:p>
    <w:p w:rsidR="00000000" w:rsidDel="00000000" w:rsidP="00000000" w:rsidRDefault="00000000" w:rsidRPr="00000000" w14:paraId="00000004">
      <w:pPr>
        <w:keepNext w:val="1"/>
        <w:pBdr>
          <w:top w:space="0" w:sz="0" w:val="nil"/>
          <w:left w:space="0" w:sz="0" w:val="nil"/>
          <w:bottom w:space="0" w:sz="0" w:val="nil"/>
          <w:right w:space="0" w:sz="0" w:val="nil"/>
          <w:between w:space="0" w:sz="0" w:val="nil"/>
        </w:pBdr>
        <w:jc w:val="center"/>
        <w:rPr>
          <w:rFonts w:ascii="Arial" w:cs="Arial" w:eastAsia="Arial" w:hAnsi="Arial"/>
          <w:b w:val="1"/>
          <w:smallCaps w:val="1"/>
          <w:sz w:val="22"/>
          <w:szCs w:val="22"/>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ind w:left="360" w:firstLine="0"/>
        <w:jc w:val="both"/>
        <w:rPr>
          <w:rFonts w:ascii="Arial" w:cs="Arial" w:eastAsia="Arial" w:hAnsi="Arial"/>
          <w:color w:val="000000"/>
          <w:highlight w:val="lightGray"/>
        </w:rPr>
      </w:pPr>
      <w:r w:rsidDel="00000000" w:rsidR="00000000" w:rsidRPr="00000000">
        <w:rPr>
          <w:rtl w:val="0"/>
        </w:rPr>
      </w:r>
    </w:p>
    <w:p w:rsidR="00000000" w:rsidDel="00000000" w:rsidP="00000000" w:rsidRDefault="00000000" w:rsidRPr="00000000" w14:paraId="00000006">
      <w:pPr>
        <w:keepNext w:val="1"/>
        <w:pBdr>
          <w:top w:space="0" w:sz="0" w:val="nil"/>
          <w:left w:space="0" w:sz="0" w:val="nil"/>
          <w:bottom w:color="000000" w:space="1" w:sz="4" w:val="single"/>
          <w:right w:space="0" w:sz="0" w:val="nil"/>
          <w:between w:space="0" w:sz="0" w:val="nil"/>
        </w:pBdr>
        <w:rPr>
          <w:rFonts w:ascii="Arial" w:cs="Arial" w:eastAsia="Arial" w:hAnsi="Arial"/>
          <w:sz w:val="22"/>
          <w:szCs w:val="22"/>
        </w:rPr>
      </w:pPr>
      <w:r w:rsidDel="00000000" w:rsidR="00000000" w:rsidRPr="00000000">
        <w:rPr>
          <w:rFonts w:ascii="Arial" w:cs="Arial" w:eastAsia="Arial" w:hAnsi="Arial"/>
          <w:sz w:val="22"/>
          <w:szCs w:val="22"/>
          <w:rtl w:val="0"/>
        </w:rPr>
        <w:t xml:space="preserve">Esta sección complementa lo establecido en la sección criterios de eSourcing. Se aclara que el término oferente/licitante es equivalente. </w:t>
      </w:r>
    </w:p>
    <w:p w:rsidR="00000000" w:rsidDel="00000000" w:rsidP="00000000" w:rsidRDefault="00000000" w:rsidRPr="00000000" w14:paraId="00000007">
      <w:pPr>
        <w:keepNext w:val="1"/>
        <w:pBdr>
          <w:top w:space="0" w:sz="0" w:val="nil"/>
          <w:left w:space="0" w:sz="0" w:val="nil"/>
          <w:bottom w:color="000000" w:space="1" w:sz="4" w:val="single"/>
          <w:right w:space="0" w:sz="0" w:val="nil"/>
          <w:between w:space="0" w:sz="0" w:val="nil"/>
        </w:pBd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8">
      <w:pPr>
        <w:keepNext w:val="1"/>
        <w:pBdr>
          <w:top w:space="0" w:sz="0" w:val="nil"/>
          <w:left w:space="0" w:sz="0" w:val="nil"/>
          <w:bottom w:color="000000" w:space="1" w:sz="4" w:val="single"/>
          <w:right w:space="0" w:sz="0" w:val="nil"/>
          <w:between w:space="0" w:sz="0" w:val="nil"/>
        </w:pBdr>
        <w:rPr>
          <w:rFonts w:ascii="Arial" w:cs="Arial" w:eastAsia="Arial" w:hAnsi="Arial"/>
          <w:b w:val="1"/>
          <w:color w:val="000000"/>
          <w:sz w:val="22"/>
          <w:szCs w:val="22"/>
        </w:rPr>
      </w:pPr>
      <w:r w:rsidDel="00000000" w:rsidR="00000000" w:rsidRPr="00000000">
        <w:rPr>
          <w:rFonts w:ascii="Arial" w:cs="Arial" w:eastAsia="Arial" w:hAnsi="Arial"/>
          <w:b w:val="1"/>
          <w:smallCaps w:val="1"/>
          <w:color w:val="000000"/>
          <w:sz w:val="22"/>
          <w:szCs w:val="22"/>
          <w:rtl w:val="0"/>
        </w:rPr>
        <w:t xml:space="preserve">CRITERIOS DE ELEGIBILIDAD </w:t>
      </w:r>
      <w:r w:rsidDel="00000000" w:rsidR="00000000" w:rsidRPr="00000000">
        <w:rPr>
          <w:rFonts w:ascii="Arial" w:cs="Arial" w:eastAsia="Arial" w:hAnsi="Arial"/>
          <w:b w:val="1"/>
          <w:smallCaps w:val="1"/>
          <w:sz w:val="22"/>
          <w:szCs w:val="22"/>
          <w:rtl w:val="0"/>
        </w:rPr>
        <w:t xml:space="preserve">Y FORMALIDAD</w:t>
      </w:r>
      <w:r w:rsidDel="00000000" w:rsidR="00000000" w:rsidRPr="00000000">
        <w:rPr>
          <w:rtl w:val="0"/>
        </w:rPr>
      </w:r>
    </w:p>
    <w:p w:rsidR="00000000" w:rsidDel="00000000" w:rsidP="00000000" w:rsidRDefault="00000000" w:rsidRPr="00000000" w14:paraId="00000009">
      <w:pPr>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UNOPS efectuará la evaluación preliminar de las ofertas conform</w:t>
      </w:r>
      <w:r w:rsidDel="00000000" w:rsidR="00000000" w:rsidRPr="00000000">
        <w:rPr>
          <w:rFonts w:ascii="Arial" w:cs="Arial" w:eastAsia="Arial" w:hAnsi="Arial"/>
          <w:sz w:val="22"/>
          <w:szCs w:val="22"/>
          <w:rtl w:val="0"/>
        </w:rPr>
        <w:t xml:space="preserve">e lo establecido en la Sección Criterios de eSourcing. Si una oferta no cumple los criterios que se detallan a continuación, quedará descalificada y no continuará con el proceso de evaluación.</w:t>
      </w:r>
    </w:p>
    <w:p w:rsidR="00000000" w:rsidDel="00000000" w:rsidP="00000000" w:rsidRDefault="00000000" w:rsidRPr="00000000" w14:paraId="0000000A">
      <w:pPr>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Para sustentar el cumplimiento de los criterios de elegibilidad y formalidad, el oferente deberá presentar los siguientes anexos contenidos en la Sección II:</w:t>
      </w:r>
    </w:p>
    <w:p w:rsidR="00000000" w:rsidDel="00000000" w:rsidP="00000000" w:rsidRDefault="00000000" w:rsidRPr="00000000" w14:paraId="0000000B">
      <w:pPr>
        <w:rPr>
          <w:rFonts w:ascii="Arial" w:cs="Arial" w:eastAsia="Arial" w:hAnsi="Arial"/>
          <w:sz w:val="22"/>
          <w:szCs w:val="22"/>
          <w:u w:val="single"/>
        </w:rPr>
      </w:pPr>
      <w:r w:rsidDel="00000000" w:rsidR="00000000" w:rsidRPr="00000000">
        <w:rPr>
          <w:rFonts w:ascii="Arial" w:cs="Arial" w:eastAsia="Arial" w:hAnsi="Arial"/>
          <w:b w:val="1"/>
          <w:sz w:val="22"/>
          <w:szCs w:val="22"/>
          <w:u w:val="single"/>
          <w:rtl w:val="0"/>
        </w:rPr>
        <w:t xml:space="preserve">Anexo 1 – Formulario de oferta</w:t>
      </w:r>
      <w:r w:rsidDel="00000000" w:rsidR="00000000" w:rsidRPr="00000000">
        <w:rPr>
          <w:rtl w:val="0"/>
        </w:rPr>
      </w:r>
    </w:p>
    <w:p w:rsidR="00000000" w:rsidDel="00000000" w:rsidP="00000000" w:rsidRDefault="00000000" w:rsidRPr="00000000" w14:paraId="0000000C">
      <w:pPr>
        <w:rPr>
          <w:rFonts w:ascii="Arial" w:cs="Arial" w:eastAsia="Arial" w:hAnsi="Arial"/>
          <w:sz w:val="22"/>
          <w:szCs w:val="22"/>
          <w:highlight w:val="lightGray"/>
          <w:u w:val="single"/>
        </w:rPr>
      </w:pPr>
      <w:r w:rsidDel="00000000" w:rsidR="00000000" w:rsidRPr="00000000">
        <w:rPr>
          <w:rtl w:val="0"/>
        </w:rPr>
      </w:r>
    </w:p>
    <w:p w:rsidR="00000000" w:rsidDel="00000000" w:rsidP="00000000" w:rsidRDefault="00000000" w:rsidRPr="00000000" w14:paraId="0000000D">
      <w:pPr>
        <w:rPr>
          <w:rFonts w:ascii="Arial" w:cs="Arial" w:eastAsia="Arial" w:hAnsi="Arial"/>
          <w:sz w:val="22"/>
          <w:szCs w:val="22"/>
          <w:u w:val="single"/>
        </w:rPr>
      </w:pPr>
      <w:r w:rsidDel="00000000" w:rsidR="00000000" w:rsidRPr="00000000">
        <w:rPr>
          <w:rFonts w:ascii="Arial" w:cs="Arial" w:eastAsia="Arial" w:hAnsi="Arial"/>
          <w:b w:val="1"/>
          <w:sz w:val="22"/>
          <w:szCs w:val="22"/>
          <w:u w:val="single"/>
          <w:rtl w:val="0"/>
        </w:rPr>
        <w:t xml:space="preserve">Anexo 2 – Declaración de garantía de sostenimiento de oferta</w:t>
      </w:r>
      <w:r w:rsidDel="00000000" w:rsidR="00000000" w:rsidRPr="00000000">
        <w:rPr>
          <w:rtl w:val="0"/>
        </w:rPr>
      </w:r>
    </w:p>
    <w:p w:rsidR="00000000" w:rsidDel="00000000" w:rsidP="00000000" w:rsidRDefault="00000000" w:rsidRPr="00000000" w14:paraId="0000000E">
      <w:pPr>
        <w:rPr>
          <w:rFonts w:ascii="Arial" w:cs="Arial" w:eastAsia="Arial" w:hAnsi="Arial"/>
          <w:sz w:val="22"/>
          <w:szCs w:val="22"/>
          <w:highlight w:val="lightGray"/>
          <w:u w:val="single"/>
        </w:rPr>
      </w:pPr>
      <w:r w:rsidDel="00000000" w:rsidR="00000000" w:rsidRPr="00000000">
        <w:rPr>
          <w:rtl w:val="0"/>
        </w:rPr>
      </w:r>
    </w:p>
    <w:p w:rsidR="00000000" w:rsidDel="00000000" w:rsidP="00000000" w:rsidRDefault="00000000" w:rsidRPr="00000000" w14:paraId="0000000F">
      <w:pPr>
        <w:rPr>
          <w:rFonts w:ascii="Arial" w:cs="Arial" w:eastAsia="Arial" w:hAnsi="Arial"/>
          <w:sz w:val="22"/>
          <w:szCs w:val="22"/>
          <w:u w:val="single"/>
        </w:rPr>
      </w:pPr>
      <w:r w:rsidDel="00000000" w:rsidR="00000000" w:rsidRPr="00000000">
        <w:rPr>
          <w:rFonts w:ascii="Arial" w:cs="Arial" w:eastAsia="Arial" w:hAnsi="Arial"/>
          <w:b w:val="1"/>
          <w:sz w:val="22"/>
          <w:szCs w:val="22"/>
          <w:u w:val="single"/>
          <w:rtl w:val="0"/>
        </w:rPr>
        <w:t xml:space="preserve">Anexo 10 – Declaración</w:t>
      </w:r>
      <w:r w:rsidDel="00000000" w:rsidR="00000000" w:rsidRPr="00000000">
        <w:rPr>
          <w:rtl w:val="0"/>
        </w:rPr>
      </w:r>
    </w:p>
    <w:p w:rsidR="00000000" w:rsidDel="00000000" w:rsidP="00000000" w:rsidRDefault="00000000" w:rsidRPr="00000000" w14:paraId="00000010">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de consorcio, cada empresa que lo integra deberá presentar este anexo.</w:t>
      </w:r>
    </w:p>
    <w:p w:rsidR="00000000" w:rsidDel="00000000" w:rsidP="00000000" w:rsidRDefault="00000000" w:rsidRPr="00000000" w14:paraId="00000011">
      <w:pPr>
        <w:rPr>
          <w:rFonts w:ascii="Arial" w:cs="Arial" w:eastAsia="Arial" w:hAnsi="Arial"/>
          <w:sz w:val="22"/>
          <w:szCs w:val="22"/>
          <w:highlight w:val="lightGray"/>
        </w:rPr>
      </w:pPr>
      <w:r w:rsidDel="00000000" w:rsidR="00000000" w:rsidRPr="00000000">
        <w:rPr>
          <w:rtl w:val="0"/>
        </w:rPr>
      </w:r>
    </w:p>
    <w:p w:rsidR="00000000" w:rsidDel="00000000" w:rsidP="00000000" w:rsidRDefault="00000000" w:rsidRPr="00000000" w14:paraId="00000012">
      <w:pPr>
        <w:jc w:val="both"/>
        <w:rPr>
          <w:rFonts w:ascii="Arial" w:cs="Arial" w:eastAsia="Arial" w:hAnsi="Arial"/>
          <w:sz w:val="22"/>
          <w:szCs w:val="22"/>
          <w:u w:val="single"/>
        </w:rPr>
      </w:pPr>
      <w:r w:rsidDel="00000000" w:rsidR="00000000" w:rsidRPr="00000000">
        <w:rPr>
          <w:rFonts w:ascii="Arial" w:cs="Arial" w:eastAsia="Arial" w:hAnsi="Arial"/>
          <w:b w:val="1"/>
          <w:sz w:val="22"/>
          <w:szCs w:val="22"/>
          <w:u w:val="single"/>
          <w:rtl w:val="0"/>
        </w:rPr>
        <w:t xml:space="preserve">Anexo 11 – Conflictos de intereses</w:t>
      </w:r>
      <w:r w:rsidDel="00000000" w:rsidR="00000000" w:rsidRPr="00000000">
        <w:rPr>
          <w:rtl w:val="0"/>
        </w:rPr>
      </w:r>
    </w:p>
    <w:p w:rsidR="00000000" w:rsidDel="00000000" w:rsidP="00000000" w:rsidRDefault="00000000" w:rsidRPr="00000000" w14:paraId="00000013">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de consorcio, cada empresa que lo integra deberá presentar este anexo.</w:t>
      </w:r>
    </w:p>
    <w:p w:rsidR="00000000" w:rsidDel="00000000" w:rsidP="00000000" w:rsidRDefault="00000000" w:rsidRPr="00000000" w14:paraId="00000014">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5">
      <w:pPr>
        <w:jc w:val="both"/>
        <w:rPr>
          <w:rFonts w:ascii="Arial" w:cs="Arial" w:eastAsia="Arial" w:hAnsi="Arial"/>
          <w:sz w:val="22"/>
          <w:szCs w:val="22"/>
          <w:u w:val="single"/>
        </w:rPr>
      </w:pPr>
      <w:r w:rsidDel="00000000" w:rsidR="00000000" w:rsidRPr="00000000">
        <w:rPr>
          <w:rFonts w:ascii="Arial" w:cs="Arial" w:eastAsia="Arial" w:hAnsi="Arial"/>
          <w:b w:val="1"/>
          <w:sz w:val="22"/>
          <w:szCs w:val="22"/>
          <w:u w:val="single"/>
          <w:rtl w:val="0"/>
        </w:rPr>
        <w:t xml:space="preserve">Anexo 12 – Declaración jurada de elegibilidad</w:t>
      </w:r>
      <w:r w:rsidDel="00000000" w:rsidR="00000000" w:rsidRPr="00000000">
        <w:rPr>
          <w:rtl w:val="0"/>
        </w:rPr>
      </w:r>
    </w:p>
    <w:p w:rsidR="00000000" w:rsidDel="00000000" w:rsidP="00000000" w:rsidRDefault="00000000" w:rsidRPr="00000000" w14:paraId="00000016">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de consorcio, cada empresa que lo integra deberá presentar este anexo.</w:t>
      </w:r>
    </w:p>
    <w:p w:rsidR="00000000" w:rsidDel="00000000" w:rsidP="00000000" w:rsidRDefault="00000000" w:rsidRPr="00000000" w14:paraId="00000017">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8">
      <w:pPr>
        <w:jc w:val="both"/>
        <w:rPr>
          <w:rFonts w:ascii="Arial" w:cs="Arial" w:eastAsia="Arial" w:hAnsi="Arial"/>
          <w:sz w:val="22"/>
          <w:szCs w:val="22"/>
          <w:u w:val="single"/>
        </w:rPr>
      </w:pPr>
      <w:r w:rsidDel="00000000" w:rsidR="00000000" w:rsidRPr="00000000">
        <w:rPr>
          <w:rFonts w:ascii="Arial" w:cs="Arial" w:eastAsia="Arial" w:hAnsi="Arial"/>
          <w:b w:val="1"/>
          <w:sz w:val="22"/>
          <w:szCs w:val="22"/>
          <w:u w:val="single"/>
          <w:rtl w:val="0"/>
        </w:rPr>
        <w:t xml:space="preserve">Anexo 13 – Declaración Jurada de la Sociedad Matriz</w:t>
      </w:r>
      <w:r w:rsidDel="00000000" w:rsidR="00000000" w:rsidRPr="00000000">
        <w:rPr>
          <w:rtl w:val="0"/>
        </w:rPr>
      </w:r>
    </w:p>
    <w:p w:rsidR="00000000" w:rsidDel="00000000" w:rsidP="00000000" w:rsidRDefault="00000000" w:rsidRPr="00000000" w14:paraId="00000019">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que corresponda. (en caso de consorcio debe ser presentado por cada empresa integrante que le corresponda).</w:t>
      </w:r>
    </w:p>
    <w:p w:rsidR="00000000" w:rsidDel="00000000" w:rsidP="00000000" w:rsidRDefault="00000000" w:rsidRPr="00000000" w14:paraId="0000001A">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B">
      <w:pPr>
        <w:jc w:val="both"/>
        <w:rPr>
          <w:rFonts w:ascii="Arial" w:cs="Arial" w:eastAsia="Arial" w:hAnsi="Arial"/>
          <w:sz w:val="22"/>
          <w:szCs w:val="22"/>
          <w:u w:val="single"/>
        </w:rPr>
      </w:pPr>
      <w:r w:rsidDel="00000000" w:rsidR="00000000" w:rsidRPr="00000000">
        <w:rPr>
          <w:rFonts w:ascii="Arial" w:cs="Arial" w:eastAsia="Arial" w:hAnsi="Arial"/>
          <w:b w:val="1"/>
          <w:sz w:val="22"/>
          <w:szCs w:val="22"/>
          <w:u w:val="single"/>
          <w:rtl w:val="0"/>
        </w:rPr>
        <w:t xml:space="preserve">Anexo 14 – Información de Accionistas y/o Gerencia y/o Representantes Legales</w:t>
      </w:r>
      <w:r w:rsidDel="00000000" w:rsidR="00000000" w:rsidRPr="00000000">
        <w:rPr>
          <w:rtl w:val="0"/>
        </w:rPr>
      </w:r>
    </w:p>
    <w:p w:rsidR="00000000" w:rsidDel="00000000" w:rsidP="00000000" w:rsidRDefault="00000000" w:rsidRPr="00000000" w14:paraId="0000001C">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de consorcio, cada empresa que lo integra deberá presentar este anexo.</w:t>
      </w:r>
    </w:p>
    <w:p w:rsidR="00000000" w:rsidDel="00000000" w:rsidP="00000000" w:rsidRDefault="00000000" w:rsidRPr="00000000" w14:paraId="0000001D">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E">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Adicionalmente el oferente deberá presentar la siguiente documentación legal:</w:t>
      </w:r>
    </w:p>
    <w:p w:rsidR="00000000" w:rsidDel="00000000" w:rsidP="00000000" w:rsidRDefault="00000000" w:rsidRPr="00000000" w14:paraId="0000001F">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0">
      <w:pPr>
        <w:jc w:val="both"/>
        <w:rPr>
          <w:rFonts w:ascii="Arial" w:cs="Arial" w:eastAsia="Arial" w:hAnsi="Arial"/>
          <w:sz w:val="22"/>
          <w:szCs w:val="22"/>
        </w:rPr>
      </w:pPr>
      <w:r w:rsidDel="00000000" w:rsidR="00000000" w:rsidRPr="00000000">
        <w:rPr>
          <w:rFonts w:ascii="Arial" w:cs="Arial" w:eastAsia="Arial" w:hAnsi="Arial"/>
          <w:b w:val="1"/>
          <w:sz w:val="22"/>
          <w:szCs w:val="22"/>
          <w:u w:val="single"/>
          <w:rtl w:val="0"/>
        </w:rPr>
        <w:t xml:space="preserve">Copia simple del poder legal vigente que respalda la designación del representante legal</w:t>
      </w:r>
      <w:r w:rsidDel="00000000" w:rsidR="00000000" w:rsidRPr="00000000">
        <w:rPr>
          <w:rFonts w:ascii="Arial" w:cs="Arial" w:eastAsia="Arial" w:hAnsi="Arial"/>
          <w:sz w:val="22"/>
          <w:szCs w:val="22"/>
          <w:rtl w:val="0"/>
        </w:rPr>
        <w:t xml:space="preserve"> autorizado para formular y firmar la oferta. En caso de consorcio, se debe presentar copia simple de los poderes legales vigentes de los representantes de las empresas que integran la asociación o consorcio.</w:t>
      </w:r>
    </w:p>
    <w:p w:rsidR="00000000" w:rsidDel="00000000" w:rsidP="00000000" w:rsidRDefault="00000000" w:rsidRPr="00000000" w14:paraId="00000021">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2">
      <w:pPr>
        <w:jc w:val="both"/>
        <w:rPr>
          <w:rFonts w:ascii="Arial" w:cs="Arial" w:eastAsia="Arial" w:hAnsi="Arial"/>
          <w:sz w:val="22"/>
          <w:szCs w:val="22"/>
        </w:rPr>
      </w:pPr>
      <w:r w:rsidDel="00000000" w:rsidR="00000000" w:rsidRPr="00000000">
        <w:rPr>
          <w:rFonts w:ascii="Arial" w:cs="Arial" w:eastAsia="Arial" w:hAnsi="Arial"/>
          <w:b w:val="1"/>
          <w:sz w:val="22"/>
          <w:szCs w:val="22"/>
          <w:u w:val="single"/>
          <w:rtl w:val="0"/>
        </w:rPr>
        <w:t xml:space="preserve">Copia simple de los documentos de constitución social de la empresa</w:t>
      </w: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sz w:val="22"/>
          <w:szCs w:val="22"/>
          <w:rtl w:val="0"/>
        </w:rPr>
        <w:t xml:space="preserve"> En caso de consorcio, cada una de las empresas integrantes del mismo, deberá presentar esta documentación.</w:t>
      </w:r>
    </w:p>
    <w:p w:rsidR="00000000" w:rsidDel="00000000" w:rsidP="00000000" w:rsidRDefault="00000000" w:rsidRPr="00000000" w14:paraId="00000023">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4">
      <w:pPr>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En el caso de oferentes no domiciliados en el Perú, estos documentos, deberán estar inscritos en los registros públicos del país de origen, de corresponder. Si dichos documentos se encontraran en otro idioma distinto al español, deberán estar acompañados por traducción simple, en cuyo caso la versión en español prevalecerá, por lo tanto, es responsabilidad del oferente la calidad de l</w:t>
      </w:r>
      <w:r w:rsidDel="00000000" w:rsidR="00000000" w:rsidRPr="00000000">
        <w:rPr>
          <w:rFonts w:ascii="Arial" w:cs="Arial" w:eastAsia="Arial" w:hAnsi="Arial"/>
          <w:sz w:val="22"/>
          <w:szCs w:val="22"/>
          <w:highlight w:val="white"/>
          <w:rtl w:val="0"/>
        </w:rPr>
        <w:t xml:space="preserve">a traducción.</w:t>
      </w:r>
    </w:p>
    <w:p w:rsidR="00000000" w:rsidDel="00000000" w:rsidP="00000000" w:rsidRDefault="00000000" w:rsidRPr="00000000" w14:paraId="00000025">
      <w:pPr>
        <w:jc w:val="both"/>
        <w:rPr>
          <w:rFonts w:ascii="Arial" w:cs="Arial" w:eastAsia="Arial" w:hAnsi="Arial"/>
          <w:sz w:val="22"/>
          <w:szCs w:val="22"/>
          <w:highlight w:val="white"/>
        </w:rPr>
      </w:pPr>
      <w:r w:rsidDel="00000000" w:rsidR="00000000" w:rsidRPr="00000000">
        <w:rPr>
          <w:rtl w:val="0"/>
        </w:rPr>
      </w:r>
    </w:p>
    <w:p w:rsidR="00000000" w:rsidDel="00000000" w:rsidP="00000000" w:rsidRDefault="00000000" w:rsidRPr="00000000" w14:paraId="00000026">
      <w:pPr>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De adjudicarse el contrato, el poder deberá inscribirse en los Registros Públicos del Perú, según corresponda.</w:t>
      </w:r>
    </w:p>
    <w:p w:rsidR="00000000" w:rsidDel="00000000" w:rsidP="00000000" w:rsidRDefault="00000000" w:rsidRPr="00000000" w14:paraId="00000027">
      <w:pPr>
        <w:jc w:val="both"/>
        <w:rPr>
          <w:rFonts w:ascii="Arial" w:cs="Arial" w:eastAsia="Arial" w:hAnsi="Arial"/>
          <w:sz w:val="22"/>
          <w:szCs w:val="22"/>
          <w:highlight w:val="white"/>
        </w:rPr>
      </w:pPr>
      <w:r w:rsidDel="00000000" w:rsidR="00000000" w:rsidRPr="00000000">
        <w:rPr>
          <w:rtl w:val="0"/>
        </w:rPr>
      </w:r>
    </w:p>
    <w:p w:rsidR="00000000" w:rsidDel="00000000" w:rsidP="00000000" w:rsidRDefault="00000000" w:rsidRPr="00000000" w14:paraId="00000028">
      <w:pPr>
        <w:jc w:val="both"/>
        <w:rPr>
          <w:rFonts w:ascii="Arial" w:cs="Arial" w:eastAsia="Arial" w:hAnsi="Arial"/>
          <w:sz w:val="22"/>
          <w:szCs w:val="22"/>
        </w:rPr>
      </w:pPr>
      <w:r w:rsidDel="00000000" w:rsidR="00000000" w:rsidRPr="00000000">
        <w:rPr>
          <w:rFonts w:ascii="Arial" w:cs="Arial" w:eastAsia="Arial" w:hAnsi="Arial"/>
          <w:b w:val="1"/>
          <w:sz w:val="22"/>
          <w:szCs w:val="22"/>
          <w:highlight w:val="white"/>
          <w:u w:val="single"/>
          <w:rtl w:val="0"/>
        </w:rPr>
        <w:t xml:space="preserve">Promesa de consorcio</w:t>
      </w:r>
      <w:r w:rsidDel="00000000" w:rsidR="00000000" w:rsidRPr="00000000">
        <w:rPr>
          <w:rFonts w:ascii="Arial" w:cs="Arial" w:eastAsia="Arial" w:hAnsi="Arial"/>
          <w:sz w:val="22"/>
          <w:szCs w:val="22"/>
          <w:highlight w:val="white"/>
          <w:rtl w:val="0"/>
        </w:rPr>
        <w:t xml:space="preserve">, firmado por los representantes legales de las empresas integrantes del consorci</w:t>
      </w:r>
      <w:r w:rsidDel="00000000" w:rsidR="00000000" w:rsidRPr="00000000">
        <w:rPr>
          <w:rFonts w:ascii="Arial" w:cs="Arial" w:eastAsia="Arial" w:hAnsi="Arial"/>
          <w:sz w:val="22"/>
          <w:szCs w:val="22"/>
          <w:rtl w:val="0"/>
        </w:rPr>
        <w:t xml:space="preserve">o. Dichas firmas deberán estar legalizadas ante notario público, designando al Representante Legal Común, en el que conste los siguientes aspectos:</w:t>
      </w:r>
    </w:p>
    <w:p w:rsidR="00000000" w:rsidDel="00000000" w:rsidP="00000000" w:rsidRDefault="00000000" w:rsidRPr="00000000" w14:paraId="00000029">
      <w:pPr>
        <w:numPr>
          <w:ilvl w:val="0"/>
          <w:numId w:val="1"/>
        </w:numPr>
        <w:ind w:left="754" w:hanging="72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Participación de cada empresa asociada en porcentaje del costo y ejecución del contrato. El número máximo de consorciados es de tres. El porcentaje mínimo de participación de cada consorciado e</w:t>
      </w:r>
      <w:r w:rsidDel="00000000" w:rsidR="00000000" w:rsidRPr="00000000">
        <w:rPr>
          <w:rFonts w:ascii="Arial" w:cs="Arial" w:eastAsia="Arial" w:hAnsi="Arial"/>
          <w:sz w:val="22"/>
          <w:szCs w:val="22"/>
          <w:highlight w:val="white"/>
          <w:rtl w:val="0"/>
        </w:rPr>
        <w:t xml:space="preserve">s de 25%. D</w:t>
      </w:r>
      <w:r w:rsidDel="00000000" w:rsidR="00000000" w:rsidRPr="00000000">
        <w:rPr>
          <w:rFonts w:ascii="Arial" w:cs="Arial" w:eastAsia="Arial" w:hAnsi="Arial"/>
          <w:sz w:val="22"/>
          <w:szCs w:val="22"/>
          <w:rtl w:val="0"/>
        </w:rPr>
        <w:t xml:space="preserve">esignar a la empresa que asume el liderazgo técnico la cual deberá tener como mínimo 40% de participación;</w:t>
      </w:r>
    </w:p>
    <w:p w:rsidR="00000000" w:rsidDel="00000000" w:rsidP="00000000" w:rsidRDefault="00000000" w:rsidRPr="00000000" w14:paraId="0000002A">
      <w:pPr>
        <w:numPr>
          <w:ilvl w:val="0"/>
          <w:numId w:val="1"/>
        </w:numPr>
        <w:ind w:left="754" w:hanging="72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Declaración expresa de compromiso formal de no modificar los términos del documento </w:t>
      </w:r>
      <w:r w:rsidDel="00000000" w:rsidR="00000000" w:rsidRPr="00000000">
        <w:rPr>
          <w:rFonts w:ascii="Arial" w:cs="Arial" w:eastAsia="Arial" w:hAnsi="Arial"/>
          <w:i w:val="1"/>
          <w:sz w:val="22"/>
          <w:szCs w:val="22"/>
          <w:rtl w:val="0"/>
        </w:rPr>
        <w:t xml:space="preserve">Promesa de Consorcio</w:t>
      </w:r>
      <w:r w:rsidDel="00000000" w:rsidR="00000000" w:rsidRPr="00000000">
        <w:rPr>
          <w:rFonts w:ascii="Arial" w:cs="Arial" w:eastAsia="Arial" w:hAnsi="Arial"/>
          <w:sz w:val="22"/>
          <w:szCs w:val="22"/>
          <w:rtl w:val="0"/>
        </w:rPr>
        <w:t xml:space="preserve"> en el Contrato de Consorcio, en caso de adjudicarse el Contrato.</w:t>
      </w:r>
    </w:p>
    <w:p w:rsidR="00000000" w:rsidDel="00000000" w:rsidP="00000000" w:rsidRDefault="00000000" w:rsidRPr="00000000" w14:paraId="0000002B">
      <w:pPr>
        <w:numPr>
          <w:ilvl w:val="0"/>
          <w:numId w:val="1"/>
        </w:numPr>
        <w:ind w:left="754" w:hanging="72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Todos los integrantes serán responsables mancomuna</w:t>
      </w:r>
      <w:r w:rsidDel="00000000" w:rsidR="00000000" w:rsidRPr="00000000">
        <w:rPr>
          <w:rFonts w:ascii="Arial" w:cs="Arial" w:eastAsia="Arial" w:hAnsi="Arial"/>
          <w:sz w:val="22"/>
          <w:szCs w:val="22"/>
          <w:highlight w:val="white"/>
          <w:rtl w:val="0"/>
        </w:rPr>
        <w:t xml:space="preserve">da y solidariamente por el cumplimiento del Contrato de acuerdo con los términos del contrato;</w:t>
      </w:r>
    </w:p>
    <w:p w:rsidR="00000000" w:rsidDel="00000000" w:rsidP="00000000" w:rsidRDefault="00000000" w:rsidRPr="00000000" w14:paraId="0000002C">
      <w:pPr>
        <w:numPr>
          <w:ilvl w:val="0"/>
          <w:numId w:val="1"/>
        </w:numPr>
        <w:ind w:left="754" w:hanging="72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Las obligaciones que correspondan a cada uno de los integrantes del consorcio.</w:t>
      </w:r>
    </w:p>
    <w:p w:rsidR="00000000" w:rsidDel="00000000" w:rsidP="00000000" w:rsidRDefault="00000000" w:rsidRPr="00000000" w14:paraId="0000002D">
      <w:pPr>
        <w:jc w:val="both"/>
        <w:rPr>
          <w:rFonts w:ascii="Arial" w:cs="Arial" w:eastAsia="Arial" w:hAnsi="Arial"/>
          <w:sz w:val="22"/>
          <w:szCs w:val="22"/>
          <w:highlight w:val="white"/>
        </w:rPr>
      </w:pPr>
      <w:r w:rsidDel="00000000" w:rsidR="00000000" w:rsidRPr="00000000">
        <w:rPr>
          <w:rtl w:val="0"/>
        </w:rPr>
      </w:r>
    </w:p>
    <w:p w:rsidR="00000000" w:rsidDel="00000000" w:rsidP="00000000" w:rsidRDefault="00000000" w:rsidRPr="00000000" w14:paraId="0000002E">
      <w:pPr>
        <w:jc w:val="both"/>
        <w:rPr>
          <w:rFonts w:ascii="Arial" w:cs="Arial" w:eastAsia="Arial" w:hAnsi="Arial"/>
          <w:sz w:val="22"/>
          <w:szCs w:val="22"/>
        </w:rPr>
      </w:pPr>
      <w:r w:rsidDel="00000000" w:rsidR="00000000" w:rsidRPr="00000000">
        <w:rPr>
          <w:rFonts w:ascii="Arial" w:cs="Arial" w:eastAsia="Arial" w:hAnsi="Arial"/>
          <w:b w:val="1"/>
          <w:sz w:val="22"/>
          <w:szCs w:val="22"/>
          <w:highlight w:val="white"/>
          <w:u w:val="single"/>
          <w:rtl w:val="0"/>
        </w:rPr>
        <w:t xml:space="preserve">Constancia de inscripción vigente del oferente en el Regis</w:t>
      </w:r>
      <w:r w:rsidDel="00000000" w:rsidR="00000000" w:rsidRPr="00000000">
        <w:rPr>
          <w:rFonts w:ascii="Arial" w:cs="Arial" w:eastAsia="Arial" w:hAnsi="Arial"/>
          <w:b w:val="1"/>
          <w:sz w:val="22"/>
          <w:szCs w:val="22"/>
          <w:u w:val="single"/>
          <w:rtl w:val="0"/>
        </w:rPr>
        <w:t xml:space="preserve">tro Nacional de Proveedores</w:t>
      </w:r>
      <w:r w:rsidDel="00000000" w:rsidR="00000000" w:rsidRPr="00000000">
        <w:rPr>
          <w:rFonts w:ascii="Arial" w:cs="Arial" w:eastAsia="Arial" w:hAnsi="Arial"/>
          <w:b w:val="1"/>
          <w:sz w:val="22"/>
          <w:szCs w:val="22"/>
          <w:rtl w:val="0"/>
        </w:rPr>
        <w:t xml:space="preserve"> (RNP)</w:t>
      </w:r>
      <w:r w:rsidDel="00000000" w:rsidR="00000000" w:rsidRPr="00000000">
        <w:rPr>
          <w:rFonts w:ascii="Arial" w:cs="Arial" w:eastAsia="Arial" w:hAnsi="Arial"/>
          <w:sz w:val="22"/>
          <w:szCs w:val="22"/>
          <w:rtl w:val="0"/>
        </w:rPr>
        <w:t xml:space="preserve"> del Organismo Supervisor de las Contrataciones del Estado (OSCE), como Ejecutor de Obras. En el caso de no contar con dicha inscripción, </w:t>
      </w:r>
      <w:r w:rsidDel="00000000" w:rsidR="00000000" w:rsidRPr="00000000">
        <w:rPr>
          <w:rFonts w:ascii="Arial" w:cs="Arial" w:eastAsia="Arial" w:hAnsi="Arial"/>
          <w:sz w:val="22"/>
          <w:szCs w:val="22"/>
          <w:u w:val="single"/>
          <w:rtl w:val="0"/>
        </w:rPr>
        <w:t xml:space="preserve">deberá presentar prueba fehaciente de haber iniciado ante el OSCE los trámites para su inscripción</w:t>
      </w:r>
      <w:r w:rsidDel="00000000" w:rsidR="00000000" w:rsidRPr="00000000">
        <w:rPr>
          <w:rFonts w:ascii="Arial" w:cs="Arial" w:eastAsia="Arial" w:hAnsi="Arial"/>
          <w:sz w:val="22"/>
          <w:szCs w:val="22"/>
          <w:rtl w:val="0"/>
        </w:rPr>
        <w:t xml:space="preserve"> y garantizar mediante declaración jurada que contará con inscripción vigente antes de otorgamiento de la buena pro. (ver plazos contemplados por el TUPA del OSCE)</w:t>
      </w:r>
      <w:r w:rsidDel="00000000" w:rsidR="00000000" w:rsidRPr="00000000">
        <w:rPr>
          <w:rFonts w:ascii="Arial" w:cs="Arial" w:eastAsia="Arial" w:hAnsi="Arial"/>
          <w:sz w:val="22"/>
          <w:szCs w:val="22"/>
          <w:vertAlign w:val="superscript"/>
          <w:rtl w:val="0"/>
        </w:rPr>
        <w:t xml:space="preserve">1</w:t>
      </w:r>
      <w:r w:rsidDel="00000000" w:rsidR="00000000" w:rsidRPr="00000000">
        <w:rPr>
          <w:rFonts w:ascii="Arial" w:cs="Arial" w:eastAsia="Arial" w:hAnsi="Arial"/>
          <w:sz w:val="22"/>
          <w:szCs w:val="22"/>
          <w:rtl w:val="0"/>
        </w:rPr>
        <w:t xml:space="preserve">. En el caso de consorcio, cada una de las firmas deberá presentar por separado dicha constancia o los documentos que correspondan en caso no estar inscritos.</w:t>
      </w:r>
    </w:p>
    <w:p w:rsidR="00000000" w:rsidDel="00000000" w:rsidP="00000000" w:rsidRDefault="00000000" w:rsidRPr="00000000" w14:paraId="0000002F">
      <w:pPr>
        <w:spacing w:after="100" w:before="100" w:lineRule="auto"/>
        <w:jc w:val="both"/>
        <w:rPr>
          <w:rFonts w:ascii="Arial" w:cs="Arial" w:eastAsia="Arial" w:hAnsi="Arial"/>
          <w:i w:val="1"/>
          <w:sz w:val="16"/>
          <w:szCs w:val="16"/>
        </w:rPr>
      </w:pPr>
      <w:r w:rsidDel="00000000" w:rsidR="00000000" w:rsidRPr="00000000">
        <w:rPr>
          <w:rFonts w:ascii="Arial" w:cs="Arial" w:eastAsia="Arial" w:hAnsi="Arial"/>
          <w:i w:val="1"/>
          <w:sz w:val="16"/>
          <w:szCs w:val="16"/>
          <w:rtl w:val="0"/>
        </w:rPr>
        <w:t xml:space="preserve">[1] </w:t>
      </w:r>
      <w:hyperlink r:id="rId7">
        <w:r w:rsidDel="00000000" w:rsidR="00000000" w:rsidRPr="00000000">
          <w:rPr>
            <w:rFonts w:ascii="Arial" w:cs="Arial" w:eastAsia="Arial" w:hAnsi="Arial"/>
            <w:i w:val="1"/>
            <w:sz w:val="16"/>
            <w:szCs w:val="16"/>
            <w:u w:val="single"/>
            <w:rtl w:val="0"/>
          </w:rPr>
          <w:t xml:space="preserve">https://www.gob.pe/osce</w:t>
        </w:r>
      </w:hyperlink>
      <w:r w:rsidDel="00000000" w:rsidR="00000000" w:rsidRPr="00000000">
        <w:rPr>
          <w:rtl w:val="0"/>
        </w:rPr>
      </w:r>
    </w:p>
    <w:p w:rsidR="00000000" w:rsidDel="00000000" w:rsidP="00000000" w:rsidRDefault="00000000" w:rsidRPr="00000000" w14:paraId="00000030">
      <w:pPr>
        <w:spacing w:after="100" w:before="10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1">
      <w:pPr>
        <w:keepNext w:val="1"/>
        <w:pBdr>
          <w:bottom w:color="000000" w:space="1" w:sz="4" w:val="single"/>
        </w:pBdr>
        <w:rPr>
          <w:rFonts w:ascii="Arial" w:cs="Arial" w:eastAsia="Arial" w:hAnsi="Arial"/>
          <w:b w:val="1"/>
          <w:sz w:val="22"/>
          <w:szCs w:val="22"/>
        </w:rPr>
      </w:pPr>
      <w:r w:rsidDel="00000000" w:rsidR="00000000" w:rsidRPr="00000000">
        <w:rPr>
          <w:rFonts w:ascii="Arial" w:cs="Arial" w:eastAsia="Arial" w:hAnsi="Arial"/>
          <w:b w:val="1"/>
          <w:smallCaps w:val="1"/>
          <w:sz w:val="22"/>
          <w:szCs w:val="22"/>
          <w:rtl w:val="0"/>
        </w:rPr>
        <w:t xml:space="preserve">CRITERIOS DE CALIFICACIÓN</w:t>
      </w: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100" w:before="10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jc w:val="both"/>
        <w:rPr>
          <w:rFonts w:ascii="Arial" w:cs="Arial" w:eastAsia="Arial" w:hAnsi="Arial"/>
          <w:b w:val="1"/>
          <w:i w:val="1"/>
          <w:color w:val="000000"/>
          <w:sz w:val="22"/>
          <w:szCs w:val="22"/>
        </w:rPr>
      </w:pPr>
      <w:r w:rsidDel="00000000" w:rsidR="00000000" w:rsidRPr="00000000">
        <w:rPr>
          <w:rFonts w:ascii="Arial" w:cs="Arial" w:eastAsia="Arial" w:hAnsi="Arial"/>
          <w:b w:val="1"/>
          <w:sz w:val="22"/>
          <w:szCs w:val="22"/>
          <w:u w:val="single"/>
          <w:rtl w:val="0"/>
        </w:rPr>
        <w:t xml:space="preserve">Capacidad financiera - Línea de crédito</w:t>
      </w:r>
      <w:r w:rsidDel="00000000" w:rsidR="00000000" w:rsidRPr="00000000">
        <w:rPr>
          <w:rFonts w:ascii="Arial" w:cs="Arial" w:eastAsia="Arial" w:hAnsi="Arial"/>
          <w:b w:val="1"/>
          <w:color w:val="38761d"/>
          <w:sz w:val="22"/>
          <w:szCs w:val="22"/>
          <w:u w:val="single"/>
          <w:rtl w:val="0"/>
        </w:rPr>
        <w:t xml:space="preserve"> </w:t>
      </w:r>
      <w:r w:rsidDel="00000000" w:rsidR="00000000" w:rsidRPr="00000000">
        <w:rPr>
          <w:rFonts w:ascii="Arial" w:cs="Arial" w:eastAsia="Arial" w:hAnsi="Arial"/>
          <w:b w:val="1"/>
          <w:sz w:val="22"/>
          <w:szCs w:val="22"/>
          <w:u w:val="single"/>
          <w:rtl w:val="0"/>
        </w:rPr>
        <w:t xml:space="preserve">(Anexo 6.1) </w:t>
      </w:r>
      <w:r w:rsidDel="00000000" w:rsidR="00000000" w:rsidRPr="00000000">
        <w:rPr>
          <w:rFonts w:ascii="Arial" w:cs="Arial" w:eastAsia="Arial" w:hAnsi="Arial"/>
          <w:b w:val="1"/>
          <w:i w:val="1"/>
          <w:color w:val="000000"/>
          <w:sz w:val="22"/>
          <w:szCs w:val="22"/>
          <w:rtl w:val="0"/>
        </w:rPr>
        <w:t xml:space="preserve">[Opción 1]</w:t>
      </w:r>
    </w:p>
    <w:p w:rsidR="00000000" w:rsidDel="00000000" w:rsidP="00000000" w:rsidRDefault="00000000" w:rsidRPr="00000000" w14:paraId="00000034">
      <w:pPr>
        <w:tabs>
          <w:tab w:val="left" w:leader="none" w:pos="459"/>
        </w:tabs>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El oferente deberá presentar evidencia de tener líneas de crédito por un monto no inferior a </w:t>
      </w:r>
      <w:r w:rsidDel="00000000" w:rsidR="00000000" w:rsidRPr="00000000">
        <w:rPr>
          <w:rFonts w:ascii="Arial" w:cs="Arial" w:eastAsia="Arial" w:hAnsi="Arial"/>
          <w:b w:val="1"/>
          <w:sz w:val="22"/>
          <w:szCs w:val="22"/>
          <w:rtl w:val="0"/>
        </w:rPr>
        <w:t xml:space="preserve">USD </w:t>
      </w:r>
      <w:r w:rsidDel="00000000" w:rsidR="00000000" w:rsidRPr="00000000">
        <w:rPr>
          <w:rFonts w:ascii="Arial" w:cs="Arial" w:eastAsia="Arial" w:hAnsi="Arial"/>
          <w:b w:val="1"/>
          <w:sz w:val="22"/>
          <w:szCs w:val="22"/>
          <w:rtl w:val="0"/>
        </w:rPr>
        <w:t xml:space="preserve">3,000,000.00 </w:t>
      </w: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b w:val="1"/>
          <w:sz w:val="22"/>
          <w:szCs w:val="22"/>
          <w:rtl w:val="0"/>
        </w:rPr>
        <w:t xml:space="preserve">Tres </w:t>
      </w:r>
      <w:r w:rsidDel="00000000" w:rsidR="00000000" w:rsidRPr="00000000">
        <w:rPr>
          <w:rFonts w:ascii="Arial" w:cs="Arial" w:eastAsia="Arial" w:hAnsi="Arial"/>
          <w:b w:val="1"/>
          <w:sz w:val="22"/>
          <w:szCs w:val="22"/>
          <w:rtl w:val="0"/>
        </w:rPr>
        <w:t xml:space="preserve">millones de dólares de los Estados Unidos de América)</w:t>
      </w:r>
      <w:r w:rsidDel="00000000" w:rsidR="00000000" w:rsidRPr="00000000">
        <w:rPr>
          <w:rFonts w:ascii="Arial" w:cs="Arial" w:eastAsia="Arial" w:hAnsi="Arial"/>
          <w:sz w:val="22"/>
          <w:szCs w:val="22"/>
          <w:rtl w:val="0"/>
        </w:rPr>
        <w:t xml:space="preserve"> otorgado por una entidad bancaria.</w:t>
      </w:r>
      <w:r w:rsidDel="00000000" w:rsidR="00000000" w:rsidRPr="00000000">
        <w:rPr>
          <w:rtl w:val="0"/>
        </w:rPr>
      </w:r>
    </w:p>
    <w:p w:rsidR="00000000" w:rsidDel="00000000" w:rsidP="00000000" w:rsidRDefault="00000000" w:rsidRPr="00000000" w14:paraId="00000035">
      <w:pPr>
        <w:tabs>
          <w:tab w:val="left" w:leader="none" w:pos="459"/>
        </w:tabs>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Los documentos de soporte serán exclusivamente:</w:t>
      </w:r>
    </w:p>
    <w:p w:rsidR="00000000" w:rsidDel="00000000" w:rsidP="00000000" w:rsidRDefault="00000000" w:rsidRPr="00000000" w14:paraId="00000036">
      <w:pPr>
        <w:tabs>
          <w:tab w:val="left" w:leader="none" w:pos="459"/>
        </w:tabs>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w:t>
        <w:tab/>
        <w:t xml:space="preserve">Cartas dirigidas a UNOPS, emitidas por entidades bancarias autorizadas y sujetas al ámbito de la Superintendencia de Banca y Seguros y AFP del Perú (SBS) o que esté considerada en la lista actualizada de bancos extranjeros de primera categoría que periódicamente publica el Banco Central de Reserva del Perú: </w:t>
      </w:r>
      <w:hyperlink r:id="rId8">
        <w:r w:rsidDel="00000000" w:rsidR="00000000" w:rsidRPr="00000000">
          <w:rPr>
            <w:rFonts w:ascii="Arial" w:cs="Arial" w:eastAsia="Arial" w:hAnsi="Arial"/>
            <w:color w:val="1155cc"/>
            <w:sz w:val="22"/>
            <w:szCs w:val="22"/>
            <w:u w:val="single"/>
            <w:rtl w:val="0"/>
          </w:rPr>
          <w:t xml:space="preserve">https://www.bcrp.gob.pe/transparencia/datos-generales/normas-emitidas/circulares-</w:t>
        </w:r>
      </w:hyperlink>
      <w:r w:rsidDel="00000000" w:rsidR="00000000" w:rsidRPr="00000000">
        <w:rPr>
          <w:rtl w:val="0"/>
        </w:rPr>
      </w:r>
    </w:p>
    <w:p w:rsidR="00000000" w:rsidDel="00000000" w:rsidP="00000000" w:rsidRDefault="00000000" w:rsidRPr="00000000" w14:paraId="00000037">
      <w:pPr>
        <w:tabs>
          <w:tab w:val="left" w:leader="none" w:pos="459"/>
        </w:tabs>
        <w:spacing w:after="100" w:before="100" w:lineRule="auto"/>
        <w:jc w:val="both"/>
        <w:rPr>
          <w:rFonts w:ascii="Arial" w:cs="Arial" w:eastAsia="Arial" w:hAnsi="Arial"/>
          <w:sz w:val="22"/>
          <w:szCs w:val="22"/>
        </w:rPr>
      </w:pPr>
      <w:hyperlink r:id="rId9">
        <w:r w:rsidDel="00000000" w:rsidR="00000000" w:rsidRPr="00000000">
          <w:rPr>
            <w:rFonts w:ascii="Arial" w:cs="Arial" w:eastAsia="Arial" w:hAnsi="Arial"/>
            <w:color w:val="1155cc"/>
            <w:sz w:val="22"/>
            <w:szCs w:val="22"/>
            <w:u w:val="single"/>
            <w:rtl w:val="0"/>
          </w:rPr>
          <w:t xml:space="preserve">vigentes.html#7.-Bancos-de-Primera-Categor%C3%ADa</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38">
      <w:pPr>
        <w:tabs>
          <w:tab w:val="left" w:leader="none" w:pos="459"/>
        </w:tabs>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w:t>
        <w:tab/>
        <w:t xml:space="preserve">En el caso de empresas que se presenten en consorcios, se considerará para el cálculo de la línea de crédito la suma de las cartas emitidas por los bancos para cada una de las empresas.</w:t>
      </w:r>
    </w:p>
    <w:p w:rsidR="00000000" w:rsidDel="00000000" w:rsidP="00000000" w:rsidRDefault="00000000" w:rsidRPr="00000000" w14:paraId="00000039">
      <w:pPr>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Si dichos documentos se encontraran en idioma distinto al español, deberán ser acompañados por traducción simple al español.</w:t>
      </w:r>
    </w:p>
    <w:p w:rsidR="00000000" w:rsidDel="00000000" w:rsidP="00000000" w:rsidRDefault="00000000" w:rsidRPr="00000000" w14:paraId="0000003A">
      <w:pPr>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ó</w:t>
      </w:r>
    </w:p>
    <w:p w:rsidR="00000000" w:rsidDel="00000000" w:rsidP="00000000" w:rsidRDefault="00000000" w:rsidRPr="00000000" w14:paraId="0000003B">
      <w:pPr>
        <w:pBdr>
          <w:top w:space="0" w:sz="0" w:val="nil"/>
          <w:left w:space="0" w:sz="0" w:val="nil"/>
          <w:bottom w:space="0" w:sz="0" w:val="nil"/>
          <w:right w:space="0" w:sz="0" w:val="nil"/>
          <w:between w:space="0" w:sz="0" w:val="nil"/>
        </w:pBdr>
        <w:jc w:val="both"/>
        <w:rPr>
          <w:rFonts w:ascii="Arimo" w:cs="Arimo" w:eastAsia="Arimo" w:hAnsi="Arimo"/>
          <w:color w:val="000000"/>
          <w:sz w:val="24"/>
          <w:szCs w:val="24"/>
        </w:rPr>
      </w:pPr>
      <w:bookmarkStart w:colFirst="0" w:colLast="0" w:name="_heading=h.1fob9te" w:id="1"/>
      <w:bookmarkEnd w:id="1"/>
      <w:r w:rsidDel="00000000" w:rsidR="00000000" w:rsidRPr="00000000">
        <w:rPr>
          <w:rFonts w:ascii="Arial" w:cs="Arial" w:eastAsia="Arial" w:hAnsi="Arial"/>
          <w:b w:val="1"/>
          <w:color w:val="000000"/>
          <w:sz w:val="22"/>
          <w:szCs w:val="22"/>
          <w:u w:val="single"/>
          <w:rtl w:val="0"/>
        </w:rPr>
        <w:t xml:space="preserve">Capacidad financiera - Obtención de fianzas para adelanto y de fiel cumplimiento de contrato (Anexo 6.1) </w:t>
      </w:r>
      <w:r w:rsidDel="00000000" w:rsidR="00000000" w:rsidRPr="00000000">
        <w:rPr>
          <w:rFonts w:ascii="Arial" w:cs="Arial" w:eastAsia="Arial" w:hAnsi="Arial"/>
          <w:b w:val="1"/>
          <w:i w:val="1"/>
          <w:color w:val="000000"/>
          <w:sz w:val="22"/>
          <w:szCs w:val="22"/>
          <w:rtl w:val="0"/>
        </w:rPr>
        <w:t xml:space="preserve">[Opción 2]</w:t>
      </w: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100" w:lineRule="auto"/>
        <w:ind w:hanging="2"/>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El oferente deberá presentar evidencia de tener acceso a la emisión de cartas fianzas bancarias para garantizar el fiel cumplimiento de contrato y de pagos anticipados para ejecutar la presente obra, de resultar adjudicado. </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00" w:before="100" w:lineRule="auto"/>
        <w:ind w:hanging="2"/>
        <w:jc w:val="both"/>
        <w:rPr>
          <w:rFonts w:ascii="Arimo" w:cs="Arimo" w:eastAsia="Arimo" w:hAnsi="Arimo"/>
          <w:color w:val="000000"/>
          <w:sz w:val="24"/>
          <w:szCs w:val="24"/>
        </w:rPr>
      </w:pPr>
      <w:r w:rsidDel="00000000" w:rsidR="00000000" w:rsidRPr="00000000">
        <w:rPr>
          <w:rFonts w:ascii="Arial" w:cs="Arial" w:eastAsia="Arial" w:hAnsi="Arial"/>
          <w:color w:val="000000"/>
          <w:sz w:val="22"/>
          <w:szCs w:val="22"/>
          <w:rtl w:val="0"/>
        </w:rPr>
        <w:t xml:space="preserve">Los documentos de soporte serán exclusivamente:</w:t>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00" w:before="100" w:lineRule="auto"/>
        <w:ind w:hanging="2"/>
        <w:jc w:val="both"/>
        <w:rPr>
          <w:rFonts w:ascii="Arimo" w:cs="Arimo" w:eastAsia="Arimo" w:hAnsi="Arimo"/>
          <w:color w:val="000000"/>
          <w:sz w:val="24"/>
          <w:szCs w:val="24"/>
        </w:rPr>
      </w:pPr>
      <w:r w:rsidDel="00000000" w:rsidR="00000000" w:rsidRPr="00000000">
        <w:rPr>
          <w:rFonts w:ascii="Arial" w:cs="Arial" w:eastAsia="Arial" w:hAnsi="Arial"/>
          <w:color w:val="000000"/>
          <w:sz w:val="22"/>
          <w:szCs w:val="22"/>
          <w:rtl w:val="0"/>
        </w:rPr>
        <w:t xml:space="preserve">-</w:t>
        <w:tab/>
        <w:t xml:space="preserve">Cartas dirigidas a UNOPS, emitidas por entidades bancarias autorizadas y sujetas al ámbito de la Superintendencia de Banca y Seguros y AFP del Perú (SBS) o que esté considerada en la lista actualizada de bancos extranjeros de primera categoría que periódicamente publica el Banco Central de Reserva del Perú: </w:t>
      </w:r>
      <w:hyperlink r:id="rId10">
        <w:r w:rsidDel="00000000" w:rsidR="00000000" w:rsidRPr="00000000">
          <w:rPr>
            <w:rFonts w:ascii="Arial" w:cs="Arial" w:eastAsia="Arial" w:hAnsi="Arial"/>
            <w:color w:val="1155cc"/>
            <w:sz w:val="22"/>
            <w:szCs w:val="22"/>
            <w:u w:val="single"/>
            <w:rtl w:val="0"/>
          </w:rPr>
          <w:t xml:space="preserve">https://www.bcrp.gob.pe/transparencia/datos-generales/normas-emitidas/circulares-</w:t>
        </w:r>
      </w:hyperlink>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ind w:hanging="2"/>
        <w:jc w:val="both"/>
        <w:rPr>
          <w:rFonts w:ascii="Arial" w:cs="Arial" w:eastAsia="Arial" w:hAnsi="Arial"/>
          <w:color w:val="000000"/>
          <w:sz w:val="22"/>
          <w:szCs w:val="22"/>
        </w:rPr>
      </w:pPr>
      <w:hyperlink r:id="rId11">
        <w:r w:rsidDel="00000000" w:rsidR="00000000" w:rsidRPr="00000000">
          <w:rPr>
            <w:rFonts w:ascii="Arial" w:cs="Arial" w:eastAsia="Arial" w:hAnsi="Arial"/>
            <w:color w:val="1155cc"/>
            <w:sz w:val="22"/>
            <w:szCs w:val="22"/>
            <w:u w:val="single"/>
            <w:rtl w:val="0"/>
          </w:rPr>
          <w:t xml:space="preserve">vigentes.html#7.-Bancos-de-Primera-Categor%C3%ADa.</w:t>
        </w:r>
      </w:hyperlink>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ind w:hanging="2"/>
        <w:jc w:val="both"/>
        <w:rPr>
          <w:rFonts w:ascii="Arimo" w:cs="Arimo" w:eastAsia="Arimo" w:hAnsi="Arimo"/>
          <w:color w:val="000000"/>
          <w:sz w:val="24"/>
          <w:szCs w:val="24"/>
        </w:rPr>
      </w:pPr>
      <w:r w:rsidDel="00000000" w:rsidR="00000000" w:rsidRPr="00000000">
        <w:rPr>
          <w:rtl w:val="0"/>
        </w:rPr>
      </w:r>
    </w:p>
    <w:p w:rsidR="00000000" w:rsidDel="00000000" w:rsidP="00000000" w:rsidRDefault="00000000" w:rsidRPr="00000000" w14:paraId="00000043">
      <w:pPr>
        <w:numPr>
          <w:ilvl w:val="0"/>
          <w:numId w:val="2"/>
        </w:numPr>
        <w:pBdr>
          <w:top w:space="0" w:sz="0" w:val="nil"/>
          <w:left w:space="0" w:sz="0" w:val="nil"/>
          <w:bottom w:space="0" w:sz="0" w:val="nil"/>
          <w:right w:space="0" w:sz="0" w:val="nil"/>
          <w:between w:space="0" w:sz="0" w:val="nil"/>
        </w:pBdr>
        <w:spacing w:after="100" w:lineRule="auto"/>
        <w:ind w:left="720" w:hanging="360"/>
        <w:jc w:val="both"/>
        <w:rPr>
          <w:rFonts w:ascii="Arial" w:cs="Arial" w:eastAsia="Arial" w:hAnsi="Arial"/>
          <w:color w:val="000000"/>
        </w:rPr>
      </w:pPr>
      <w:r w:rsidDel="00000000" w:rsidR="00000000" w:rsidRPr="00000000">
        <w:rPr>
          <w:rFonts w:ascii="Arial" w:cs="Arial" w:eastAsia="Arial" w:hAnsi="Arial"/>
          <w:color w:val="000000"/>
          <w:sz w:val="22"/>
          <w:szCs w:val="22"/>
          <w:rtl w:val="0"/>
        </w:rPr>
        <w:t xml:space="preserve">Las entidades bancarias pueden emitir la carta bajo sus propios formatos.</w:t>
      </w: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after="100" w:lineRule="auto"/>
        <w:ind w:hanging="2"/>
        <w:jc w:val="both"/>
        <w:rPr>
          <w:rFonts w:ascii="Arimo" w:cs="Arimo" w:eastAsia="Arimo" w:hAnsi="Arimo"/>
          <w:color w:val="000000"/>
          <w:sz w:val="24"/>
          <w:szCs w:val="24"/>
        </w:rPr>
      </w:pPr>
      <w:r w:rsidDel="00000000" w:rsidR="00000000" w:rsidRPr="00000000">
        <w:rPr>
          <w:rFonts w:ascii="Arial" w:cs="Arial" w:eastAsia="Arial" w:hAnsi="Arial"/>
          <w:color w:val="000000"/>
          <w:sz w:val="22"/>
          <w:szCs w:val="22"/>
          <w:rtl w:val="0"/>
        </w:rPr>
        <w:t xml:space="preserve">Si dichos documentos se encontraran en idioma distinto al español, deberán ser acompañados por traducción simple al español.</w:t>
      </w:r>
      <w:r w:rsidDel="00000000" w:rsidR="00000000" w:rsidRPr="00000000">
        <w:rPr>
          <w:rtl w:val="0"/>
        </w:rPr>
      </w:r>
    </w:p>
    <w:p w:rsidR="00000000" w:rsidDel="00000000" w:rsidP="00000000" w:rsidRDefault="00000000" w:rsidRPr="00000000" w14:paraId="00000046">
      <w:pPr>
        <w:spacing w:after="100" w:before="10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7">
      <w:pPr>
        <w:tabs>
          <w:tab w:val="left" w:leader="none" w:pos="459"/>
        </w:tabs>
        <w:spacing w:after="100" w:before="100" w:lineRule="auto"/>
        <w:rPr>
          <w:rFonts w:ascii="Arial" w:cs="Arial" w:eastAsia="Arial" w:hAnsi="Arial"/>
          <w:b w:val="1"/>
          <w:sz w:val="22"/>
          <w:szCs w:val="22"/>
          <w:highlight w:val="white"/>
          <w:u w:val="single"/>
        </w:rPr>
      </w:pPr>
      <w:r w:rsidDel="00000000" w:rsidR="00000000" w:rsidRPr="00000000">
        <w:rPr>
          <w:rFonts w:ascii="Arial" w:cs="Arial" w:eastAsia="Arial" w:hAnsi="Arial"/>
          <w:b w:val="1"/>
          <w:sz w:val="22"/>
          <w:szCs w:val="22"/>
          <w:highlight w:val="white"/>
          <w:u w:val="single"/>
          <w:rtl w:val="0"/>
        </w:rPr>
        <w:t xml:space="preserve">Capacidad financiera - Volumen de ventas (Anexo 6.2)</w:t>
      </w:r>
    </w:p>
    <w:p w:rsidR="00000000" w:rsidDel="00000000" w:rsidP="00000000" w:rsidRDefault="00000000" w:rsidRPr="00000000" w14:paraId="00000048">
      <w:pPr>
        <w:tabs>
          <w:tab w:val="left" w:leader="none" w:pos="459"/>
        </w:tabs>
        <w:spacing w:after="100" w:before="10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El oferente deberá contar con un volumen de ventas no inferior a </w:t>
      </w:r>
      <w:r w:rsidDel="00000000" w:rsidR="00000000" w:rsidRPr="00000000">
        <w:rPr>
          <w:rFonts w:ascii="Arial" w:cs="Arial" w:eastAsia="Arial" w:hAnsi="Arial"/>
          <w:b w:val="1"/>
          <w:sz w:val="22"/>
          <w:szCs w:val="22"/>
          <w:highlight w:val="white"/>
          <w:rtl w:val="0"/>
        </w:rPr>
        <w:t xml:space="preserve">USD </w:t>
      </w:r>
      <w:r w:rsidDel="00000000" w:rsidR="00000000" w:rsidRPr="00000000">
        <w:rPr>
          <w:rFonts w:ascii="Arial" w:cs="Arial" w:eastAsia="Arial" w:hAnsi="Arial"/>
          <w:b w:val="1"/>
          <w:sz w:val="22"/>
          <w:szCs w:val="22"/>
          <w:highlight w:val="white"/>
          <w:rtl w:val="0"/>
        </w:rPr>
        <w:t xml:space="preserve">30,000,000.00 </w:t>
      </w:r>
      <w:r w:rsidDel="00000000" w:rsidR="00000000" w:rsidRPr="00000000">
        <w:rPr>
          <w:rFonts w:ascii="Arial" w:cs="Arial" w:eastAsia="Arial" w:hAnsi="Arial"/>
          <w:b w:val="1"/>
          <w:sz w:val="22"/>
          <w:szCs w:val="22"/>
          <w:highlight w:val="white"/>
          <w:rtl w:val="0"/>
        </w:rPr>
        <w:t xml:space="preserve">(</w:t>
      </w:r>
      <w:r w:rsidDel="00000000" w:rsidR="00000000" w:rsidRPr="00000000">
        <w:rPr>
          <w:rFonts w:ascii="Arial" w:cs="Arial" w:eastAsia="Arial" w:hAnsi="Arial"/>
          <w:b w:val="1"/>
          <w:sz w:val="22"/>
          <w:szCs w:val="22"/>
          <w:highlight w:val="white"/>
          <w:rtl w:val="0"/>
        </w:rPr>
        <w:t xml:space="preserve">Treinta </w:t>
      </w:r>
      <w:r w:rsidDel="00000000" w:rsidR="00000000" w:rsidRPr="00000000">
        <w:rPr>
          <w:rFonts w:ascii="Arial" w:cs="Arial" w:eastAsia="Arial" w:hAnsi="Arial"/>
          <w:b w:val="1"/>
          <w:sz w:val="22"/>
          <w:szCs w:val="22"/>
          <w:highlight w:val="white"/>
          <w:rtl w:val="0"/>
        </w:rPr>
        <w:t xml:space="preserve">millones de dólares de los Estados Unidos de América)</w:t>
      </w:r>
      <w:r w:rsidDel="00000000" w:rsidR="00000000" w:rsidRPr="00000000">
        <w:rPr>
          <w:rFonts w:ascii="Arial" w:cs="Arial" w:eastAsia="Arial" w:hAnsi="Arial"/>
          <w:sz w:val="22"/>
          <w:szCs w:val="22"/>
          <w:highlight w:val="white"/>
          <w:rtl w:val="0"/>
        </w:rPr>
        <w:t xml:space="preserve"> en la suma de los últimos cinco (05) años (2022, 2021, 2020, 2019 y 2018), sustentado a través de la presentación de sus estados financieros auditados </w:t>
      </w:r>
      <w:r w:rsidDel="00000000" w:rsidR="00000000" w:rsidRPr="00000000">
        <w:rPr>
          <w:rFonts w:ascii="Arial" w:cs="Arial" w:eastAsia="Arial" w:hAnsi="Arial"/>
          <w:sz w:val="22"/>
          <w:szCs w:val="22"/>
          <w:rtl w:val="0"/>
        </w:rPr>
        <w:t xml:space="preserve">anuales firmados por un contador público colegiado y habilitado o auditado</w:t>
      </w:r>
      <w:r w:rsidDel="00000000" w:rsidR="00000000" w:rsidRPr="00000000">
        <w:rPr>
          <w:rFonts w:ascii="Arial" w:cs="Arial" w:eastAsia="Arial" w:hAnsi="Arial"/>
          <w:sz w:val="22"/>
          <w:szCs w:val="22"/>
          <w:highlight w:val="white"/>
          <w:rtl w:val="0"/>
        </w:rPr>
        <w:t xml:space="preserve">. En caso de Consorcio, será evaluado en forma conjunta, correspondiéndole al Consorcio la calificación que surja de la suma de los volúmenes anuales de venta de cada uno de sus integrantes, debiendo todos los integrantes del Consorcio presentar sus Estados Financieros Auditados o estados financieros anuales firmados por un contador público colegiado, conforme a lo requerido.</w:t>
      </w:r>
      <w:r w:rsidDel="00000000" w:rsidR="00000000" w:rsidRPr="00000000">
        <w:rPr>
          <w:rtl w:val="0"/>
        </w:rPr>
      </w:r>
    </w:p>
    <w:p w:rsidR="00000000" w:rsidDel="00000000" w:rsidP="00000000" w:rsidRDefault="00000000" w:rsidRPr="00000000" w14:paraId="00000049">
      <w:pPr>
        <w:tabs>
          <w:tab w:val="left" w:leader="none" w:pos="0"/>
        </w:tabs>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Si dichos documentos se encontraran en idioma distinto al español, deberán ser acompañados por traducción simple al español.</w:t>
      </w:r>
    </w:p>
    <w:p w:rsidR="00000000" w:rsidDel="00000000" w:rsidP="00000000" w:rsidRDefault="00000000" w:rsidRPr="00000000" w14:paraId="0000004A">
      <w:pPr>
        <w:tabs>
          <w:tab w:val="left" w:leader="none" w:pos="0"/>
        </w:tabs>
        <w:spacing w:after="100" w:before="10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El licitante deberá adjuntar constancia de colegiatura activa vigente del Contador Público/ Auditor firmante de cada documento de los Estados financieros presentados.</w:t>
      </w:r>
      <w:r w:rsidDel="00000000" w:rsidR="00000000" w:rsidRPr="00000000">
        <w:rPr>
          <w:rtl w:val="0"/>
        </w:rPr>
      </w:r>
    </w:p>
    <w:p w:rsidR="00000000" w:rsidDel="00000000" w:rsidP="00000000" w:rsidRDefault="00000000" w:rsidRPr="00000000" w14:paraId="0000004B">
      <w:pPr>
        <w:tabs>
          <w:tab w:val="left" w:leader="none" w:pos="0"/>
        </w:tabs>
        <w:spacing w:after="100" w:before="10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C">
      <w:pPr>
        <w:jc w:val="both"/>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Certificaciones y Políticas</w:t>
      </w:r>
    </w:p>
    <w:p w:rsidR="00000000" w:rsidDel="00000000" w:rsidP="00000000" w:rsidRDefault="00000000" w:rsidRPr="00000000" w14:paraId="0000004D">
      <w:pPr>
        <w:jc w:val="both"/>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4E">
      <w:pPr>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Certificaciones ISO.</w:t>
      </w:r>
    </w:p>
    <w:p w:rsidR="00000000" w:rsidDel="00000000" w:rsidP="00000000" w:rsidRDefault="00000000" w:rsidRPr="00000000" w14:paraId="0000004F">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0">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El oferente deberá presentar las siguientes certificaciones vigentes de buenas prácticas de procesos, control y actividades estandarizadas, referentes a: </w:t>
      </w:r>
    </w:p>
    <w:p w:rsidR="00000000" w:rsidDel="00000000" w:rsidP="00000000" w:rsidRDefault="00000000" w:rsidRPr="00000000" w14:paraId="00000051">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2">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w:t>
        <w:tab/>
        <w:t xml:space="preserve">Sistema de Gestión de Calidad (ISO 9001),</w:t>
      </w:r>
    </w:p>
    <w:p w:rsidR="00000000" w:rsidDel="00000000" w:rsidP="00000000" w:rsidRDefault="00000000" w:rsidRPr="00000000" w14:paraId="00000053">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w:t>
        <w:tab/>
        <w:t xml:space="preserve">Sistema de Gestión Ambiental (ISO 14001)  </w:t>
      </w:r>
    </w:p>
    <w:p w:rsidR="00000000" w:rsidDel="00000000" w:rsidP="00000000" w:rsidRDefault="00000000" w:rsidRPr="00000000" w14:paraId="00000054">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w:t>
        <w:tab/>
        <w:t xml:space="preserve">Sistema de Gestión de Seguridad y Salud Ocupacional (ISO 45001)</w:t>
      </w:r>
    </w:p>
    <w:p w:rsidR="00000000" w:rsidDel="00000000" w:rsidP="00000000" w:rsidRDefault="00000000" w:rsidRPr="00000000" w14:paraId="00000055">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6">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de consorcios, el requisito se cumple a través de una de las empresas integrantes del consorcio o a través de la integración de las certificaciones presentadas por las empresas integrantes del consorcio.</w:t>
      </w:r>
    </w:p>
    <w:p w:rsidR="00000000" w:rsidDel="00000000" w:rsidP="00000000" w:rsidRDefault="00000000" w:rsidRPr="00000000" w14:paraId="00000057">
      <w:pPr>
        <w:jc w:val="both"/>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58">
      <w:pPr>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Política de equidad de género</w:t>
      </w:r>
    </w:p>
    <w:p w:rsidR="00000000" w:rsidDel="00000000" w:rsidP="00000000" w:rsidRDefault="00000000" w:rsidRPr="00000000" w14:paraId="00000059">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5A">
      <w:pPr>
        <w:jc w:val="both"/>
        <w:rPr>
          <w:rFonts w:ascii="Arial" w:cs="Arial" w:eastAsia="Arial" w:hAnsi="Arial"/>
          <w:sz w:val="22"/>
          <w:szCs w:val="22"/>
        </w:rPr>
      </w:pPr>
      <w:bookmarkStart w:colFirst="0" w:colLast="0" w:name="_heading=h.30j0zll" w:id="2"/>
      <w:bookmarkEnd w:id="2"/>
      <w:r w:rsidDel="00000000" w:rsidR="00000000" w:rsidRPr="00000000">
        <w:rPr>
          <w:rFonts w:ascii="Arial" w:cs="Arial" w:eastAsia="Arial" w:hAnsi="Arial"/>
          <w:sz w:val="22"/>
          <w:szCs w:val="22"/>
          <w:rtl w:val="0"/>
        </w:rPr>
        <w:t xml:space="preserve">El oferente deberá presentar su política de equidad de género, describiendo las estrategias dirigidas a facilitar el acceso de las mujeres al trabajo asalariado en consultoría o ejecución de obras. En caso de consorcio, al menos una de las empresas que integra debe presentar este documento.</w:t>
      </w:r>
    </w:p>
    <w:p w:rsidR="00000000" w:rsidDel="00000000" w:rsidP="00000000" w:rsidRDefault="00000000" w:rsidRPr="00000000" w14:paraId="0000005B">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C">
      <w:pPr>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Política para la Prevención del Delito de Corrupción y Lavado de Activos.  </w:t>
      </w:r>
    </w:p>
    <w:p w:rsidR="00000000" w:rsidDel="00000000" w:rsidP="00000000" w:rsidRDefault="00000000" w:rsidRPr="00000000" w14:paraId="0000005D">
      <w:pPr>
        <w:jc w:val="both"/>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5E">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El licitante deberá presentar su Política para la Prevención del Delito de Corrupción y Lavado de Activos. </w:t>
      </w:r>
    </w:p>
    <w:p w:rsidR="00000000" w:rsidDel="00000000" w:rsidP="00000000" w:rsidRDefault="00000000" w:rsidRPr="00000000" w14:paraId="0000005F">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0">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Este requisito también puede ser acreditado a través de la Certificación vigente del Sistema de Gestión Antisoborno ISO 37001, en este caso la presentación de la política ya no es necesaria.</w:t>
      </w:r>
    </w:p>
    <w:p w:rsidR="00000000" w:rsidDel="00000000" w:rsidP="00000000" w:rsidRDefault="00000000" w:rsidRPr="00000000" w14:paraId="00000061">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62">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de consorcio, cada empresa que lo integra debe presentar este documento y/o certificación vigente ISO 37001.</w:t>
      </w:r>
    </w:p>
    <w:p w:rsidR="00000000" w:rsidDel="00000000" w:rsidP="00000000" w:rsidRDefault="00000000" w:rsidRPr="00000000" w14:paraId="00000063">
      <w:pPr>
        <w:tabs>
          <w:tab w:val="left" w:leader="none" w:pos="0"/>
        </w:tabs>
        <w:spacing w:after="100" w:before="10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4">
      <w:pPr>
        <w:keepNext w:val="1"/>
        <w:pBdr>
          <w:top w:space="0" w:sz="0" w:val="nil"/>
          <w:left w:space="0" w:sz="0" w:val="nil"/>
          <w:bottom w:color="000000" w:space="0" w:sz="6" w:val="single"/>
          <w:right w:space="0" w:sz="0" w:val="nil"/>
          <w:between w:space="0" w:sz="0" w:val="nil"/>
        </w:pBdr>
        <w:jc w:val="both"/>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CRITERIOS DE EVALUACIÓN TÉCNICA</w:t>
      </w:r>
    </w:p>
    <w:p w:rsidR="00000000" w:rsidDel="00000000" w:rsidP="00000000" w:rsidRDefault="00000000" w:rsidRPr="00000000" w14:paraId="00000065">
      <w:pPr>
        <w:pBdr>
          <w:top w:space="0" w:sz="0" w:val="nil"/>
          <w:left w:space="0" w:sz="0" w:val="nil"/>
          <w:bottom w:space="0" w:sz="0" w:val="nil"/>
          <w:right w:space="0" w:sz="0" w:val="nil"/>
          <w:between w:space="0" w:sz="0" w:val="nil"/>
        </w:pBdr>
        <w:rPr>
          <w:rFonts w:ascii="Arial" w:cs="Arial" w:eastAsia="Arial" w:hAnsi="Arial"/>
          <w:color w:val="000000"/>
          <w:sz w:val="22"/>
          <w:szCs w:val="22"/>
          <w:highlight w:val="lightGray"/>
        </w:rPr>
      </w:pP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UNOPS efectuará la evaluación técnica de </w:t>
      </w:r>
      <w:r w:rsidDel="00000000" w:rsidR="00000000" w:rsidRPr="00000000">
        <w:rPr>
          <w:rFonts w:ascii="Arial" w:cs="Arial" w:eastAsia="Arial" w:hAnsi="Arial"/>
          <w:sz w:val="22"/>
          <w:szCs w:val="22"/>
          <w:rtl w:val="0"/>
        </w:rPr>
        <w:t xml:space="preserve">las ofertas</w:t>
      </w:r>
      <w:r w:rsidDel="00000000" w:rsidR="00000000" w:rsidRPr="00000000">
        <w:rPr>
          <w:rFonts w:ascii="Arial" w:cs="Arial" w:eastAsia="Arial" w:hAnsi="Arial"/>
          <w:color w:val="000000"/>
          <w:sz w:val="22"/>
          <w:szCs w:val="22"/>
          <w:rtl w:val="0"/>
        </w:rPr>
        <w:t xml:space="preserve"> que cumplen </w:t>
      </w:r>
      <w:r w:rsidDel="00000000" w:rsidR="00000000" w:rsidRPr="00000000">
        <w:rPr>
          <w:rFonts w:ascii="Arial" w:cs="Arial" w:eastAsia="Arial" w:hAnsi="Arial"/>
          <w:sz w:val="22"/>
          <w:szCs w:val="22"/>
          <w:rtl w:val="0"/>
        </w:rPr>
        <w:t xml:space="preserve">los criterios formales y de elegibilidad y los criterios de calificación. S</w:t>
      </w:r>
      <w:r w:rsidDel="00000000" w:rsidR="00000000" w:rsidRPr="00000000">
        <w:rPr>
          <w:rFonts w:ascii="Arial" w:cs="Arial" w:eastAsia="Arial" w:hAnsi="Arial"/>
          <w:color w:val="000000"/>
          <w:sz w:val="22"/>
          <w:szCs w:val="22"/>
          <w:rtl w:val="0"/>
        </w:rPr>
        <w:t xml:space="preserve">i la oferta no cumple sustancialmente los criterios que se detallan a continuación, quedará descalificada y no continuará con el proceso de evaluación:</w:t>
      </w:r>
    </w:p>
    <w:p w:rsidR="00000000" w:rsidDel="00000000" w:rsidP="00000000" w:rsidRDefault="00000000" w:rsidRPr="00000000" w14:paraId="00000067">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rPr>
          <w:rFonts w:ascii="Arial" w:cs="Arial" w:eastAsia="Arial" w:hAnsi="Arial"/>
          <w:color w:val="000000"/>
          <w:sz w:val="22"/>
          <w:szCs w:val="22"/>
          <w:u w:val="single"/>
        </w:rPr>
      </w:pPr>
      <w:r w:rsidDel="00000000" w:rsidR="00000000" w:rsidRPr="00000000">
        <w:rPr>
          <w:rFonts w:ascii="Arial" w:cs="Arial" w:eastAsia="Arial" w:hAnsi="Arial"/>
          <w:b w:val="1"/>
          <w:color w:val="000000"/>
          <w:sz w:val="22"/>
          <w:szCs w:val="22"/>
          <w:u w:val="single"/>
          <w:rtl w:val="0"/>
        </w:rPr>
        <w:t xml:space="preserve">Anexo 4 – Programa preliminar</w:t>
      </w:r>
      <w:r w:rsidDel="00000000" w:rsidR="00000000" w:rsidRPr="00000000">
        <w:rPr>
          <w:rtl w:val="0"/>
        </w:rPr>
      </w:r>
    </w:p>
    <w:p w:rsidR="00000000" w:rsidDel="00000000" w:rsidP="00000000" w:rsidRDefault="00000000" w:rsidRPr="00000000" w14:paraId="00000069">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El programa preliminar del oferente deberá </w:t>
      </w:r>
      <w:r w:rsidDel="00000000" w:rsidR="00000000" w:rsidRPr="00000000">
        <w:rPr>
          <w:rFonts w:ascii="Arial" w:cs="Arial" w:eastAsia="Arial" w:hAnsi="Arial"/>
          <w:sz w:val="22"/>
          <w:szCs w:val="22"/>
          <w:rtl w:val="0"/>
        </w:rPr>
        <w:t xml:space="preserve">demostrar</w:t>
      </w:r>
      <w:r w:rsidDel="00000000" w:rsidR="00000000" w:rsidRPr="00000000">
        <w:rPr>
          <w:rFonts w:ascii="Arial" w:cs="Arial" w:eastAsia="Arial" w:hAnsi="Arial"/>
          <w:color w:val="000000"/>
          <w:sz w:val="22"/>
          <w:szCs w:val="22"/>
          <w:rtl w:val="0"/>
        </w:rPr>
        <w:t xml:space="preserve"> su capacidad de planificar y programar la obra con plazos compatibles con la práctica del sector, </w:t>
      </w:r>
      <w:r w:rsidDel="00000000" w:rsidR="00000000" w:rsidRPr="00000000">
        <w:rPr>
          <w:rFonts w:ascii="Arial" w:cs="Arial" w:eastAsia="Arial" w:hAnsi="Arial"/>
          <w:sz w:val="22"/>
          <w:szCs w:val="22"/>
          <w:rtl w:val="0"/>
        </w:rPr>
        <w:t xml:space="preserve">y con los requisitos del proyecto, conforme a los alcances que se describen en la Sección II, Anexo 4 y la Sección III.</w:t>
      </w:r>
    </w:p>
    <w:p w:rsidR="00000000" w:rsidDel="00000000" w:rsidP="00000000" w:rsidRDefault="00000000" w:rsidRPr="00000000" w14:paraId="0000006A">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Si el </w:t>
      </w:r>
      <w:r w:rsidDel="00000000" w:rsidR="00000000" w:rsidRPr="00000000">
        <w:rPr>
          <w:rFonts w:ascii="Arial" w:cs="Arial" w:eastAsia="Arial" w:hAnsi="Arial"/>
          <w:sz w:val="22"/>
          <w:szCs w:val="22"/>
          <w:rtl w:val="0"/>
        </w:rPr>
        <w:t xml:space="preserve">p</w:t>
      </w:r>
      <w:r w:rsidDel="00000000" w:rsidR="00000000" w:rsidRPr="00000000">
        <w:rPr>
          <w:rFonts w:ascii="Arial" w:cs="Arial" w:eastAsia="Arial" w:hAnsi="Arial"/>
          <w:color w:val="000000"/>
          <w:sz w:val="22"/>
          <w:szCs w:val="22"/>
          <w:rtl w:val="0"/>
        </w:rPr>
        <w:t xml:space="preserve">rograma preliminar de ejecución presentado no </w:t>
      </w:r>
      <w:r w:rsidDel="00000000" w:rsidR="00000000" w:rsidRPr="00000000">
        <w:rPr>
          <w:rFonts w:ascii="Arial" w:cs="Arial" w:eastAsia="Arial" w:hAnsi="Arial"/>
          <w:sz w:val="22"/>
          <w:szCs w:val="22"/>
          <w:rtl w:val="0"/>
        </w:rPr>
        <w:t xml:space="preserve">responde</w:t>
      </w:r>
      <w:r w:rsidDel="00000000" w:rsidR="00000000" w:rsidRPr="00000000">
        <w:rPr>
          <w:rFonts w:ascii="Arial" w:cs="Arial" w:eastAsia="Arial" w:hAnsi="Arial"/>
          <w:color w:val="000000"/>
          <w:sz w:val="22"/>
          <w:szCs w:val="22"/>
          <w:rtl w:val="0"/>
        </w:rPr>
        <w:t xml:space="preserve"> en forma racional a un normal y coherente desarrollo de la obra compatible </w:t>
      </w:r>
      <w:r w:rsidDel="00000000" w:rsidR="00000000" w:rsidRPr="00000000">
        <w:rPr>
          <w:rFonts w:ascii="Arial" w:cs="Arial" w:eastAsia="Arial" w:hAnsi="Arial"/>
          <w:sz w:val="22"/>
          <w:szCs w:val="22"/>
          <w:rtl w:val="0"/>
        </w:rPr>
        <w:t xml:space="preserve">con los requerimientos</w:t>
      </w:r>
      <w:r w:rsidDel="00000000" w:rsidR="00000000" w:rsidRPr="00000000">
        <w:rPr>
          <w:rFonts w:ascii="Arial" w:cs="Arial" w:eastAsia="Arial" w:hAnsi="Arial"/>
          <w:color w:val="000000"/>
          <w:sz w:val="22"/>
          <w:szCs w:val="22"/>
          <w:rtl w:val="0"/>
        </w:rPr>
        <w:t xml:space="preserve">, UNOPS podrá, a su exclusivo juicio, desestimar la totalidad de la oferta. </w:t>
      </w:r>
    </w:p>
    <w:p w:rsidR="00000000" w:rsidDel="00000000" w:rsidP="00000000" w:rsidRDefault="00000000" w:rsidRPr="00000000" w14:paraId="0000006C">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La omisión de la present</w:t>
      </w:r>
      <w:r w:rsidDel="00000000" w:rsidR="00000000" w:rsidRPr="00000000">
        <w:rPr>
          <w:rFonts w:ascii="Arial" w:cs="Arial" w:eastAsia="Arial" w:hAnsi="Arial"/>
          <w:sz w:val="22"/>
          <w:szCs w:val="22"/>
          <w:rtl w:val="0"/>
        </w:rPr>
        <w:t xml:space="preserve">ación del programa preliminar</w:t>
      </w:r>
      <w:r w:rsidDel="00000000" w:rsidR="00000000" w:rsidRPr="00000000">
        <w:rPr>
          <w:rFonts w:ascii="Arial" w:cs="Arial" w:eastAsia="Arial" w:hAnsi="Arial"/>
          <w:color w:val="000000"/>
          <w:sz w:val="22"/>
          <w:szCs w:val="22"/>
          <w:rtl w:val="0"/>
        </w:rPr>
        <w:t xml:space="preserve"> será causal de rechazo de la oferta.</w:t>
      </w:r>
    </w:p>
    <w:p w:rsidR="00000000" w:rsidDel="00000000" w:rsidP="00000000" w:rsidRDefault="00000000" w:rsidRPr="00000000" w14:paraId="0000006E">
      <w:pPr>
        <w:pBdr>
          <w:top w:space="0" w:sz="0" w:val="nil"/>
          <w:left w:space="0" w:sz="0" w:val="nil"/>
          <w:bottom w:space="0" w:sz="0" w:val="nil"/>
          <w:right w:space="0" w:sz="0" w:val="nil"/>
          <w:between w:space="0" w:sz="0" w:val="nil"/>
        </w:pBdr>
        <w:rPr>
          <w:rFonts w:ascii="Arial" w:cs="Arial" w:eastAsia="Arial" w:hAnsi="Arial"/>
          <w:color w:val="000000"/>
          <w:sz w:val="22"/>
          <w:szCs w:val="22"/>
          <w:u w:val="single"/>
        </w:rPr>
      </w:pP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rPr>
          <w:rFonts w:ascii="Arial" w:cs="Arial" w:eastAsia="Arial" w:hAnsi="Arial"/>
          <w:color w:val="000000"/>
          <w:sz w:val="22"/>
          <w:szCs w:val="22"/>
          <w:u w:val="single"/>
        </w:rPr>
      </w:pPr>
      <w:r w:rsidDel="00000000" w:rsidR="00000000" w:rsidRPr="00000000">
        <w:rPr>
          <w:rFonts w:ascii="Arial" w:cs="Arial" w:eastAsia="Arial" w:hAnsi="Arial"/>
          <w:b w:val="1"/>
          <w:sz w:val="22"/>
          <w:szCs w:val="22"/>
          <w:u w:val="single"/>
          <w:rtl w:val="0"/>
        </w:rPr>
        <w:t xml:space="preserve">Anexo 5 – </w:t>
      </w:r>
      <w:r w:rsidDel="00000000" w:rsidR="00000000" w:rsidRPr="00000000">
        <w:rPr>
          <w:rFonts w:ascii="Arial" w:cs="Arial" w:eastAsia="Arial" w:hAnsi="Arial"/>
          <w:b w:val="1"/>
          <w:sz w:val="22"/>
          <w:szCs w:val="22"/>
          <w:u w:val="single"/>
          <w:rtl w:val="0"/>
        </w:rPr>
        <w:t xml:space="preserve">Equipo del proyecto y estructura orgánica propuestos -</w:t>
      </w:r>
      <w:r w:rsidDel="00000000" w:rsidR="00000000" w:rsidRPr="00000000">
        <w:rPr>
          <w:rFonts w:ascii="Arial" w:cs="Arial" w:eastAsia="Arial" w:hAnsi="Arial"/>
          <w:b w:val="1"/>
          <w:sz w:val="22"/>
          <w:szCs w:val="22"/>
          <w:u w:val="single"/>
          <w:rtl w:val="0"/>
        </w:rPr>
        <w:t xml:space="preserve"> Personal clave</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El oferente deberá pr</w:t>
      </w:r>
      <w:r w:rsidDel="00000000" w:rsidR="00000000" w:rsidRPr="00000000">
        <w:rPr>
          <w:rFonts w:ascii="Arial" w:cs="Arial" w:eastAsia="Arial" w:hAnsi="Arial"/>
          <w:sz w:val="22"/>
          <w:szCs w:val="22"/>
          <w:rtl w:val="0"/>
        </w:rPr>
        <w:t xml:space="preserve">oponer al personal clave conforme el requerimiento para la ejecución de la obra contenido en la Sección III. </w:t>
      </w:r>
    </w:p>
    <w:p w:rsidR="00000000" w:rsidDel="00000000" w:rsidP="00000000" w:rsidRDefault="00000000" w:rsidRPr="00000000" w14:paraId="00000071">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2">
      <w:pPr>
        <w:tabs>
          <w:tab w:val="left" w:leader="none" w:pos="34"/>
          <w:tab w:val="left" w:leader="none" w:pos="1276"/>
        </w:tabs>
        <w:jc w:val="both"/>
        <w:rPr>
          <w:rFonts w:ascii="Arial" w:cs="Arial" w:eastAsia="Arial" w:hAnsi="Arial"/>
          <w:b w:val="1"/>
          <w:sz w:val="22"/>
          <w:szCs w:val="22"/>
          <w:highlight w:val="yellow"/>
        </w:rPr>
      </w:pPr>
      <w:r w:rsidDel="00000000" w:rsidR="00000000" w:rsidRPr="00000000">
        <w:rPr>
          <w:rFonts w:ascii="Arial" w:cs="Arial" w:eastAsia="Arial" w:hAnsi="Arial"/>
          <w:sz w:val="22"/>
          <w:szCs w:val="22"/>
          <w:rtl w:val="0"/>
        </w:rPr>
        <w:t xml:space="preserve">Para cumplir con este criterio, al menos 5 de los </w:t>
      </w:r>
      <w:r w:rsidDel="00000000" w:rsidR="00000000" w:rsidRPr="00000000">
        <w:rPr>
          <w:rFonts w:ascii="Arial" w:cs="Arial" w:eastAsia="Arial" w:hAnsi="Arial"/>
          <w:sz w:val="22"/>
          <w:szCs w:val="22"/>
          <w:rtl w:val="0"/>
        </w:rPr>
        <w:t xml:space="preserve">7 </w:t>
      </w:r>
      <w:r w:rsidDel="00000000" w:rsidR="00000000" w:rsidRPr="00000000">
        <w:rPr>
          <w:rFonts w:ascii="Arial" w:cs="Arial" w:eastAsia="Arial" w:hAnsi="Arial"/>
          <w:sz w:val="22"/>
          <w:szCs w:val="22"/>
          <w:rtl w:val="0"/>
        </w:rPr>
        <w:t xml:space="preserve">profesionales clave propuestos deben obtener la calificación de CUMPLE, de lo contrario, la oferta será rechazada. </w:t>
      </w:r>
      <w:r w:rsidDel="00000000" w:rsidR="00000000" w:rsidRPr="00000000">
        <w:rPr>
          <w:rtl w:val="0"/>
        </w:rPr>
      </w:r>
    </w:p>
    <w:p w:rsidR="00000000" w:rsidDel="00000000" w:rsidP="00000000" w:rsidRDefault="00000000" w:rsidRPr="00000000" w14:paraId="00000073">
      <w:pPr>
        <w:tabs>
          <w:tab w:val="left" w:leader="none" w:pos="34"/>
          <w:tab w:val="left" w:leader="none" w:pos="1276"/>
        </w:tabs>
        <w:jc w:val="both"/>
        <w:rPr>
          <w:rFonts w:ascii="Arial" w:cs="Arial" w:eastAsia="Arial" w:hAnsi="Arial"/>
          <w:sz w:val="22"/>
          <w:szCs w:val="22"/>
          <w:highlight w:val="red"/>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left" w:leader="none" w:pos="34"/>
          <w:tab w:val="left" w:leader="none" w:pos="1276"/>
        </w:tabs>
        <w:ind w:left="34" w:firstLine="0"/>
        <w:jc w:val="both"/>
        <w:rPr>
          <w:rFonts w:ascii="Arial" w:cs="Arial" w:eastAsia="Arial" w:hAnsi="Arial"/>
          <w:color w:val="000000"/>
          <w:sz w:val="22"/>
          <w:szCs w:val="22"/>
        </w:rPr>
      </w:pPr>
      <w:r w:rsidDel="00000000" w:rsidR="00000000" w:rsidRPr="00000000">
        <w:rPr>
          <w:rFonts w:ascii="Arial" w:cs="Arial" w:eastAsia="Arial" w:hAnsi="Arial"/>
          <w:sz w:val="22"/>
          <w:szCs w:val="22"/>
          <w:rtl w:val="0"/>
        </w:rPr>
        <w:t xml:space="preserve">A tal efecto, e</w:t>
      </w:r>
      <w:r w:rsidDel="00000000" w:rsidR="00000000" w:rsidRPr="00000000">
        <w:rPr>
          <w:rFonts w:ascii="Arial" w:cs="Arial" w:eastAsia="Arial" w:hAnsi="Arial"/>
          <w:color w:val="000000"/>
          <w:sz w:val="22"/>
          <w:szCs w:val="22"/>
          <w:rtl w:val="0"/>
        </w:rPr>
        <w:t xml:space="preserve">l oferente deberá presentar los siguientes documentos:</w:t>
      </w:r>
    </w:p>
    <w:p w:rsidR="00000000" w:rsidDel="00000000" w:rsidP="00000000" w:rsidRDefault="00000000" w:rsidRPr="00000000" w14:paraId="00000075">
      <w:pPr>
        <w:pBdr>
          <w:top w:space="0" w:sz="0" w:val="nil"/>
          <w:left w:space="0" w:sz="0" w:val="nil"/>
          <w:bottom w:space="0" w:sz="0" w:val="nil"/>
          <w:right w:space="0" w:sz="0" w:val="nil"/>
          <w:between w:space="0" w:sz="0" w:val="nil"/>
        </w:pBdr>
        <w:tabs>
          <w:tab w:val="left" w:leader="none" w:pos="34"/>
          <w:tab w:val="left" w:leader="none" w:pos="1276"/>
        </w:tabs>
        <w:ind w:left="34"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6">
      <w:pPr>
        <w:numPr>
          <w:ilvl w:val="0"/>
          <w:numId w:val="5"/>
        </w:numPr>
        <w:pBdr>
          <w:top w:space="0" w:sz="0" w:val="nil"/>
          <w:left w:space="0" w:sz="0" w:val="nil"/>
          <w:bottom w:space="0" w:sz="0" w:val="nil"/>
          <w:right w:space="0" w:sz="0" w:val="nil"/>
          <w:between w:space="0" w:sz="0" w:val="nil"/>
        </w:pBdr>
        <w:tabs>
          <w:tab w:val="left" w:leader="none" w:pos="34"/>
          <w:tab w:val="left" w:leader="none" w:pos="1276"/>
        </w:tabs>
        <w:ind w:left="360" w:hanging="360"/>
        <w:jc w:val="both"/>
        <w:rPr>
          <w:sz w:val="22"/>
          <w:szCs w:val="22"/>
        </w:rPr>
      </w:pPr>
      <w:r w:rsidDel="00000000" w:rsidR="00000000" w:rsidRPr="00000000">
        <w:rPr>
          <w:rFonts w:ascii="Arial" w:cs="Arial" w:eastAsia="Arial" w:hAnsi="Arial"/>
          <w:b w:val="1"/>
          <w:sz w:val="22"/>
          <w:szCs w:val="22"/>
          <w:rtl w:val="0"/>
        </w:rPr>
        <w:t xml:space="preserve">C</w:t>
      </w:r>
      <w:r w:rsidDel="00000000" w:rsidR="00000000" w:rsidRPr="00000000">
        <w:rPr>
          <w:rFonts w:ascii="Arial" w:cs="Arial" w:eastAsia="Arial" w:hAnsi="Arial"/>
          <w:b w:val="1"/>
          <w:color w:val="000000"/>
          <w:sz w:val="22"/>
          <w:szCs w:val="22"/>
          <w:rtl w:val="0"/>
        </w:rPr>
        <w:t xml:space="preserve">urrículum </w:t>
      </w:r>
      <w:r w:rsidDel="00000000" w:rsidR="00000000" w:rsidRPr="00000000">
        <w:rPr>
          <w:rFonts w:ascii="Arial" w:cs="Arial" w:eastAsia="Arial" w:hAnsi="Arial"/>
          <w:b w:val="1"/>
          <w:sz w:val="22"/>
          <w:szCs w:val="22"/>
          <w:rtl w:val="0"/>
        </w:rPr>
        <w:t xml:space="preserve">vi</w:t>
      </w:r>
      <w:r w:rsidDel="00000000" w:rsidR="00000000" w:rsidRPr="00000000">
        <w:rPr>
          <w:rFonts w:ascii="Arial" w:cs="Arial" w:eastAsia="Arial" w:hAnsi="Arial"/>
          <w:b w:val="1"/>
          <w:color w:val="000000"/>
          <w:sz w:val="22"/>
          <w:szCs w:val="22"/>
          <w:rtl w:val="0"/>
        </w:rPr>
        <w:t xml:space="preserve">tae documentado</w:t>
      </w:r>
      <w:r w:rsidDel="00000000" w:rsidR="00000000" w:rsidRPr="00000000">
        <w:rPr>
          <w:rFonts w:ascii="Arial" w:cs="Arial" w:eastAsia="Arial" w:hAnsi="Arial"/>
          <w:color w:val="000000"/>
          <w:sz w:val="22"/>
          <w:szCs w:val="22"/>
          <w:rtl w:val="0"/>
        </w:rPr>
        <w:t xml:space="preserve"> según </w:t>
      </w:r>
      <w:r w:rsidDel="00000000" w:rsidR="00000000" w:rsidRPr="00000000">
        <w:rPr>
          <w:rFonts w:ascii="Arial" w:cs="Arial" w:eastAsia="Arial" w:hAnsi="Arial"/>
          <w:sz w:val="22"/>
          <w:szCs w:val="22"/>
          <w:rtl w:val="0"/>
        </w:rPr>
        <w:t xml:space="preserve">el</w:t>
      </w:r>
      <w:r w:rsidDel="00000000" w:rsidR="00000000" w:rsidRPr="00000000">
        <w:rPr>
          <w:rFonts w:ascii="Arial" w:cs="Arial" w:eastAsia="Arial" w:hAnsi="Arial"/>
          <w:color w:val="000000"/>
          <w:sz w:val="22"/>
          <w:szCs w:val="22"/>
          <w:rtl w:val="0"/>
        </w:rPr>
        <w:t xml:space="preserve"> Anexo 5</w:t>
      </w:r>
      <w:r w:rsidDel="00000000" w:rsidR="00000000" w:rsidRPr="00000000">
        <w:rPr>
          <w:rFonts w:ascii="Arial" w:cs="Arial" w:eastAsia="Arial" w:hAnsi="Arial"/>
          <w:sz w:val="22"/>
          <w:szCs w:val="22"/>
          <w:rtl w:val="0"/>
        </w:rPr>
        <w:t xml:space="preserve"> incluido en la Sección II.</w:t>
      </w: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tabs>
          <w:tab w:val="left" w:leader="none" w:pos="34"/>
          <w:tab w:val="left" w:leader="none" w:pos="1276"/>
        </w:tabs>
        <w:ind w:left="72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8">
      <w:pPr>
        <w:numPr>
          <w:ilvl w:val="0"/>
          <w:numId w:val="5"/>
        </w:numPr>
        <w:pBdr>
          <w:top w:space="0" w:sz="0" w:val="nil"/>
          <w:left w:space="0" w:sz="0" w:val="nil"/>
          <w:bottom w:space="0" w:sz="0" w:val="nil"/>
          <w:right w:space="0" w:sz="0" w:val="nil"/>
          <w:between w:space="0" w:sz="0" w:val="nil"/>
        </w:pBdr>
        <w:tabs>
          <w:tab w:val="left" w:leader="none" w:pos="34"/>
          <w:tab w:val="left" w:leader="none" w:pos="1276"/>
        </w:tabs>
        <w:ind w:left="360" w:hanging="360"/>
        <w:jc w:val="both"/>
        <w:rPr>
          <w:sz w:val="22"/>
          <w:szCs w:val="22"/>
        </w:rPr>
      </w:pPr>
      <w:r w:rsidDel="00000000" w:rsidR="00000000" w:rsidRPr="00000000">
        <w:rPr>
          <w:rFonts w:ascii="Arial" w:cs="Arial" w:eastAsia="Arial" w:hAnsi="Arial"/>
          <w:b w:val="1"/>
          <w:sz w:val="22"/>
          <w:szCs w:val="22"/>
          <w:rtl w:val="0"/>
        </w:rPr>
        <w:t xml:space="preserve">Copia del título profesional y del certificado de inscripción como miembro del colegio profesional correspondiente del Perú</w:t>
      </w:r>
      <w:r w:rsidDel="00000000" w:rsidR="00000000" w:rsidRPr="00000000">
        <w:rPr>
          <w:rFonts w:ascii="Arial" w:cs="Arial" w:eastAsia="Arial" w:hAnsi="Arial"/>
          <w:color w:val="000000"/>
          <w:sz w:val="22"/>
          <w:szCs w:val="22"/>
          <w:rtl w:val="0"/>
        </w:rPr>
        <w:t xml:space="preserve">. </w:t>
      </w:r>
      <w:r w:rsidDel="00000000" w:rsidR="00000000" w:rsidRPr="00000000">
        <w:rPr>
          <w:rtl w:val="0"/>
        </w:rPr>
      </w:r>
    </w:p>
    <w:p w:rsidR="00000000" w:rsidDel="00000000" w:rsidP="00000000" w:rsidRDefault="00000000" w:rsidRPr="00000000" w14:paraId="00000079">
      <w:pPr>
        <w:tabs>
          <w:tab w:val="left" w:leader="none" w:pos="34"/>
        </w:tabs>
        <w:ind w:left="72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left" w:leader="none" w:pos="360"/>
          <w:tab w:val="left" w:leader="none" w:pos="1276"/>
        </w:tabs>
        <w:ind w:left="360" w:firstLine="0"/>
        <w:jc w:val="both"/>
        <w:rPr>
          <w:rFonts w:ascii="Arial" w:cs="Arial" w:eastAsia="Arial" w:hAnsi="Arial"/>
          <w:color w:val="000000"/>
          <w:sz w:val="22"/>
          <w:szCs w:val="22"/>
          <w:highlight w:val="white"/>
        </w:rPr>
      </w:pPr>
      <w:r w:rsidDel="00000000" w:rsidR="00000000" w:rsidRPr="00000000">
        <w:rPr>
          <w:rFonts w:ascii="Arial" w:cs="Arial" w:eastAsia="Arial" w:hAnsi="Arial"/>
          <w:sz w:val="22"/>
          <w:szCs w:val="22"/>
          <w:highlight w:val="white"/>
          <w:rtl w:val="0"/>
        </w:rPr>
        <w:t xml:space="preserve">En el caso que el oferente proponga a un profesional extranjero, deberá presentar el título y certificado de inscripción del colegio profesional, (en caso corresponder), del país de origen </w:t>
      </w:r>
      <w:r w:rsidDel="00000000" w:rsidR="00000000" w:rsidRPr="00000000">
        <w:rPr>
          <w:rFonts w:ascii="Arial" w:cs="Arial" w:eastAsia="Arial" w:hAnsi="Arial"/>
          <w:color w:val="000000"/>
          <w:sz w:val="22"/>
          <w:szCs w:val="22"/>
          <w:highlight w:val="white"/>
          <w:rtl w:val="0"/>
        </w:rPr>
        <w:t xml:space="preserve">y </w:t>
      </w:r>
      <w:r w:rsidDel="00000000" w:rsidR="00000000" w:rsidRPr="00000000">
        <w:rPr>
          <w:rFonts w:ascii="Arial" w:cs="Arial" w:eastAsia="Arial" w:hAnsi="Arial"/>
          <w:sz w:val="22"/>
          <w:szCs w:val="22"/>
          <w:highlight w:val="white"/>
          <w:rtl w:val="0"/>
        </w:rPr>
        <w:t xml:space="preserve">una </w:t>
      </w:r>
      <w:r w:rsidDel="00000000" w:rsidR="00000000" w:rsidRPr="00000000">
        <w:rPr>
          <w:rFonts w:ascii="Arial" w:cs="Arial" w:eastAsia="Arial" w:hAnsi="Arial"/>
          <w:color w:val="000000"/>
          <w:sz w:val="22"/>
          <w:szCs w:val="22"/>
          <w:highlight w:val="white"/>
          <w:rtl w:val="0"/>
        </w:rPr>
        <w:t xml:space="preserve">declaración jurada de compromiso, que en caso el oferente sea adjudicado</w:t>
      </w:r>
      <w:r w:rsidDel="00000000" w:rsidR="00000000" w:rsidRPr="00000000">
        <w:rPr>
          <w:rFonts w:ascii="Arial" w:cs="Arial" w:eastAsia="Arial" w:hAnsi="Arial"/>
          <w:b w:val="1"/>
          <w:color w:val="38761d"/>
          <w:sz w:val="22"/>
          <w:szCs w:val="22"/>
          <w:highlight w:val="white"/>
          <w:rtl w:val="0"/>
        </w:rPr>
        <w:t xml:space="preserve">,</w:t>
      </w:r>
      <w:r w:rsidDel="00000000" w:rsidR="00000000" w:rsidRPr="00000000">
        <w:rPr>
          <w:rFonts w:ascii="Arial" w:cs="Arial" w:eastAsia="Arial" w:hAnsi="Arial"/>
          <w:sz w:val="22"/>
          <w:szCs w:val="22"/>
          <w:highlight w:val="white"/>
          <w:rtl w:val="0"/>
        </w:rPr>
        <w:t xml:space="preserve"> </w:t>
      </w:r>
      <w:r w:rsidDel="00000000" w:rsidR="00000000" w:rsidRPr="00000000">
        <w:rPr>
          <w:rFonts w:ascii="Arial" w:cs="Arial" w:eastAsia="Arial" w:hAnsi="Arial"/>
          <w:color w:val="000000"/>
          <w:sz w:val="22"/>
          <w:szCs w:val="22"/>
          <w:highlight w:val="white"/>
          <w:rtl w:val="0"/>
        </w:rPr>
        <w:t xml:space="preserve">procederá a la inscripción del profesional en el correspondiente </w:t>
      </w:r>
      <w:r w:rsidDel="00000000" w:rsidR="00000000" w:rsidRPr="00000000">
        <w:rPr>
          <w:rFonts w:ascii="Arial" w:cs="Arial" w:eastAsia="Arial" w:hAnsi="Arial"/>
          <w:sz w:val="22"/>
          <w:szCs w:val="22"/>
          <w:highlight w:val="white"/>
          <w:rtl w:val="0"/>
        </w:rPr>
        <w:t xml:space="preserve">c</w:t>
      </w:r>
      <w:r w:rsidDel="00000000" w:rsidR="00000000" w:rsidRPr="00000000">
        <w:rPr>
          <w:rFonts w:ascii="Arial" w:cs="Arial" w:eastAsia="Arial" w:hAnsi="Arial"/>
          <w:color w:val="000000"/>
          <w:sz w:val="22"/>
          <w:szCs w:val="22"/>
          <w:highlight w:val="white"/>
          <w:rtl w:val="0"/>
        </w:rPr>
        <w:t xml:space="preserve">olegio </w:t>
      </w:r>
      <w:r w:rsidDel="00000000" w:rsidR="00000000" w:rsidRPr="00000000">
        <w:rPr>
          <w:rFonts w:ascii="Arial" w:cs="Arial" w:eastAsia="Arial" w:hAnsi="Arial"/>
          <w:sz w:val="22"/>
          <w:szCs w:val="22"/>
          <w:highlight w:val="white"/>
          <w:rtl w:val="0"/>
        </w:rPr>
        <w:t xml:space="preserve">p</w:t>
      </w:r>
      <w:r w:rsidDel="00000000" w:rsidR="00000000" w:rsidRPr="00000000">
        <w:rPr>
          <w:rFonts w:ascii="Arial" w:cs="Arial" w:eastAsia="Arial" w:hAnsi="Arial"/>
          <w:color w:val="000000"/>
          <w:sz w:val="22"/>
          <w:szCs w:val="22"/>
          <w:highlight w:val="white"/>
          <w:rtl w:val="0"/>
        </w:rPr>
        <w:t xml:space="preserve">rofesional del Perú, por el periodo mínimo de duración de sus servicios.</w:t>
      </w:r>
    </w:p>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left" w:leader="none" w:pos="360"/>
          <w:tab w:val="left" w:leader="none" w:pos="1276"/>
        </w:tabs>
        <w:ind w:left="360" w:firstLine="0"/>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tabs>
          <w:tab w:val="left" w:leader="none" w:pos="360"/>
          <w:tab w:val="left" w:leader="none" w:pos="1276"/>
        </w:tabs>
        <w:ind w:left="360" w:firstLine="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Asimismo, el </w:t>
      </w:r>
      <w:r w:rsidDel="00000000" w:rsidR="00000000" w:rsidRPr="00000000">
        <w:rPr>
          <w:rFonts w:ascii="Arial" w:cs="Arial" w:eastAsia="Arial" w:hAnsi="Arial"/>
          <w:sz w:val="22"/>
          <w:szCs w:val="22"/>
          <w:rtl w:val="0"/>
        </w:rPr>
        <w:t xml:space="preserve">c</w:t>
      </w:r>
      <w:r w:rsidDel="00000000" w:rsidR="00000000" w:rsidRPr="00000000">
        <w:rPr>
          <w:rFonts w:ascii="Arial" w:cs="Arial" w:eastAsia="Arial" w:hAnsi="Arial"/>
          <w:color w:val="000000"/>
          <w:sz w:val="22"/>
          <w:szCs w:val="22"/>
          <w:rtl w:val="0"/>
        </w:rPr>
        <w:t xml:space="preserve">ertificado de habilidad para personal nacional y extranjero, emitido por el Colegio Profesional del Perú </w:t>
      </w:r>
      <w:r w:rsidDel="00000000" w:rsidR="00000000" w:rsidRPr="00000000">
        <w:rPr>
          <w:rFonts w:ascii="Arial" w:cs="Arial" w:eastAsia="Arial" w:hAnsi="Arial"/>
          <w:sz w:val="22"/>
          <w:szCs w:val="22"/>
          <w:rtl w:val="0"/>
        </w:rPr>
        <w:t xml:space="preserve">deberá ser</w:t>
      </w:r>
      <w:r w:rsidDel="00000000" w:rsidR="00000000" w:rsidRPr="00000000">
        <w:rPr>
          <w:rFonts w:ascii="Arial" w:cs="Arial" w:eastAsia="Arial" w:hAnsi="Arial"/>
          <w:color w:val="000000"/>
          <w:sz w:val="22"/>
          <w:szCs w:val="22"/>
          <w:rtl w:val="0"/>
        </w:rPr>
        <w:t xml:space="preserve"> presentado por el oferente adjudicado antes del inicio de su intervención en las obras y dentro del plazo previsto para ello.</w:t>
      </w:r>
    </w:p>
    <w:p w:rsidR="00000000" w:rsidDel="00000000" w:rsidP="00000000" w:rsidRDefault="00000000" w:rsidRPr="00000000" w14:paraId="0000007D">
      <w:pPr>
        <w:pBdr>
          <w:top w:space="0" w:sz="0" w:val="nil"/>
          <w:left w:space="0" w:sz="0" w:val="nil"/>
          <w:bottom w:space="0" w:sz="0" w:val="nil"/>
          <w:right w:space="0" w:sz="0" w:val="nil"/>
          <w:between w:space="0" w:sz="0" w:val="nil"/>
        </w:pBdr>
        <w:tabs>
          <w:tab w:val="left" w:leader="none" w:pos="34"/>
          <w:tab w:val="left" w:leader="none" w:pos="1276"/>
        </w:tabs>
        <w:ind w:left="34"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E">
      <w:pPr>
        <w:numPr>
          <w:ilvl w:val="0"/>
          <w:numId w:val="5"/>
        </w:numPr>
        <w:pBdr>
          <w:top w:space="0" w:sz="0" w:val="nil"/>
          <w:left w:space="0" w:sz="0" w:val="nil"/>
          <w:bottom w:space="0" w:sz="0" w:val="nil"/>
          <w:right w:space="0" w:sz="0" w:val="nil"/>
          <w:between w:space="0" w:sz="0" w:val="nil"/>
        </w:pBdr>
        <w:tabs>
          <w:tab w:val="left" w:leader="none" w:pos="34"/>
          <w:tab w:val="left" w:leader="none" w:pos="1276"/>
        </w:tabs>
        <w:ind w:left="360" w:hanging="36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i) Copia simple de contratos con su respectiva conformidad o </w:t>
      </w: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tabs>
          <w:tab w:val="left" w:leader="none" w:pos="34"/>
          <w:tab w:val="left" w:leader="none" w:pos="1276"/>
        </w:tabs>
        <w:ind w:left="360" w:firstLine="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ii) copia simple de constancias o </w:t>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left" w:leader="none" w:pos="34"/>
          <w:tab w:val="left" w:leader="none" w:pos="1276"/>
        </w:tabs>
        <w:ind w:left="360" w:firstLine="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iii) copia simple de certificados o </w:t>
      </w:r>
    </w:p>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left" w:leader="none" w:pos="34"/>
          <w:tab w:val="left" w:leader="none" w:pos="1276"/>
        </w:tabs>
        <w:ind w:left="360"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iv) cualquier otra documentación </w:t>
      </w:r>
      <w:r w:rsidDel="00000000" w:rsidR="00000000" w:rsidRPr="00000000">
        <w:rPr>
          <w:rFonts w:ascii="Arial" w:cs="Arial" w:eastAsia="Arial" w:hAnsi="Arial"/>
          <w:sz w:val="22"/>
          <w:szCs w:val="22"/>
          <w:rtl w:val="0"/>
        </w:rPr>
        <w:t xml:space="preserve">que, de manera fehaciente demuestre la experiencia del personal profesional propuesto.</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82">
      <w:pPr>
        <w:pBdr>
          <w:top w:space="0" w:sz="0" w:val="nil"/>
          <w:left w:space="0" w:sz="0" w:val="nil"/>
          <w:bottom w:space="0" w:sz="0" w:val="nil"/>
          <w:right w:space="0" w:sz="0" w:val="nil"/>
          <w:between w:space="0" w:sz="0" w:val="nil"/>
        </w:pBdr>
        <w:tabs>
          <w:tab w:val="left" w:leader="none" w:pos="34"/>
          <w:tab w:val="left" w:leader="none" w:pos="1276"/>
        </w:tabs>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left" w:leader="none" w:pos="34"/>
          <w:tab w:val="left" w:leader="none" w:pos="720"/>
        </w:tabs>
        <w:ind w:left="360" w:hanging="360"/>
        <w:jc w:val="both"/>
        <w:rPr>
          <w:rFonts w:ascii="Arial" w:cs="Arial" w:eastAsia="Arial" w:hAnsi="Arial"/>
          <w:sz w:val="22"/>
          <w:szCs w:val="22"/>
        </w:rPr>
      </w:pPr>
      <w:r w:rsidDel="00000000" w:rsidR="00000000" w:rsidRPr="00000000">
        <w:rPr>
          <w:rFonts w:ascii="Arial" w:cs="Arial" w:eastAsia="Arial" w:hAnsi="Arial"/>
          <w:sz w:val="22"/>
          <w:szCs w:val="22"/>
          <w:rtl w:val="0"/>
        </w:rPr>
        <w:tab/>
        <w:tab/>
        <w:t xml:space="preserve">De presentarse experiencia ejecutada paralelamente (traslape) para el cómputo del tiempo de dicha experiencia sólo se considerará una vez el período traslapado. </w:t>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left" w:leader="none" w:pos="34"/>
          <w:tab w:val="left" w:leader="none" w:pos="720"/>
        </w:tabs>
        <w:ind w:left="360" w:hanging="36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tabs>
          <w:tab w:val="left" w:leader="none" w:pos="34"/>
          <w:tab w:val="left" w:leader="none" w:pos="720"/>
        </w:tabs>
        <w:ind w:left="360" w:hanging="360"/>
        <w:jc w:val="both"/>
        <w:rPr>
          <w:rFonts w:ascii="Arial" w:cs="Arial" w:eastAsia="Arial" w:hAnsi="Arial"/>
          <w:sz w:val="22"/>
          <w:szCs w:val="22"/>
        </w:rPr>
      </w:pPr>
      <w:r w:rsidDel="00000000" w:rsidR="00000000" w:rsidRPr="00000000">
        <w:rPr>
          <w:rFonts w:ascii="Arial" w:cs="Arial" w:eastAsia="Arial" w:hAnsi="Arial"/>
          <w:sz w:val="22"/>
          <w:szCs w:val="22"/>
          <w:rtl w:val="0"/>
        </w:rPr>
        <w:tab/>
        <w:tab/>
        <w:t xml:space="preserve">Los profesionales extranjeros deben expresarse correctamente en idioma español, en forma oral y escrita.</w:t>
      </w:r>
    </w:p>
    <w:p w:rsidR="00000000" w:rsidDel="00000000" w:rsidP="00000000" w:rsidRDefault="00000000" w:rsidRPr="00000000" w14:paraId="00000086">
      <w:pPr>
        <w:pBdr>
          <w:top w:space="0" w:sz="0" w:val="nil"/>
          <w:left w:space="0" w:sz="0" w:val="nil"/>
          <w:bottom w:space="0" w:sz="0" w:val="nil"/>
          <w:right w:space="0" w:sz="0" w:val="nil"/>
          <w:between w:space="0" w:sz="0" w:val="nil"/>
        </w:pBdr>
        <w:tabs>
          <w:tab w:val="left" w:leader="none" w:pos="34"/>
          <w:tab w:val="left" w:leader="none" w:pos="1276"/>
        </w:tabs>
        <w:ind w:left="72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tabs>
          <w:tab w:val="left" w:leader="none" w:pos="34"/>
          <w:tab w:val="left" w:leader="none" w:pos="720"/>
        </w:tabs>
        <w:ind w:left="360" w:hanging="360"/>
        <w:jc w:val="both"/>
        <w:rPr>
          <w:rFonts w:ascii="Arial" w:cs="Arial" w:eastAsia="Arial" w:hAnsi="Arial"/>
          <w:color w:val="000000"/>
          <w:sz w:val="22"/>
          <w:szCs w:val="22"/>
        </w:rPr>
      </w:pPr>
      <w:r w:rsidDel="00000000" w:rsidR="00000000" w:rsidRPr="00000000">
        <w:rPr>
          <w:rFonts w:ascii="Arial" w:cs="Arial" w:eastAsia="Arial" w:hAnsi="Arial"/>
          <w:sz w:val="22"/>
          <w:szCs w:val="22"/>
          <w:rtl w:val="0"/>
        </w:rPr>
        <w:tab/>
        <w:tab/>
      </w:r>
      <w:r w:rsidDel="00000000" w:rsidR="00000000" w:rsidRPr="00000000">
        <w:rPr>
          <w:rFonts w:ascii="Arial" w:cs="Arial" w:eastAsia="Arial" w:hAnsi="Arial"/>
          <w:color w:val="000000"/>
          <w:sz w:val="22"/>
          <w:szCs w:val="22"/>
          <w:rtl w:val="0"/>
        </w:rPr>
        <w:t xml:space="preserve">UNOPS se reserva el derecho de solicitar el contrato emitido por la empresa contratante del servicio o documento similar.</w:t>
      </w:r>
    </w:p>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left" w:leader="none" w:pos="34"/>
          <w:tab w:val="left" w:leader="none" w:pos="720"/>
        </w:tabs>
        <w:ind w:left="72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left" w:leader="none" w:pos="459"/>
        </w:tabs>
        <w:spacing w:after="100" w:before="100" w:lineRule="auto"/>
        <w:ind w:left="360" w:firstLine="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La información que sustenta el cumplimiento de los requisitos de experiencia del personal clave será presentada </w:t>
      </w:r>
      <w:r w:rsidDel="00000000" w:rsidR="00000000" w:rsidRPr="00000000">
        <w:rPr>
          <w:rFonts w:ascii="Arial" w:cs="Arial" w:eastAsia="Arial" w:hAnsi="Arial"/>
          <w:sz w:val="22"/>
          <w:szCs w:val="22"/>
          <w:rtl w:val="0"/>
        </w:rPr>
        <w:t xml:space="preserve">conforme la Sección II Anexos</w:t>
      </w:r>
      <w:r w:rsidDel="00000000" w:rsidR="00000000" w:rsidRPr="00000000">
        <w:rPr>
          <w:rFonts w:ascii="Arial" w:cs="Arial" w:eastAsia="Arial" w:hAnsi="Arial"/>
          <w:color w:val="000000"/>
          <w:sz w:val="22"/>
          <w:szCs w:val="22"/>
          <w:rtl w:val="0"/>
        </w:rPr>
        <w:t xml:space="preserve"> 5, 5.1 y 5.2. Asimismo, </w:t>
      </w:r>
      <w:r w:rsidDel="00000000" w:rsidR="00000000" w:rsidRPr="00000000">
        <w:rPr>
          <w:rFonts w:ascii="Arial" w:cs="Arial" w:eastAsia="Arial" w:hAnsi="Arial"/>
          <w:sz w:val="22"/>
          <w:szCs w:val="22"/>
          <w:rtl w:val="0"/>
        </w:rPr>
        <w:t xml:space="preserve">únicamente se tomará como válida las experiencias posteriores a la </w:t>
      </w:r>
      <w:r w:rsidDel="00000000" w:rsidR="00000000" w:rsidRPr="00000000">
        <w:rPr>
          <w:rFonts w:ascii="Arial" w:cs="Arial" w:eastAsia="Arial" w:hAnsi="Arial"/>
          <w:color w:val="000000"/>
          <w:sz w:val="22"/>
          <w:szCs w:val="22"/>
          <w:rtl w:val="0"/>
        </w:rPr>
        <w:t xml:space="preserve">obtención </w:t>
      </w:r>
      <w:r w:rsidDel="00000000" w:rsidR="00000000" w:rsidRPr="00000000">
        <w:rPr>
          <w:rFonts w:ascii="Arial" w:cs="Arial" w:eastAsia="Arial" w:hAnsi="Arial"/>
          <w:sz w:val="22"/>
          <w:szCs w:val="22"/>
          <w:rtl w:val="0"/>
        </w:rPr>
        <w:t xml:space="preserve">de la</w:t>
      </w:r>
      <w:r w:rsidDel="00000000" w:rsidR="00000000" w:rsidRPr="00000000">
        <w:rPr>
          <w:rFonts w:ascii="Arial" w:cs="Arial" w:eastAsia="Arial" w:hAnsi="Arial"/>
          <w:color w:val="000000"/>
          <w:sz w:val="22"/>
          <w:szCs w:val="22"/>
          <w:rtl w:val="0"/>
        </w:rPr>
        <w:t xml:space="preserve"> colegiatura en concordancia con la normativa del ejercicio de la profesión para ingenieros en el Perú. En el caso de profesionales extranjeros, aplicará </w:t>
      </w:r>
      <w:r w:rsidDel="00000000" w:rsidR="00000000" w:rsidRPr="00000000">
        <w:rPr>
          <w:rFonts w:ascii="Arial" w:cs="Arial" w:eastAsia="Arial" w:hAnsi="Arial"/>
          <w:sz w:val="22"/>
          <w:szCs w:val="22"/>
          <w:rtl w:val="0"/>
        </w:rPr>
        <w:t xml:space="preserve">similar criterio, s</w:t>
      </w:r>
      <w:r w:rsidDel="00000000" w:rsidR="00000000" w:rsidRPr="00000000">
        <w:rPr>
          <w:rFonts w:ascii="Arial" w:cs="Arial" w:eastAsia="Arial" w:hAnsi="Arial"/>
          <w:color w:val="000000"/>
          <w:sz w:val="22"/>
          <w:szCs w:val="22"/>
          <w:rtl w:val="0"/>
        </w:rPr>
        <w:t xml:space="preserve">alvo que no exista la obligación de obtención de colegiatura en su país de origen para ejercer la profesión.</w:t>
      </w:r>
    </w:p>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left" w:leader="none" w:pos="34"/>
          <w:tab w:val="left" w:leader="none" w:pos="1276"/>
        </w:tabs>
        <w:ind w:left="360" w:firstLine="0"/>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left" w:leader="none" w:pos="34"/>
          <w:tab w:val="left" w:leader="none" w:pos="1276"/>
        </w:tabs>
        <w:ind w:left="360" w:firstLine="0"/>
        <w:jc w:val="both"/>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Al calificar la experiencia del personal se </w:t>
      </w:r>
      <w:r w:rsidDel="00000000" w:rsidR="00000000" w:rsidRPr="00000000">
        <w:rPr>
          <w:rFonts w:ascii="Arial" w:cs="Arial" w:eastAsia="Arial" w:hAnsi="Arial"/>
          <w:sz w:val="22"/>
          <w:szCs w:val="22"/>
          <w:rtl w:val="0"/>
        </w:rPr>
        <w:t xml:space="preserve">valorará</w:t>
      </w:r>
      <w:r w:rsidDel="00000000" w:rsidR="00000000" w:rsidRPr="00000000">
        <w:rPr>
          <w:rFonts w:ascii="Arial" w:cs="Arial" w:eastAsia="Arial" w:hAnsi="Arial"/>
          <w:color w:val="000000"/>
          <w:sz w:val="22"/>
          <w:szCs w:val="22"/>
          <w:rtl w:val="0"/>
        </w:rPr>
        <w:t xml:space="preserve"> de manera integral los documentos presentados por el oferente para acreditar dicha experiencia. En tal sentido, a</w:t>
      </w:r>
      <w:r w:rsidDel="00000000" w:rsidR="00000000" w:rsidRPr="00000000">
        <w:rPr>
          <w:rFonts w:ascii="Arial" w:cs="Arial" w:eastAsia="Arial" w:hAnsi="Arial"/>
          <w:sz w:val="22"/>
          <w:szCs w:val="22"/>
          <w:rtl w:val="0"/>
        </w:rPr>
        <w:t xml:space="preserve">u</w:t>
      </w:r>
      <w:r w:rsidDel="00000000" w:rsidR="00000000" w:rsidRPr="00000000">
        <w:rPr>
          <w:rFonts w:ascii="Arial" w:cs="Arial" w:eastAsia="Arial" w:hAnsi="Arial"/>
          <w:color w:val="000000"/>
          <w:sz w:val="22"/>
          <w:szCs w:val="22"/>
          <w:rtl w:val="0"/>
        </w:rPr>
        <w:t xml:space="preserve">n cuando en los documentos presentados la denominación del cargo o puesto no coincida literalmente con aquella prevista en los documentos de licitación, se validará la experiencia si las actividades que realizó el personal corresponden con la función propia del cargo o puesto requerido</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8C">
      <w:pPr>
        <w:pBdr>
          <w:top w:space="0" w:sz="0" w:val="nil"/>
          <w:left w:space="0" w:sz="0" w:val="nil"/>
          <w:bottom w:space="0" w:sz="0" w:val="nil"/>
          <w:right w:space="0" w:sz="0" w:val="nil"/>
          <w:between w:space="0" w:sz="0" w:val="nil"/>
        </w:pBdr>
        <w:tabs>
          <w:tab w:val="left" w:leader="none" w:pos="34"/>
          <w:tab w:val="left" w:leader="none" w:pos="1276"/>
        </w:tabs>
        <w:ind w:left="72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D">
      <w:pPr>
        <w:numPr>
          <w:ilvl w:val="0"/>
          <w:numId w:val="5"/>
        </w:numPr>
        <w:tabs>
          <w:tab w:val="left" w:leader="none" w:pos="34"/>
          <w:tab w:val="left" w:leader="none" w:pos="1276"/>
        </w:tabs>
        <w:ind w:left="720" w:hanging="360"/>
        <w:jc w:val="both"/>
        <w:rPr>
          <w:sz w:val="22"/>
          <w:szCs w:val="22"/>
        </w:rPr>
      </w:pPr>
      <w:r w:rsidDel="00000000" w:rsidR="00000000" w:rsidRPr="00000000">
        <w:rPr>
          <w:rFonts w:ascii="Arial" w:cs="Arial" w:eastAsia="Arial" w:hAnsi="Arial"/>
          <w:b w:val="1"/>
          <w:sz w:val="22"/>
          <w:szCs w:val="22"/>
          <w:rtl w:val="0"/>
        </w:rPr>
        <w:t xml:space="preserve">Carta de compromiso del personal clave propuesto, </w:t>
      </w:r>
      <w:r w:rsidDel="00000000" w:rsidR="00000000" w:rsidRPr="00000000">
        <w:rPr>
          <w:rFonts w:ascii="Arial" w:cs="Arial" w:eastAsia="Arial" w:hAnsi="Arial"/>
          <w:sz w:val="22"/>
          <w:szCs w:val="22"/>
          <w:rtl w:val="0"/>
        </w:rPr>
        <w:t xml:space="preserve">según el modelo establecido</w:t>
      </w:r>
      <w:r w:rsidDel="00000000" w:rsidR="00000000" w:rsidRPr="00000000">
        <w:rPr>
          <w:rFonts w:ascii="Arial" w:cs="Arial" w:eastAsia="Arial" w:hAnsi="Arial"/>
          <w:color w:val="000000"/>
          <w:sz w:val="22"/>
          <w:szCs w:val="22"/>
          <w:rtl w:val="0"/>
        </w:rPr>
        <w:t xml:space="preserve"> en el Anexo 5.2.de la Sección II. </w:t>
      </w: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tabs>
          <w:tab w:val="left" w:leader="none" w:pos="34"/>
          <w:tab w:val="left" w:leader="none" w:pos="1276"/>
        </w:tabs>
        <w:ind w:left="72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F">
      <w:pPr>
        <w:numPr>
          <w:ilvl w:val="0"/>
          <w:numId w:val="5"/>
        </w:numPr>
        <w:tabs>
          <w:tab w:val="left" w:leader="none" w:pos="34"/>
          <w:tab w:val="left" w:leader="none" w:pos="1276"/>
        </w:tabs>
        <w:ind w:left="720" w:hanging="36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Formulario de Declaración de Exclusividad y Disponibilidad</w:t>
      </w:r>
      <w:r w:rsidDel="00000000" w:rsidR="00000000" w:rsidRPr="00000000">
        <w:rPr>
          <w:rFonts w:ascii="Arial" w:cs="Arial" w:eastAsia="Arial" w:hAnsi="Arial"/>
          <w:sz w:val="22"/>
          <w:szCs w:val="22"/>
          <w:rtl w:val="0"/>
        </w:rPr>
        <w:t xml:space="preserve">, según el modelo establecido en el Anexo 5.3 de la Sección II.</w:t>
      </w:r>
      <w:r w:rsidDel="00000000" w:rsidR="00000000" w:rsidRPr="00000000">
        <w:rPr>
          <w:rFonts w:ascii="Arial" w:cs="Arial" w:eastAsia="Arial" w:hAnsi="Arial"/>
          <w:i w:val="1"/>
          <w:sz w:val="22"/>
          <w:szCs w:val="22"/>
          <w:highlight w:val="white"/>
          <w:rtl w:val="0"/>
        </w:rPr>
        <w:t xml:space="preserve"> </w:t>
      </w: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tabs>
          <w:tab w:val="left" w:leader="none" w:pos="34"/>
          <w:tab w:val="left" w:leader="none" w:pos="1276"/>
        </w:tabs>
        <w:ind w:left="720" w:firstLine="0"/>
        <w:jc w:val="both"/>
        <w:rPr>
          <w:rFonts w:ascii="Arial" w:cs="Arial" w:eastAsia="Arial" w:hAnsi="Arial"/>
          <w:i w:val="1"/>
          <w:sz w:val="22"/>
          <w:szCs w:val="22"/>
          <w:highlight w:val="white"/>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tabs>
          <w:tab w:val="left" w:leader="none" w:pos="34"/>
          <w:tab w:val="left" w:leader="none" w:pos="1276"/>
        </w:tabs>
        <w:ind w:left="360" w:firstLine="0"/>
        <w:jc w:val="both"/>
        <w:rPr>
          <w:rFonts w:ascii="Arial" w:cs="Arial" w:eastAsia="Arial" w:hAnsi="Arial"/>
          <w:i w:val="1"/>
          <w:sz w:val="22"/>
          <w:szCs w:val="22"/>
          <w:highlight w:val="white"/>
        </w:rPr>
      </w:pPr>
      <w:r w:rsidDel="00000000" w:rsidR="00000000" w:rsidRPr="00000000">
        <w:rPr>
          <w:rFonts w:ascii="Arial" w:cs="Arial" w:eastAsia="Arial" w:hAnsi="Arial"/>
          <w:i w:val="1"/>
          <w:sz w:val="22"/>
          <w:szCs w:val="22"/>
          <w:highlight w:val="white"/>
          <w:rtl w:val="0"/>
        </w:rPr>
        <w:t xml:space="preserve">La declaración de exclusividad y disponibilidad persigue los objetivos siguientes:</w:t>
      </w:r>
    </w:p>
    <w:p w:rsidR="00000000" w:rsidDel="00000000" w:rsidP="00000000" w:rsidRDefault="00000000" w:rsidRPr="00000000" w14:paraId="00000092">
      <w:pPr>
        <w:pBdr>
          <w:top w:space="0" w:sz="0" w:val="nil"/>
          <w:left w:space="0" w:sz="0" w:val="nil"/>
          <w:bottom w:space="0" w:sz="0" w:val="nil"/>
          <w:right w:space="0" w:sz="0" w:val="nil"/>
          <w:between w:space="0" w:sz="0" w:val="nil"/>
        </w:pBdr>
        <w:tabs>
          <w:tab w:val="left" w:leader="none" w:pos="34"/>
          <w:tab w:val="left" w:leader="none" w:pos="1276"/>
        </w:tabs>
        <w:jc w:val="both"/>
        <w:rPr>
          <w:rFonts w:ascii="Arial" w:cs="Arial" w:eastAsia="Arial" w:hAnsi="Arial"/>
          <w:i w:val="1"/>
          <w:sz w:val="22"/>
          <w:szCs w:val="22"/>
          <w:highlight w:val="white"/>
        </w:rPr>
      </w:pPr>
      <w:r w:rsidDel="00000000" w:rsidR="00000000" w:rsidRPr="00000000">
        <w:rPr>
          <w:rtl w:val="0"/>
        </w:rPr>
      </w:r>
    </w:p>
    <w:p w:rsidR="00000000" w:rsidDel="00000000" w:rsidP="00000000" w:rsidRDefault="00000000" w:rsidRPr="00000000" w14:paraId="00000093">
      <w:pPr>
        <w:tabs>
          <w:tab w:val="left" w:leader="none" w:pos="34"/>
          <w:tab w:val="left" w:leader="none" w:pos="1276"/>
        </w:tabs>
        <w:ind w:left="360" w:firstLine="0"/>
        <w:jc w:val="both"/>
        <w:rPr>
          <w:rFonts w:ascii="Arial" w:cs="Arial" w:eastAsia="Arial" w:hAnsi="Arial"/>
          <w:i w:val="1"/>
          <w:sz w:val="22"/>
          <w:szCs w:val="22"/>
          <w:highlight w:val="white"/>
        </w:rPr>
      </w:pPr>
      <w:r w:rsidDel="00000000" w:rsidR="00000000" w:rsidRPr="00000000">
        <w:rPr>
          <w:rFonts w:ascii="Arial" w:cs="Arial" w:eastAsia="Arial" w:hAnsi="Arial"/>
          <w:i w:val="1"/>
          <w:sz w:val="22"/>
          <w:szCs w:val="22"/>
          <w:highlight w:val="white"/>
          <w:rtl w:val="0"/>
        </w:rPr>
        <w:t xml:space="preserve">(a) El personal clave presentado en la oferta no podrá formar parte de otra oferta presentada en el marco de esta licitación. Deberán, por lo tanto, comprometerse a trabajar exclusivamente para el licitante.</w:t>
      </w:r>
    </w:p>
    <w:p w:rsidR="00000000" w:rsidDel="00000000" w:rsidP="00000000" w:rsidRDefault="00000000" w:rsidRPr="00000000" w14:paraId="00000094">
      <w:pPr>
        <w:tabs>
          <w:tab w:val="left" w:leader="none" w:pos="34"/>
          <w:tab w:val="left" w:leader="none" w:pos="1276"/>
        </w:tabs>
        <w:jc w:val="both"/>
        <w:rPr>
          <w:rFonts w:ascii="Arial" w:cs="Arial" w:eastAsia="Arial" w:hAnsi="Arial"/>
          <w:i w:val="1"/>
          <w:sz w:val="22"/>
          <w:szCs w:val="22"/>
          <w:highlight w:val="white"/>
        </w:rPr>
      </w:pPr>
      <w:r w:rsidDel="00000000" w:rsidR="00000000" w:rsidRPr="00000000">
        <w:rPr>
          <w:rtl w:val="0"/>
        </w:rPr>
      </w:r>
    </w:p>
    <w:p w:rsidR="00000000" w:rsidDel="00000000" w:rsidP="00000000" w:rsidRDefault="00000000" w:rsidRPr="00000000" w14:paraId="00000095">
      <w:pPr>
        <w:tabs>
          <w:tab w:val="left" w:leader="none" w:pos="34"/>
          <w:tab w:val="left" w:leader="none" w:pos="1276"/>
        </w:tabs>
        <w:ind w:left="283"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De verificarse que algún personal clave propuesto forma parte de otras ofertas, en el marco de esta licitación, se otorgará la calificación de NO CUMPLE para dicho profesional.</w:t>
      </w:r>
    </w:p>
    <w:p w:rsidR="00000000" w:rsidDel="00000000" w:rsidP="00000000" w:rsidRDefault="00000000" w:rsidRPr="00000000" w14:paraId="00000096">
      <w:pPr>
        <w:tabs>
          <w:tab w:val="left" w:leader="none" w:pos="34"/>
          <w:tab w:val="left" w:leader="none" w:pos="1276"/>
        </w:tabs>
        <w:jc w:val="both"/>
        <w:rPr>
          <w:rFonts w:ascii="Arial" w:cs="Arial" w:eastAsia="Arial" w:hAnsi="Arial"/>
          <w:i w:val="1"/>
          <w:sz w:val="22"/>
          <w:szCs w:val="22"/>
          <w:highlight w:val="white"/>
        </w:rPr>
      </w:pPr>
      <w:r w:rsidDel="00000000" w:rsidR="00000000" w:rsidRPr="00000000">
        <w:rPr>
          <w:rtl w:val="0"/>
        </w:rPr>
      </w:r>
    </w:p>
    <w:p w:rsidR="00000000" w:rsidDel="00000000" w:rsidP="00000000" w:rsidRDefault="00000000" w:rsidRPr="00000000" w14:paraId="00000097">
      <w:pPr>
        <w:tabs>
          <w:tab w:val="left" w:leader="none" w:pos="34"/>
          <w:tab w:val="left" w:leader="none" w:pos="1276"/>
        </w:tabs>
        <w:ind w:left="360" w:firstLine="0"/>
        <w:jc w:val="both"/>
        <w:rPr>
          <w:rFonts w:ascii="Arial" w:cs="Arial" w:eastAsia="Arial" w:hAnsi="Arial"/>
          <w:i w:val="1"/>
          <w:sz w:val="22"/>
          <w:szCs w:val="22"/>
          <w:highlight w:val="white"/>
        </w:rPr>
      </w:pPr>
      <w:r w:rsidDel="00000000" w:rsidR="00000000" w:rsidRPr="00000000">
        <w:rPr>
          <w:rFonts w:ascii="Arial" w:cs="Arial" w:eastAsia="Arial" w:hAnsi="Arial"/>
          <w:i w:val="1"/>
          <w:sz w:val="22"/>
          <w:szCs w:val="22"/>
          <w:highlight w:val="white"/>
          <w:rtl w:val="0"/>
        </w:rPr>
        <w:t xml:space="preserve">(b) Cada profesional clave deberá igualmente comprometerse a estar disponible y a tener la capacidad y la voluntad de trabajar por todo el periodo que se haya previsto para su colaboración durante la ejecución del contrato, de conformidad con lo indicado en los Requerimientos Técnico (RTM) y en la oferta del licitante.</w:t>
      </w:r>
    </w:p>
    <w:p w:rsidR="00000000" w:rsidDel="00000000" w:rsidP="00000000" w:rsidRDefault="00000000" w:rsidRPr="00000000" w14:paraId="00000098">
      <w:pPr>
        <w:tabs>
          <w:tab w:val="left" w:leader="none" w:pos="34"/>
          <w:tab w:val="left" w:leader="none" w:pos="1276"/>
        </w:tabs>
        <w:ind w:left="360" w:firstLine="0"/>
        <w:jc w:val="both"/>
        <w:rPr>
          <w:rFonts w:ascii="Arial" w:cs="Arial" w:eastAsia="Arial" w:hAnsi="Arial"/>
          <w:i w:val="1"/>
          <w:sz w:val="22"/>
          <w:szCs w:val="22"/>
          <w:highlight w:val="white"/>
        </w:rPr>
      </w:pPr>
      <w:r w:rsidDel="00000000" w:rsidR="00000000" w:rsidRPr="00000000">
        <w:rPr>
          <w:rtl w:val="0"/>
        </w:rPr>
      </w:r>
    </w:p>
    <w:p w:rsidR="00000000" w:rsidDel="00000000" w:rsidP="00000000" w:rsidRDefault="00000000" w:rsidRPr="00000000" w14:paraId="00000099">
      <w:pPr>
        <w:tabs>
          <w:tab w:val="left" w:leader="none" w:pos="34"/>
          <w:tab w:val="left" w:leader="none" w:pos="1276"/>
        </w:tabs>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Nota importante:</w:t>
      </w:r>
      <w:r w:rsidDel="00000000" w:rsidR="00000000" w:rsidRPr="00000000">
        <w:rPr>
          <w:rFonts w:ascii="Arial" w:cs="Arial" w:eastAsia="Arial" w:hAnsi="Arial"/>
          <w:sz w:val="22"/>
          <w:szCs w:val="22"/>
          <w:rtl w:val="0"/>
        </w:rPr>
        <w:t xml:space="preserve"> De comprobarse que algún personal clave propuesto por el </w:t>
      </w:r>
      <w:r w:rsidDel="00000000" w:rsidR="00000000" w:rsidRPr="00000000">
        <w:rPr>
          <w:rFonts w:ascii="Arial" w:cs="Arial" w:eastAsia="Arial" w:hAnsi="Arial"/>
          <w:sz w:val="22"/>
          <w:szCs w:val="22"/>
          <w:u w:val="single"/>
          <w:rtl w:val="0"/>
        </w:rPr>
        <w:t xml:space="preserve">licitante a resultar adjudicatario </w:t>
      </w:r>
      <w:r w:rsidDel="00000000" w:rsidR="00000000" w:rsidRPr="00000000">
        <w:rPr>
          <w:rFonts w:ascii="Arial" w:cs="Arial" w:eastAsia="Arial" w:hAnsi="Arial"/>
          <w:sz w:val="22"/>
          <w:szCs w:val="22"/>
          <w:rtl w:val="0"/>
        </w:rPr>
        <w:t xml:space="preserve">de la presente licitación, queda comprometido </w:t>
      </w:r>
      <w:r w:rsidDel="00000000" w:rsidR="00000000" w:rsidRPr="00000000">
        <w:rPr>
          <w:rFonts w:ascii="Arial" w:cs="Arial" w:eastAsia="Arial" w:hAnsi="Arial"/>
          <w:b w:val="1"/>
          <w:sz w:val="22"/>
          <w:szCs w:val="22"/>
          <w:rtl w:val="0"/>
        </w:rPr>
        <w:t xml:space="preserve">en otro proceso</w:t>
      </w:r>
      <w:r w:rsidDel="00000000" w:rsidR="00000000" w:rsidRPr="00000000">
        <w:rPr>
          <w:rFonts w:ascii="Arial" w:cs="Arial" w:eastAsia="Arial" w:hAnsi="Arial"/>
          <w:sz w:val="22"/>
          <w:szCs w:val="22"/>
          <w:rtl w:val="0"/>
        </w:rPr>
        <w:t xml:space="preserve"> de licitación </w:t>
      </w:r>
      <w:r w:rsidDel="00000000" w:rsidR="00000000" w:rsidRPr="00000000">
        <w:rPr>
          <w:rFonts w:ascii="Arial" w:cs="Arial" w:eastAsia="Arial" w:hAnsi="Arial"/>
          <w:sz w:val="22"/>
          <w:szCs w:val="22"/>
          <w:u w:val="single"/>
          <w:rtl w:val="0"/>
        </w:rPr>
        <w:t xml:space="preserve">en curso</w:t>
      </w:r>
      <w:r w:rsidDel="00000000" w:rsidR="00000000" w:rsidRPr="00000000">
        <w:rPr>
          <w:rFonts w:ascii="Arial" w:cs="Arial" w:eastAsia="Arial" w:hAnsi="Arial"/>
          <w:sz w:val="22"/>
          <w:szCs w:val="22"/>
          <w:rtl w:val="0"/>
        </w:rPr>
        <w:t xml:space="preserve"> de UNOPS (al formar parte del equipo de profesionales de alguna oferta seleccionada para adjudicación por el Comité de Contratos de UNOPS) o que no califica conforme a los criterios de selección (según criterio del Anexo 5), se otorgará al licitante </w:t>
      </w:r>
      <w:r w:rsidDel="00000000" w:rsidR="00000000" w:rsidRPr="00000000">
        <w:rPr>
          <w:rFonts w:ascii="Arial" w:cs="Arial" w:eastAsia="Arial" w:hAnsi="Arial"/>
          <w:b w:val="1"/>
          <w:sz w:val="22"/>
          <w:szCs w:val="22"/>
          <w:u w:val="single"/>
          <w:rtl w:val="0"/>
        </w:rPr>
        <w:t xml:space="preserve">un plazo de 3 días hábiles</w:t>
      </w:r>
      <w:r w:rsidDel="00000000" w:rsidR="00000000" w:rsidRPr="00000000">
        <w:rPr>
          <w:rFonts w:ascii="Arial" w:cs="Arial" w:eastAsia="Arial" w:hAnsi="Arial"/>
          <w:sz w:val="22"/>
          <w:szCs w:val="22"/>
          <w:rtl w:val="0"/>
        </w:rPr>
        <w:t xml:space="preserve"> para que los reemplace por otros que cumplan con los criterios de selección y que tengan experiencia igual o superior que el profesional clave a ser reemplazado; caso contrario, de no contar con todo el personal clave requerido, no podrá resultar adjudicado, y UNOPS podrá adjudicar al licitante que sigue en orden de méritos.</w:t>
      </w:r>
    </w:p>
    <w:p w:rsidR="00000000" w:rsidDel="00000000" w:rsidP="00000000" w:rsidRDefault="00000000" w:rsidRPr="00000000" w14:paraId="0000009A">
      <w:pPr>
        <w:tabs>
          <w:tab w:val="left" w:leader="none" w:pos="34"/>
          <w:tab w:val="left" w:leader="none" w:pos="1276"/>
        </w:tabs>
        <w:jc w:val="both"/>
        <w:rPr>
          <w:rFonts w:ascii="Arial" w:cs="Arial" w:eastAsia="Arial" w:hAnsi="Arial"/>
          <w:i w:val="1"/>
          <w:sz w:val="22"/>
          <w:szCs w:val="22"/>
        </w:rPr>
      </w:pPr>
      <w:r w:rsidDel="00000000" w:rsidR="00000000" w:rsidRPr="00000000">
        <w:rPr>
          <w:rtl w:val="0"/>
        </w:rPr>
      </w:r>
    </w:p>
    <w:p w:rsidR="00000000" w:rsidDel="00000000" w:rsidP="00000000" w:rsidRDefault="00000000" w:rsidRPr="00000000" w14:paraId="0000009B">
      <w:pPr>
        <w:tabs>
          <w:tab w:val="left" w:leader="none" w:pos="34"/>
          <w:tab w:val="left" w:leader="none" w:pos="1276"/>
        </w:tabs>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Por lo expuesto, se recomienda a los licitantes que tomen las previsiones necesarias para contar con profesionales alternos, de ser el caso, a fin de reemplazarlos en el plazo requerido.</w:t>
      </w:r>
    </w:p>
    <w:p w:rsidR="00000000" w:rsidDel="00000000" w:rsidP="00000000" w:rsidRDefault="00000000" w:rsidRPr="00000000" w14:paraId="0000009C">
      <w:pPr>
        <w:tabs>
          <w:tab w:val="left" w:leader="none" w:pos="34"/>
          <w:tab w:val="left" w:leader="none" w:pos="1276"/>
        </w:tabs>
        <w:jc w:val="both"/>
        <w:rPr>
          <w:rFonts w:ascii="Arial" w:cs="Arial" w:eastAsia="Arial" w:hAnsi="Arial"/>
          <w:b w:val="1"/>
          <w:sz w:val="22"/>
          <w:szCs w:val="22"/>
          <w:highlight w:val="yellow"/>
        </w:rPr>
      </w:pPr>
      <w:r w:rsidDel="00000000" w:rsidR="00000000" w:rsidRPr="00000000">
        <w:rPr>
          <w:rtl w:val="0"/>
        </w:rPr>
      </w:r>
    </w:p>
    <w:p w:rsidR="00000000" w:rsidDel="00000000" w:rsidP="00000000" w:rsidRDefault="00000000" w:rsidRPr="00000000" w14:paraId="0000009D">
      <w:pPr>
        <w:spacing w:after="100" w:before="100" w:lineRule="auto"/>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Nota aplicable para todos los documentos presentados:</w:t>
      </w:r>
      <w:r w:rsidDel="00000000" w:rsidR="00000000" w:rsidRPr="00000000">
        <w:rPr>
          <w:rFonts w:ascii="Arial" w:cs="Arial" w:eastAsia="Arial" w:hAnsi="Arial"/>
          <w:sz w:val="22"/>
          <w:szCs w:val="22"/>
          <w:rtl w:val="0"/>
        </w:rPr>
        <w:t xml:space="preserve"> Si dichos documentos se encontraran en idioma distinto al español, deberán ser acompañados por traducción simple al español.</w:t>
      </w:r>
    </w:p>
    <w:p w:rsidR="00000000" w:rsidDel="00000000" w:rsidP="00000000" w:rsidRDefault="00000000" w:rsidRPr="00000000" w14:paraId="0000009E">
      <w:pPr>
        <w:pBdr>
          <w:top w:space="0" w:sz="0" w:val="nil"/>
          <w:left w:space="0" w:sz="0" w:val="nil"/>
          <w:bottom w:space="0" w:sz="0" w:val="nil"/>
          <w:right w:space="0" w:sz="0" w:val="nil"/>
          <w:between w:space="0" w:sz="0" w:val="nil"/>
        </w:pBdr>
        <w:tabs>
          <w:tab w:val="left" w:leader="none" w:pos="34"/>
          <w:tab w:val="left" w:leader="none" w:pos="1276"/>
        </w:tabs>
        <w:ind w:left="34" w:firstLine="0"/>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rPr>
          <w:rFonts w:ascii="Arial" w:cs="Arial" w:eastAsia="Arial" w:hAnsi="Arial"/>
          <w:color w:val="000000"/>
          <w:sz w:val="22"/>
          <w:szCs w:val="22"/>
          <w:u w:val="single"/>
        </w:rPr>
      </w:pPr>
      <w:r w:rsidDel="00000000" w:rsidR="00000000" w:rsidRPr="00000000">
        <w:rPr>
          <w:rFonts w:ascii="Arial" w:cs="Arial" w:eastAsia="Arial" w:hAnsi="Arial"/>
          <w:b w:val="1"/>
          <w:color w:val="000000"/>
          <w:sz w:val="22"/>
          <w:szCs w:val="22"/>
          <w:u w:val="single"/>
          <w:rtl w:val="0"/>
        </w:rPr>
        <w:t xml:space="preserve">Anexo 6 – Competencias, experiencia y trabajos completados - Experiencia en obras similares.</w:t>
      </w: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tabs>
          <w:tab w:val="left" w:leader="none" w:pos="720"/>
        </w:tabs>
        <w:spacing w:after="100" w:before="100" w:lineRule="auto"/>
        <w:jc w:val="both"/>
        <w:rPr>
          <w:rFonts w:ascii="Arial" w:cs="Arial" w:eastAsia="Arial" w:hAnsi="Arial"/>
          <w:sz w:val="22"/>
          <w:szCs w:val="22"/>
        </w:rPr>
      </w:pPr>
      <w:bookmarkStart w:colFirst="0" w:colLast="0" w:name="_heading=h.2uy672l6iz6f" w:id="3"/>
      <w:bookmarkEnd w:id="3"/>
      <w:r w:rsidDel="00000000" w:rsidR="00000000" w:rsidRPr="00000000">
        <w:rPr>
          <w:rFonts w:ascii="Arial" w:cs="Arial" w:eastAsia="Arial" w:hAnsi="Arial"/>
          <w:sz w:val="22"/>
          <w:szCs w:val="22"/>
          <w:rtl w:val="0"/>
        </w:rPr>
        <w:t xml:space="preserve">El licitante deberá acreditar experiencia en la ejecución de tres (03) contratos de obras iguales o similares, </w:t>
      </w:r>
      <w:r w:rsidDel="00000000" w:rsidR="00000000" w:rsidRPr="00000000">
        <w:rPr>
          <w:rFonts w:ascii="Arial" w:cs="Arial" w:eastAsia="Arial" w:hAnsi="Arial"/>
          <w:sz w:val="22"/>
          <w:szCs w:val="22"/>
          <w:rtl w:val="0"/>
        </w:rPr>
        <w:t xml:space="preserve">culminados durante los últimos </w:t>
      </w:r>
      <w:r w:rsidDel="00000000" w:rsidR="00000000" w:rsidRPr="00000000">
        <w:rPr>
          <w:rFonts w:ascii="Arial" w:cs="Arial" w:eastAsia="Arial" w:hAnsi="Arial"/>
          <w:b w:val="1"/>
          <w:sz w:val="22"/>
          <w:szCs w:val="22"/>
          <w:rtl w:val="0"/>
        </w:rPr>
        <w:t xml:space="preserve">quince (15) años</w:t>
      </w:r>
      <w:r w:rsidDel="00000000" w:rsidR="00000000" w:rsidRPr="00000000">
        <w:rPr>
          <w:rFonts w:ascii="Arial" w:cs="Arial" w:eastAsia="Arial" w:hAnsi="Arial"/>
          <w:sz w:val="22"/>
          <w:szCs w:val="22"/>
          <w:rtl w:val="0"/>
        </w:rPr>
        <w:t xml:space="preserve"> anteriores a la fecha de la presentación de ofertas, cuyos montos facturados sumen mínimo </w:t>
      </w:r>
      <w:r w:rsidDel="00000000" w:rsidR="00000000" w:rsidRPr="00000000">
        <w:rPr>
          <w:rFonts w:ascii="Arial" w:cs="Arial" w:eastAsia="Arial" w:hAnsi="Arial"/>
          <w:b w:val="1"/>
          <w:sz w:val="22"/>
          <w:szCs w:val="22"/>
          <w:rtl w:val="0"/>
        </w:rPr>
        <w:t xml:space="preserve">USD 40,000,000 </w:t>
      </w: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b w:val="1"/>
          <w:sz w:val="22"/>
          <w:szCs w:val="22"/>
          <w:rtl w:val="0"/>
        </w:rPr>
        <w:t xml:space="preserve">Cuarenta </w:t>
      </w:r>
      <w:r w:rsidDel="00000000" w:rsidR="00000000" w:rsidRPr="00000000">
        <w:rPr>
          <w:rFonts w:ascii="Arial" w:cs="Arial" w:eastAsia="Arial" w:hAnsi="Arial"/>
          <w:b w:val="1"/>
          <w:sz w:val="22"/>
          <w:szCs w:val="22"/>
          <w:rtl w:val="0"/>
        </w:rPr>
        <w:t xml:space="preserve">millones de dólares </w:t>
      </w:r>
      <w:r w:rsidDel="00000000" w:rsidR="00000000" w:rsidRPr="00000000">
        <w:rPr>
          <w:rFonts w:ascii="Arial" w:cs="Arial" w:eastAsia="Arial" w:hAnsi="Arial"/>
          <w:b w:val="1"/>
          <w:sz w:val="22"/>
          <w:szCs w:val="22"/>
          <w:rtl w:val="0"/>
        </w:rPr>
        <w:t xml:space="preserve">de los Estados Unidos de América</w:t>
      </w: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sz w:val="22"/>
          <w:szCs w:val="22"/>
          <w:rtl w:val="0"/>
        </w:rPr>
        <w:t xml:space="preserve"> y donde cada contrato sea de al menos un monto facturado mínimo de </w:t>
      </w:r>
      <w:r w:rsidDel="00000000" w:rsidR="00000000" w:rsidRPr="00000000">
        <w:rPr>
          <w:rFonts w:ascii="Arial" w:cs="Arial" w:eastAsia="Arial" w:hAnsi="Arial"/>
          <w:b w:val="1"/>
          <w:sz w:val="22"/>
          <w:szCs w:val="22"/>
          <w:rtl w:val="0"/>
        </w:rPr>
        <w:t xml:space="preserve">USD </w:t>
      </w:r>
      <w:r w:rsidDel="00000000" w:rsidR="00000000" w:rsidRPr="00000000">
        <w:rPr>
          <w:rFonts w:ascii="Arial" w:cs="Arial" w:eastAsia="Arial" w:hAnsi="Arial"/>
          <w:b w:val="1"/>
          <w:sz w:val="22"/>
          <w:szCs w:val="22"/>
          <w:rtl w:val="0"/>
        </w:rPr>
        <w:t xml:space="preserve">12,000,000 </w:t>
      </w: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b w:val="1"/>
          <w:sz w:val="22"/>
          <w:szCs w:val="22"/>
          <w:rtl w:val="0"/>
        </w:rPr>
        <w:t xml:space="preserve">Doce </w:t>
      </w:r>
      <w:r w:rsidDel="00000000" w:rsidR="00000000" w:rsidRPr="00000000">
        <w:rPr>
          <w:rFonts w:ascii="Arial" w:cs="Arial" w:eastAsia="Arial" w:hAnsi="Arial"/>
          <w:b w:val="1"/>
          <w:sz w:val="22"/>
          <w:szCs w:val="22"/>
          <w:rtl w:val="0"/>
        </w:rPr>
        <w:t xml:space="preserve">millones de dólares </w:t>
      </w:r>
      <w:r w:rsidDel="00000000" w:rsidR="00000000" w:rsidRPr="00000000">
        <w:rPr>
          <w:rFonts w:ascii="Arial" w:cs="Arial" w:eastAsia="Arial" w:hAnsi="Arial"/>
          <w:b w:val="1"/>
          <w:sz w:val="22"/>
          <w:szCs w:val="22"/>
          <w:rtl w:val="0"/>
        </w:rPr>
        <w:t xml:space="preserve">de los Estados Unidos de América</w:t>
      </w: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sz w:val="22"/>
          <w:szCs w:val="22"/>
          <w:rtl w:val="0"/>
        </w:rPr>
        <w:t xml:space="preserve">.</w:t>
      </w: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tabs>
          <w:tab w:val="left" w:leader="none" w:pos="720"/>
        </w:tabs>
        <w:spacing w:after="100" w:before="10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tabs>
          <w:tab w:val="left" w:leader="none" w:pos="720"/>
        </w:tabs>
        <w:spacing w:after="100" w:before="100" w:lineRule="auto"/>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Nota importante:</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sz w:val="22"/>
          <w:szCs w:val="22"/>
          <w:rtl w:val="0"/>
        </w:rPr>
        <w:t xml:space="preserve">De los tres contratos exigidos para sustentar la experiencia del licitante, se requiere que: a) Al menos uno de los contratos que se presente como sustento de la experiencia del licitante debe haber sido ejecutado en Perú, y b) Al menos uno de los contratos que se presenten como sustento de la experiencia debe corresponder a un establecimiento de salud de segundo y/o tercer nivel de atención, que cumplan con las siguientes características:</w:t>
      </w: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tabs>
          <w:tab w:val="left" w:leader="none" w:pos="720"/>
        </w:tabs>
        <w:spacing w:after="100" w:before="100" w:lineRule="auto"/>
        <w:jc w:val="both"/>
        <w:rPr>
          <w:rFonts w:ascii="Arial" w:cs="Arial" w:eastAsia="Arial" w:hAnsi="Arial"/>
          <w:sz w:val="22"/>
          <w:szCs w:val="22"/>
        </w:rPr>
      </w:pPr>
      <w:r w:rsidDel="00000000" w:rsidR="00000000" w:rsidRPr="00000000">
        <w:rPr/>
        <w:drawing>
          <wp:inline distB="0" distT="0" distL="0" distR="0">
            <wp:extent cx="5731510" cy="4436110"/>
            <wp:effectExtent b="0" l="0" r="0" t="0"/>
            <wp:docPr id="1089"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5731510" cy="4436110"/>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widowControl w:val="0"/>
        <w:tabs>
          <w:tab w:val="left" w:leader="none" w:pos="720"/>
        </w:tabs>
        <w:ind w:left="709" w:right="805"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Fuente: NTS Nº021-MINSA/DG-SP-V.O3 DEL RM Nº546-2011 MINSA</w:t>
      </w:r>
    </w:p>
    <w:p w:rsidR="00000000" w:rsidDel="00000000" w:rsidP="00000000" w:rsidRDefault="00000000" w:rsidRPr="00000000" w14:paraId="000000A5">
      <w:pPr>
        <w:widowControl w:val="0"/>
        <w:pBdr>
          <w:top w:space="0" w:sz="0" w:val="nil"/>
          <w:left w:space="0" w:sz="0" w:val="nil"/>
          <w:bottom w:space="0" w:sz="0" w:val="nil"/>
          <w:right w:space="0" w:sz="0" w:val="nil"/>
          <w:between w:space="0" w:sz="0" w:val="nil"/>
        </w:pBdr>
        <w:tabs>
          <w:tab w:val="left" w:leader="none" w:pos="720"/>
        </w:tabs>
        <w:ind w:left="709" w:right="805" w:firstLine="0"/>
        <w:jc w:val="center"/>
        <w:rPr>
          <w:rFonts w:ascii="Arial" w:cs="Arial" w:eastAsia="Arial" w:hAnsi="Arial"/>
          <w:i w:val="1"/>
          <w:sz w:val="18"/>
          <w:szCs w:val="18"/>
        </w:rPr>
      </w:pPr>
      <w:r w:rsidDel="00000000" w:rsidR="00000000" w:rsidRPr="00000000">
        <w:rPr>
          <w:rtl w:val="0"/>
        </w:rPr>
      </w:r>
    </w:p>
    <w:p w:rsidR="00000000" w:rsidDel="00000000" w:rsidP="00000000" w:rsidRDefault="00000000" w:rsidRPr="00000000" w14:paraId="000000A6">
      <w:pPr>
        <w:tabs>
          <w:tab w:val="left" w:leader="none" w:pos="13"/>
        </w:tabs>
        <w:ind w:hanging="2"/>
        <w:jc w:val="both"/>
        <w:rPr>
          <w:rFonts w:ascii="Arial" w:cs="Arial" w:eastAsia="Arial" w:hAnsi="Arial"/>
          <w:sz w:val="22"/>
          <w:szCs w:val="22"/>
        </w:rPr>
      </w:pPr>
      <w:bookmarkStart w:colFirst="0" w:colLast="0" w:name="_heading=h.690ytl9opdd2" w:id="4"/>
      <w:bookmarkEnd w:id="4"/>
      <w:r w:rsidDel="00000000" w:rsidR="00000000" w:rsidRPr="00000000">
        <w:rPr>
          <w:rFonts w:ascii="Arial" w:cs="Arial" w:eastAsia="Arial" w:hAnsi="Arial"/>
          <w:sz w:val="22"/>
          <w:szCs w:val="22"/>
          <w:rtl w:val="0"/>
        </w:rPr>
        <w:t xml:space="preserve">Se considerará como Obras Similares, a obras que correspondan a la Construcción y/o reconstrucción y/o remodelación y/o rehabilitación y/o mejoramiento y/o renovación y/o ampliación y/o fortalecimiento y/o nueva obra y/o nuevo y/o construcción y equipamiento y/o redimensionamiento y/o reforzamiento y/o reformas y/o la combinación de los términos descritos de: obras de i) edificios institucionales (incluido universidades o centros universitarios, penales o centros penitenciarios, museos, estadios, infraestructura de línea de metro y aeroportuaria), ii) Edificios empresariales (incluido centros comerciales, centros empresariales), iii) hoteles, iv) establecimiento de salud de segundo y/o tercer nivel de atención.</w:t>
      </w:r>
    </w:p>
    <w:p w:rsidR="00000000" w:rsidDel="00000000" w:rsidP="00000000" w:rsidRDefault="00000000" w:rsidRPr="00000000" w14:paraId="000000A7">
      <w:pPr>
        <w:tabs>
          <w:tab w:val="left" w:leader="none" w:pos="13"/>
        </w:tabs>
        <w:ind w:hanging="2"/>
        <w:jc w:val="both"/>
        <w:rPr>
          <w:rFonts w:ascii="Arial" w:cs="Arial" w:eastAsia="Arial" w:hAnsi="Arial"/>
          <w:sz w:val="22"/>
          <w:szCs w:val="22"/>
        </w:rPr>
      </w:pPr>
      <w:bookmarkStart w:colFirst="0" w:colLast="0" w:name="_heading=h.fcdj9mryfnrz" w:id="5"/>
      <w:bookmarkEnd w:id="5"/>
      <w:r w:rsidDel="00000000" w:rsidR="00000000" w:rsidRPr="00000000">
        <w:rPr>
          <w:rtl w:val="0"/>
        </w:rPr>
      </w:r>
    </w:p>
    <w:p w:rsidR="00000000" w:rsidDel="00000000" w:rsidP="00000000" w:rsidRDefault="00000000" w:rsidRPr="00000000" w14:paraId="000000A8">
      <w:pPr>
        <w:widowControl w:val="0"/>
        <w:tabs>
          <w:tab w:val="left" w:leader="none" w:pos="3063"/>
          <w:tab w:val="left" w:leader="none" w:pos="1930"/>
        </w:tabs>
        <w:ind w:right="805"/>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Nota:</w:t>
      </w:r>
      <w:r w:rsidDel="00000000" w:rsidR="00000000" w:rsidRPr="00000000">
        <w:rPr>
          <w:rFonts w:ascii="Arial" w:cs="Arial" w:eastAsia="Arial" w:hAnsi="Arial"/>
          <w:sz w:val="22"/>
          <w:szCs w:val="22"/>
          <w:rtl w:val="0"/>
        </w:rPr>
        <w:t xml:space="preserve"> No se aceptarán como sustento de experiencia del licitante, contratos  de obra de las siguientes infraestructuras: </w:t>
      </w:r>
    </w:p>
    <w:p w:rsidR="00000000" w:rsidDel="00000000" w:rsidP="00000000" w:rsidRDefault="00000000" w:rsidRPr="00000000" w14:paraId="000000A9">
      <w:pPr>
        <w:widowControl w:val="0"/>
        <w:tabs>
          <w:tab w:val="left" w:leader="none" w:pos="3063"/>
          <w:tab w:val="left" w:leader="none" w:pos="1930"/>
        </w:tabs>
        <w:ind w:right="805"/>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A">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Colegios/institutos educativos.</w:t>
      </w:r>
      <w:r w:rsidDel="00000000" w:rsidR="00000000" w:rsidRPr="00000000">
        <w:rPr>
          <w:rtl w:val="0"/>
        </w:rPr>
      </w:r>
    </w:p>
    <w:p w:rsidR="00000000" w:rsidDel="00000000" w:rsidP="00000000" w:rsidRDefault="00000000" w:rsidRPr="00000000" w14:paraId="000000AB">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Edificios de departamentos o multifamiliares, destinados a vivienda.</w:t>
      </w:r>
      <w:r w:rsidDel="00000000" w:rsidR="00000000" w:rsidRPr="00000000">
        <w:rPr>
          <w:rtl w:val="0"/>
        </w:rPr>
      </w:r>
    </w:p>
    <w:p w:rsidR="00000000" w:rsidDel="00000000" w:rsidP="00000000" w:rsidRDefault="00000000" w:rsidRPr="00000000" w14:paraId="000000AC">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Establecimientos de salud del primer nivel de atención. </w:t>
      </w:r>
      <w:r w:rsidDel="00000000" w:rsidR="00000000" w:rsidRPr="00000000">
        <w:rPr>
          <w:rtl w:val="0"/>
        </w:rPr>
      </w:r>
    </w:p>
    <w:p w:rsidR="00000000" w:rsidDel="00000000" w:rsidP="00000000" w:rsidRDefault="00000000" w:rsidRPr="00000000" w14:paraId="000000AD">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Comisarías, estaciones de bomberos.</w:t>
      </w:r>
      <w:r w:rsidDel="00000000" w:rsidR="00000000" w:rsidRPr="00000000">
        <w:rPr>
          <w:rtl w:val="0"/>
        </w:rPr>
      </w:r>
    </w:p>
    <w:p w:rsidR="00000000" w:rsidDel="00000000" w:rsidP="00000000" w:rsidRDefault="00000000" w:rsidRPr="00000000" w14:paraId="000000AE">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Palacios municipales.</w:t>
      </w:r>
      <w:r w:rsidDel="00000000" w:rsidR="00000000" w:rsidRPr="00000000">
        <w:rPr>
          <w:rtl w:val="0"/>
        </w:rPr>
      </w:r>
    </w:p>
    <w:p w:rsidR="00000000" w:rsidDel="00000000" w:rsidP="00000000" w:rsidRDefault="00000000" w:rsidRPr="00000000" w14:paraId="000000AF">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Oficinas bancarias, oficinas privadas.</w:t>
      </w:r>
      <w:r w:rsidDel="00000000" w:rsidR="00000000" w:rsidRPr="00000000">
        <w:rPr>
          <w:rtl w:val="0"/>
        </w:rPr>
      </w:r>
    </w:p>
    <w:p w:rsidR="00000000" w:rsidDel="00000000" w:rsidP="00000000" w:rsidRDefault="00000000" w:rsidRPr="00000000" w14:paraId="000000B0">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Pasos de frontera.</w:t>
      </w:r>
      <w:r w:rsidDel="00000000" w:rsidR="00000000" w:rsidRPr="00000000">
        <w:rPr>
          <w:rtl w:val="0"/>
        </w:rPr>
      </w:r>
    </w:p>
    <w:p w:rsidR="00000000" w:rsidDel="00000000" w:rsidP="00000000" w:rsidRDefault="00000000" w:rsidRPr="00000000" w14:paraId="000000B1">
      <w:pPr>
        <w:widowControl w:val="0"/>
        <w:numPr>
          <w:ilvl w:val="0"/>
          <w:numId w:val="4"/>
        </w:numPr>
        <w:tabs>
          <w:tab w:val="left" w:leader="none" w:pos="3063"/>
          <w:tab w:val="left" w:leader="none" w:pos="1930"/>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Galerías comerciales, retail.</w:t>
      </w:r>
      <w:r w:rsidDel="00000000" w:rsidR="00000000" w:rsidRPr="00000000">
        <w:rPr>
          <w:rtl w:val="0"/>
        </w:rPr>
      </w:r>
    </w:p>
    <w:p w:rsidR="00000000" w:rsidDel="00000000" w:rsidP="00000000" w:rsidRDefault="00000000" w:rsidRPr="00000000" w14:paraId="000000B2">
      <w:pPr>
        <w:widowControl w:val="0"/>
        <w:numPr>
          <w:ilvl w:val="0"/>
          <w:numId w:val="4"/>
        </w:numPr>
        <w:tabs>
          <w:tab w:val="left" w:leader="none" w:pos="13"/>
        </w:tabs>
        <w:ind w:left="720" w:right="805" w:hanging="360"/>
        <w:jc w:val="both"/>
        <w:rPr>
          <w:rFonts w:ascii="Arial" w:cs="Arial" w:eastAsia="Arial" w:hAnsi="Arial"/>
          <w:sz w:val="22"/>
          <w:szCs w:val="22"/>
          <w:highlight w:val="white"/>
        </w:rPr>
      </w:pPr>
      <w:r w:rsidDel="00000000" w:rsidR="00000000" w:rsidRPr="00000000">
        <w:rPr>
          <w:rFonts w:ascii="Arial" w:cs="Arial" w:eastAsia="Arial" w:hAnsi="Arial"/>
          <w:sz w:val="22"/>
          <w:szCs w:val="22"/>
          <w:rtl w:val="0"/>
        </w:rPr>
        <w:t xml:space="preserve">Templos religiosos, espacios de culto.</w:t>
      </w:r>
      <w:r w:rsidDel="00000000" w:rsidR="00000000" w:rsidRPr="00000000">
        <w:rPr>
          <w:rtl w:val="0"/>
        </w:rPr>
      </w:r>
    </w:p>
    <w:p w:rsidR="00000000" w:rsidDel="00000000" w:rsidP="00000000" w:rsidRDefault="00000000" w:rsidRPr="00000000" w14:paraId="000000B3">
      <w:pPr>
        <w:tabs>
          <w:tab w:val="left" w:leader="none" w:pos="13"/>
        </w:tabs>
        <w:ind w:hanging="2"/>
        <w:jc w:val="both"/>
        <w:rPr>
          <w:rFonts w:ascii="Arial" w:cs="Arial" w:eastAsia="Arial" w:hAnsi="Arial"/>
          <w:color w:val="38761d"/>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jc w:val="both"/>
        <w:rPr>
          <w:rFonts w:ascii="Arial" w:cs="Arial" w:eastAsia="Arial" w:hAnsi="Arial"/>
          <w:sz w:val="22"/>
          <w:szCs w:val="22"/>
        </w:rPr>
      </w:pPr>
      <w:bookmarkStart w:colFirst="0" w:colLast="0" w:name="_heading=h.3znysh7" w:id="6"/>
      <w:bookmarkEnd w:id="6"/>
      <w:r w:rsidDel="00000000" w:rsidR="00000000" w:rsidRPr="00000000">
        <w:rPr>
          <w:rFonts w:ascii="Arial" w:cs="Arial" w:eastAsia="Arial" w:hAnsi="Arial"/>
          <w:sz w:val="22"/>
          <w:szCs w:val="22"/>
          <w:rtl w:val="0"/>
        </w:rPr>
        <w:t xml:space="preserve">La experiencia deberá estar respaldada, en cada caso, de la Constancia de Recepción Definitiva de la Obra o Certificado de Conformidad de Ejecución de la Obra o Certificado de Recepción de Obra o Acta de Recepción Final de Obra Acta de Recepción de Obra o Certificado de Culminación de Obra o Certificado de Cumplimiento de Obra o documento</w:t>
      </w:r>
      <w:r w:rsidDel="00000000" w:rsidR="00000000" w:rsidRPr="00000000">
        <w:rPr>
          <w:rFonts w:ascii="Arial" w:cs="Arial" w:eastAsia="Arial" w:hAnsi="Arial"/>
          <w:color w:val="38761d"/>
          <w:rtl w:val="0"/>
        </w:rPr>
        <w:t xml:space="preserve"> </w:t>
      </w:r>
      <w:r w:rsidDel="00000000" w:rsidR="00000000" w:rsidRPr="00000000">
        <w:rPr>
          <w:rFonts w:ascii="Arial" w:cs="Arial" w:eastAsia="Arial" w:hAnsi="Arial"/>
          <w:sz w:val="22"/>
          <w:szCs w:val="22"/>
          <w:rtl w:val="0"/>
        </w:rPr>
        <w:t xml:space="preserve">similar más el Contrato o documento similar, ambos emitidos por la entidad contratante de aquella obra </w:t>
      </w:r>
      <w:r w:rsidDel="00000000" w:rsidR="00000000" w:rsidRPr="00000000">
        <w:rPr>
          <w:rFonts w:ascii="Arial" w:cs="Arial" w:eastAsia="Arial" w:hAnsi="Arial"/>
          <w:sz w:val="23"/>
          <w:szCs w:val="23"/>
          <w:rtl w:val="0"/>
        </w:rPr>
        <w:t xml:space="preserve">(o el representante de la entidad contratante)</w:t>
      </w:r>
      <w:r w:rsidDel="00000000" w:rsidR="00000000" w:rsidRPr="00000000">
        <w:rPr>
          <w:rFonts w:ascii="Arial" w:cs="Arial" w:eastAsia="Arial" w:hAnsi="Arial"/>
          <w:sz w:val="22"/>
          <w:szCs w:val="22"/>
          <w:rtl w:val="0"/>
        </w:rPr>
        <w:t xml:space="preserve">, en señal de la veracidad de la información presentada. Entiéndase por recepción definitiva o conformidad de ejecución o recepción, aquellos contratos de obras que han sido culminados en su totalidad, y no presentan observaciones sustanciales, debiendo estar listas para su operación o funcionamiento. Estos documentos deberán confirmar la naturaleza, la magnitud, el costo y el periodo de las obras.</w:t>
      </w:r>
    </w:p>
    <w:p w:rsidR="00000000" w:rsidDel="00000000" w:rsidP="00000000" w:rsidRDefault="00000000" w:rsidRPr="00000000" w14:paraId="000000B5">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Serán aceptadas todas aquellas denominaciones distintas a las solicitadas, siempre y cuando de la documentación aportada se evidencia la similitud de lo solicitado o se anexe un glosario de equivalencias, según el país de origen, de ser el caso. </w:t>
      </w:r>
    </w:p>
    <w:p w:rsidR="00000000" w:rsidDel="00000000" w:rsidP="00000000" w:rsidRDefault="00000000" w:rsidRPr="00000000" w14:paraId="000000B7">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En caso la documentación se encuentre en idioma distinto al español, deberá acompañarse de traducción simple al español.</w:t>
      </w:r>
    </w:p>
    <w:p w:rsidR="00000000" w:rsidDel="00000000" w:rsidP="00000000" w:rsidRDefault="00000000" w:rsidRPr="00000000" w14:paraId="000000B9">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Fonts w:ascii="Arial" w:cs="Arial" w:eastAsia="Arial" w:hAnsi="Arial"/>
          <w:sz w:val="22"/>
          <w:szCs w:val="22"/>
          <w:rtl w:val="0"/>
        </w:rPr>
        <w:t xml:space="preserve">Para la acreditación de las experiencias indicadas se deberá considerar</w:t>
      </w:r>
      <w:r w:rsidDel="00000000" w:rsidR="00000000" w:rsidRPr="00000000">
        <w:rPr>
          <w:rFonts w:ascii="Arial" w:cs="Arial" w:eastAsia="Arial" w:hAnsi="Arial"/>
          <w:color w:val="000000"/>
          <w:sz w:val="22"/>
          <w:szCs w:val="22"/>
          <w:rtl w:val="0"/>
        </w:rPr>
        <w:t xml:space="preserve"> </w:t>
      </w:r>
      <w:r w:rsidDel="00000000" w:rsidR="00000000" w:rsidRPr="00000000">
        <w:rPr>
          <w:rFonts w:ascii="Arial" w:cs="Arial" w:eastAsia="Arial" w:hAnsi="Arial"/>
          <w:sz w:val="22"/>
          <w:szCs w:val="22"/>
          <w:rtl w:val="0"/>
        </w:rPr>
        <w:t xml:space="preserve">lo siguiente</w:t>
      </w:r>
      <w:r w:rsidDel="00000000" w:rsidR="00000000" w:rsidRPr="00000000">
        <w:rPr>
          <w:rFonts w:ascii="Arial" w:cs="Arial" w:eastAsia="Arial" w:hAnsi="Arial"/>
          <w:color w:val="000000"/>
          <w:sz w:val="22"/>
          <w:szCs w:val="22"/>
          <w:rtl w:val="0"/>
        </w:rPr>
        <w:t xml:space="preserve">:</w:t>
      </w:r>
    </w:p>
    <w:p w:rsidR="00000000" w:rsidDel="00000000" w:rsidP="00000000" w:rsidRDefault="00000000" w:rsidRPr="00000000" w14:paraId="000000BB">
      <w:pPr>
        <w:pBdr>
          <w:top w:space="0" w:sz="0" w:val="nil"/>
          <w:left w:space="0" w:sz="0" w:val="nil"/>
          <w:bottom w:space="0" w:sz="0" w:val="nil"/>
          <w:right w:space="0" w:sz="0" w:val="nil"/>
          <w:between w:space="0" w:sz="0" w:val="nil"/>
        </w:pBdr>
        <w:tabs>
          <w:tab w:val="left" w:leader="none" w:pos="459"/>
        </w:tabs>
        <w:ind w:left="459" w:firstLine="0"/>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tabs>
          <w:tab w:val="left" w:leader="none" w:pos="459"/>
        </w:tabs>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Si la entidad contratante de la obra que emite la documentación antes señalada, resulta ser </w:t>
      </w:r>
      <w:r w:rsidDel="00000000" w:rsidR="00000000" w:rsidRPr="00000000">
        <w:rPr>
          <w:rFonts w:ascii="Arial" w:cs="Arial" w:eastAsia="Arial" w:hAnsi="Arial"/>
          <w:sz w:val="22"/>
          <w:szCs w:val="22"/>
          <w:rtl w:val="0"/>
        </w:rPr>
        <w:t xml:space="preserve">el</w:t>
      </w:r>
      <w:r w:rsidDel="00000000" w:rsidR="00000000" w:rsidRPr="00000000">
        <w:rPr>
          <w:rFonts w:ascii="Arial" w:cs="Arial" w:eastAsia="Arial" w:hAnsi="Arial"/>
          <w:color w:val="000000"/>
          <w:sz w:val="22"/>
          <w:szCs w:val="22"/>
          <w:rtl w:val="0"/>
        </w:rPr>
        <w:t xml:space="preserve"> oferente individual o en consorcio de la presente licitación, los documentos señalados deberán ser emitidos por el propietario de la obra. Para tal efecto, el ofer</w:t>
      </w:r>
      <w:r w:rsidDel="00000000" w:rsidR="00000000" w:rsidRPr="00000000">
        <w:rPr>
          <w:rFonts w:ascii="Arial" w:cs="Arial" w:eastAsia="Arial" w:hAnsi="Arial"/>
          <w:sz w:val="22"/>
          <w:szCs w:val="22"/>
          <w:rtl w:val="0"/>
        </w:rPr>
        <w:t xml:space="preserve">ente de</w:t>
      </w:r>
      <w:r w:rsidDel="00000000" w:rsidR="00000000" w:rsidRPr="00000000">
        <w:rPr>
          <w:rFonts w:ascii="Arial" w:cs="Arial" w:eastAsia="Arial" w:hAnsi="Arial"/>
          <w:color w:val="000000"/>
          <w:sz w:val="22"/>
          <w:szCs w:val="22"/>
          <w:rtl w:val="0"/>
        </w:rPr>
        <w:t xml:space="preserve">berá presentar copia del contrato suscrito </w:t>
      </w:r>
      <w:r w:rsidDel="00000000" w:rsidR="00000000" w:rsidRPr="00000000">
        <w:rPr>
          <w:rFonts w:ascii="Arial" w:cs="Arial" w:eastAsia="Arial" w:hAnsi="Arial"/>
          <w:sz w:val="22"/>
          <w:szCs w:val="22"/>
          <w:rtl w:val="0"/>
        </w:rPr>
        <w:t xml:space="preserve">con</w:t>
      </w:r>
      <w:r w:rsidDel="00000000" w:rsidR="00000000" w:rsidRPr="00000000">
        <w:rPr>
          <w:rFonts w:ascii="Arial" w:cs="Arial" w:eastAsia="Arial" w:hAnsi="Arial"/>
          <w:color w:val="000000"/>
          <w:sz w:val="22"/>
          <w:szCs w:val="22"/>
          <w:rtl w:val="0"/>
        </w:rPr>
        <w:t xml:space="preserve"> la entidad contratante de la obra.</w:t>
      </w:r>
    </w:p>
    <w:p w:rsidR="00000000" w:rsidDel="00000000" w:rsidP="00000000" w:rsidRDefault="00000000" w:rsidRPr="00000000" w14:paraId="000000BD">
      <w:pPr>
        <w:pBdr>
          <w:top w:space="0" w:sz="0" w:val="nil"/>
          <w:left w:space="0" w:sz="0" w:val="nil"/>
          <w:bottom w:space="0" w:sz="0" w:val="nil"/>
          <w:right w:space="0" w:sz="0" w:val="nil"/>
          <w:between w:space="0" w:sz="0" w:val="nil"/>
        </w:pBdr>
        <w:tabs>
          <w:tab w:val="left" w:leader="none" w:pos="459"/>
        </w:tabs>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tabs>
          <w:tab w:val="left" w:leader="none" w:pos="459"/>
        </w:tabs>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Contratos sin constancias o con constancias sin la totalidad de la información requerida no serán considerados en la evaluación.</w:t>
      </w:r>
    </w:p>
    <w:p w:rsidR="00000000" w:rsidDel="00000000" w:rsidP="00000000" w:rsidRDefault="00000000" w:rsidRPr="00000000" w14:paraId="000000BF">
      <w:pPr>
        <w:pBdr>
          <w:top w:space="0" w:sz="0" w:val="nil"/>
          <w:left w:space="0" w:sz="0" w:val="nil"/>
          <w:bottom w:space="0" w:sz="0" w:val="nil"/>
          <w:right w:space="0" w:sz="0" w:val="nil"/>
          <w:between w:space="0" w:sz="0" w:val="nil"/>
        </w:pBdr>
        <w:tabs>
          <w:tab w:val="left" w:leader="none" w:pos="459"/>
        </w:tabs>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tabs>
          <w:tab w:val="left" w:leader="none" w:pos="459"/>
        </w:tabs>
        <w:jc w:val="both"/>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En caso de </w:t>
      </w:r>
      <w:r w:rsidDel="00000000" w:rsidR="00000000" w:rsidRPr="00000000">
        <w:rPr>
          <w:rFonts w:ascii="Arial" w:cs="Arial" w:eastAsia="Arial" w:hAnsi="Arial"/>
          <w:sz w:val="22"/>
          <w:szCs w:val="22"/>
          <w:rtl w:val="0"/>
        </w:rPr>
        <w:t xml:space="preserve">c</w:t>
      </w:r>
      <w:r w:rsidDel="00000000" w:rsidR="00000000" w:rsidRPr="00000000">
        <w:rPr>
          <w:rFonts w:ascii="Arial" w:cs="Arial" w:eastAsia="Arial" w:hAnsi="Arial"/>
          <w:color w:val="000000"/>
          <w:sz w:val="22"/>
          <w:szCs w:val="22"/>
          <w:rtl w:val="0"/>
        </w:rPr>
        <w:t xml:space="preserve">onsorcio, la experiencia en ejecución de obras similares de cada integrante del </w:t>
      </w:r>
      <w:r w:rsidDel="00000000" w:rsidR="00000000" w:rsidRPr="00000000">
        <w:rPr>
          <w:rFonts w:ascii="Arial" w:cs="Arial" w:eastAsia="Arial" w:hAnsi="Arial"/>
          <w:sz w:val="22"/>
          <w:szCs w:val="22"/>
          <w:rtl w:val="0"/>
        </w:rPr>
        <w:t xml:space="preserve">c</w:t>
      </w:r>
      <w:r w:rsidDel="00000000" w:rsidR="00000000" w:rsidRPr="00000000">
        <w:rPr>
          <w:rFonts w:ascii="Arial" w:cs="Arial" w:eastAsia="Arial" w:hAnsi="Arial"/>
          <w:color w:val="000000"/>
          <w:sz w:val="22"/>
          <w:szCs w:val="22"/>
          <w:rtl w:val="0"/>
        </w:rPr>
        <w:t xml:space="preserve">onsorcio, será evaluada en forma conjunta, </w:t>
      </w:r>
      <w:r w:rsidDel="00000000" w:rsidR="00000000" w:rsidRPr="00000000">
        <w:rPr>
          <w:rFonts w:ascii="Arial" w:cs="Arial" w:eastAsia="Arial" w:hAnsi="Arial"/>
          <w:sz w:val="22"/>
          <w:szCs w:val="22"/>
          <w:rtl w:val="0"/>
        </w:rPr>
        <w:t xml:space="preserve">correspondiéndole al Consorcio la calificación que surja de la suma de las experiencias de cada uno de sus integrantes.</w:t>
      </w:r>
    </w:p>
    <w:p w:rsidR="00000000" w:rsidDel="00000000" w:rsidP="00000000" w:rsidRDefault="00000000" w:rsidRPr="00000000" w14:paraId="000000C1">
      <w:pPr>
        <w:pBdr>
          <w:top w:space="0" w:sz="0" w:val="nil"/>
          <w:left w:space="0" w:sz="0" w:val="nil"/>
          <w:bottom w:space="0" w:sz="0" w:val="nil"/>
          <w:right w:space="0" w:sz="0" w:val="nil"/>
          <w:between w:space="0" w:sz="0" w:val="nil"/>
        </w:pBdr>
        <w:tabs>
          <w:tab w:val="left" w:leader="none" w:pos="459"/>
        </w:tabs>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tabs>
          <w:tab w:val="left" w:leader="none" w:pos="459"/>
        </w:tabs>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tabs>
          <w:tab w:val="left" w:leader="none" w:pos="459"/>
        </w:tabs>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En los casos de obras ejecutadas en asociación con otras firmas, el oferente s</w:t>
      </w:r>
      <w:r w:rsidDel="00000000" w:rsidR="00000000" w:rsidRPr="00000000">
        <w:rPr>
          <w:rFonts w:ascii="Arial" w:cs="Arial" w:eastAsia="Arial" w:hAnsi="Arial"/>
          <w:sz w:val="22"/>
          <w:szCs w:val="22"/>
          <w:rtl w:val="0"/>
        </w:rPr>
        <w:t xml:space="preserve">ó</w:t>
      </w:r>
      <w:r w:rsidDel="00000000" w:rsidR="00000000" w:rsidRPr="00000000">
        <w:rPr>
          <w:rFonts w:ascii="Arial" w:cs="Arial" w:eastAsia="Arial" w:hAnsi="Arial"/>
          <w:color w:val="000000"/>
          <w:sz w:val="22"/>
          <w:szCs w:val="22"/>
          <w:rtl w:val="0"/>
        </w:rPr>
        <w:t xml:space="preserve">lo deberá computar los montos facturados correspondientes a su participación en dichos contratos, indicando además el nombre de la(s) empresa(s) con la(s) que se asoció, costo total de las obras y porcentaje de participación en la asociación, debidamente sustentado mediante el contrato de la obra o contrato de asociación o documento similar.</w:t>
      </w:r>
    </w:p>
    <w:p w:rsidR="00000000" w:rsidDel="00000000" w:rsidP="00000000" w:rsidRDefault="00000000" w:rsidRPr="00000000" w14:paraId="000000C4">
      <w:pPr>
        <w:pBdr>
          <w:top w:space="0" w:sz="0" w:val="nil"/>
          <w:left w:space="0" w:sz="0" w:val="nil"/>
          <w:bottom w:space="0" w:sz="0" w:val="nil"/>
          <w:right w:space="0" w:sz="0" w:val="nil"/>
          <w:between w:space="0" w:sz="0" w:val="nil"/>
        </w:pBdr>
        <w:tabs>
          <w:tab w:val="left" w:leader="none" w:pos="459"/>
        </w:tabs>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tabs>
          <w:tab w:val="left" w:leader="none" w:pos="459"/>
        </w:tabs>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UNOPS se reserva el derecho de indagar sobre los datos relativos al cumplimiento contractual y podrá rechazar la propuesta en caso de observar un mal desempeño del oferente o de cualquiera de sus integrantes si fuere una asociación en la que haya participado. El oferente deberá colaborar con el proceso de obtención de información de antecedentes.</w:t>
      </w:r>
    </w:p>
    <w:p w:rsidR="00000000" w:rsidDel="00000000" w:rsidP="00000000" w:rsidRDefault="00000000" w:rsidRPr="00000000" w14:paraId="000000C6">
      <w:pPr>
        <w:pBdr>
          <w:top w:space="0" w:sz="0" w:val="nil"/>
          <w:left w:space="0" w:sz="0" w:val="nil"/>
          <w:bottom w:space="0" w:sz="0" w:val="nil"/>
          <w:right w:space="0" w:sz="0" w:val="nil"/>
          <w:between w:space="0" w:sz="0" w:val="nil"/>
        </w:pBdr>
        <w:tabs>
          <w:tab w:val="left" w:leader="none" w:pos="459"/>
        </w:tabs>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tabs>
          <w:tab w:val="left" w:leader="none" w:pos="459"/>
        </w:tabs>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UNOPS se reserva el derecho de solicitar información a cualquiera de los </w:t>
      </w:r>
      <w:r w:rsidDel="00000000" w:rsidR="00000000" w:rsidRPr="00000000">
        <w:rPr>
          <w:rFonts w:ascii="Arial" w:cs="Arial" w:eastAsia="Arial" w:hAnsi="Arial"/>
          <w:sz w:val="22"/>
          <w:szCs w:val="22"/>
          <w:rtl w:val="0"/>
        </w:rPr>
        <w:t xml:space="preserve">c</w:t>
      </w:r>
      <w:r w:rsidDel="00000000" w:rsidR="00000000" w:rsidRPr="00000000">
        <w:rPr>
          <w:rFonts w:ascii="Arial" w:cs="Arial" w:eastAsia="Arial" w:hAnsi="Arial"/>
          <w:color w:val="000000"/>
          <w:sz w:val="22"/>
          <w:szCs w:val="22"/>
          <w:rtl w:val="0"/>
        </w:rPr>
        <w:t xml:space="preserve">lientes mencionados por el oferente, a su sólo criterio.</w:t>
      </w:r>
    </w:p>
    <w:p w:rsidR="00000000" w:rsidDel="00000000" w:rsidP="00000000" w:rsidRDefault="00000000" w:rsidRPr="00000000" w14:paraId="000000C8">
      <w:pPr>
        <w:pBdr>
          <w:top w:space="0" w:sz="0" w:val="nil"/>
          <w:left w:space="0" w:sz="0" w:val="nil"/>
          <w:bottom w:space="0" w:sz="0" w:val="nil"/>
          <w:right w:space="0" w:sz="0" w:val="nil"/>
          <w:between w:space="0" w:sz="0" w:val="nil"/>
        </w:pBdr>
        <w:ind w:left="459" w:firstLine="0"/>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Anexo 7 - Capacidad - Equipamiento estratégico a ser utilizados en la ejecución de la obra</w:t>
      </w:r>
    </w:p>
    <w:p w:rsidR="00000000" w:rsidDel="00000000" w:rsidP="00000000" w:rsidRDefault="00000000" w:rsidRPr="00000000" w14:paraId="000000CA">
      <w:pPr>
        <w:spacing w:after="240" w:befor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El oferente deberá garantizar una adecuada disponibilidad de los equipos requeridos para ejecutar eficientemente la obra, conforme a lo requerido en la Sección III. Para tal efecto, el oferente listará cada uno de los equipos estratégicos que se requieren, incluyendo la información relevante de su provisión, conforme a lo indicado en la Sección II, Anexo 7 a presentar.</w:t>
      </w:r>
    </w:p>
    <w:p w:rsidR="00000000" w:rsidDel="00000000" w:rsidP="00000000" w:rsidRDefault="00000000" w:rsidRPr="00000000" w14:paraId="000000CB">
      <w:pPr>
        <w:jc w:val="both"/>
        <w:rPr>
          <w:rFonts w:ascii="Arial" w:cs="Arial" w:eastAsia="Arial" w:hAnsi="Arial"/>
          <w:b w:val="1"/>
          <w:sz w:val="22"/>
          <w:szCs w:val="22"/>
          <w:u w:val="single"/>
        </w:rPr>
      </w:pPr>
      <w:r w:rsidDel="00000000" w:rsidR="00000000" w:rsidRPr="00000000">
        <w:rPr>
          <w:rFonts w:ascii="Arial" w:cs="Arial" w:eastAsia="Arial" w:hAnsi="Arial"/>
          <w:sz w:val="22"/>
          <w:szCs w:val="22"/>
          <w:rtl w:val="0"/>
        </w:rPr>
        <w:t xml:space="preserve">La acreditación de la posesión o de la forma en que será provisto, será exigida al oferente adjudicado.</w:t>
      </w: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rPr>
          <w:rFonts w:ascii="Arial" w:cs="Arial" w:eastAsia="Arial" w:hAnsi="Arial"/>
          <w:color w:val="000000"/>
          <w:sz w:val="22"/>
          <w:szCs w:val="22"/>
          <w:u w:val="single"/>
        </w:rPr>
      </w:pP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jc w:val="both"/>
        <w:rPr>
          <w:rFonts w:ascii="Arial" w:cs="Arial" w:eastAsia="Arial" w:hAnsi="Arial"/>
          <w:b w:val="1"/>
          <w:sz w:val="22"/>
          <w:szCs w:val="22"/>
          <w:u w:val="single"/>
        </w:rPr>
      </w:pPr>
      <w:r w:rsidDel="00000000" w:rsidR="00000000" w:rsidRPr="00000000">
        <w:rPr>
          <w:rFonts w:ascii="Arial" w:cs="Arial" w:eastAsia="Arial" w:hAnsi="Arial"/>
          <w:b w:val="1"/>
          <w:color w:val="000000"/>
          <w:sz w:val="22"/>
          <w:szCs w:val="22"/>
          <w:u w:val="single"/>
          <w:rtl w:val="0"/>
        </w:rPr>
        <w:t xml:space="preserve">Anexo 8 – </w:t>
      </w:r>
      <w:r w:rsidDel="00000000" w:rsidR="00000000" w:rsidRPr="00000000">
        <w:rPr>
          <w:rFonts w:ascii="Arial" w:cs="Arial" w:eastAsia="Arial" w:hAnsi="Arial"/>
          <w:b w:val="1"/>
          <w:sz w:val="22"/>
          <w:szCs w:val="22"/>
          <w:u w:val="single"/>
          <w:rtl w:val="0"/>
        </w:rPr>
        <w:t xml:space="preserve">Sistemas de gestión de calidad, gestión de seguridad-salud y gestión ambiental</w:t>
      </w:r>
    </w:p>
    <w:p w:rsidR="00000000" w:rsidDel="00000000" w:rsidP="00000000" w:rsidRDefault="00000000" w:rsidRPr="00000000" w14:paraId="000000CE">
      <w:pPr>
        <w:pBdr>
          <w:top w:space="0" w:sz="0" w:val="nil"/>
          <w:left w:space="0" w:sz="0" w:val="nil"/>
          <w:bottom w:space="0" w:sz="0" w:val="nil"/>
          <w:right w:space="0" w:sz="0" w:val="nil"/>
          <w:between w:space="0" w:sz="0" w:val="nil"/>
        </w:pBdr>
        <w:jc w:val="both"/>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El oferente deberá presentar planes que demuestran su capacidad para poder construir constantemente obras con la calidad requerida, de una manera adecuada, segura, y ambientalmente racional, conforme a cada uno de los alcances que se describen en la Sección II, Anexo 8 y en la Sección III. La omisión de la presentación de los mismos será causal de rechazo de la oferta.</w:t>
      </w:r>
    </w:p>
    <w:p w:rsidR="00000000" w:rsidDel="00000000" w:rsidP="00000000" w:rsidRDefault="00000000" w:rsidRPr="00000000" w14:paraId="000000D0">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Si durante la ejecución contractual se detecta una discrepancia entre estos planes de gestión propuestos y los alcances de la obra descritas en la Sección III, prevalecerán estos alcances, debiendo el contratista alinearse a ello.</w:t>
      </w:r>
    </w:p>
    <w:p w:rsidR="00000000" w:rsidDel="00000000" w:rsidP="00000000" w:rsidRDefault="00000000" w:rsidRPr="00000000" w14:paraId="000000D2">
      <w:pPr>
        <w:pBdr>
          <w:top w:space="0" w:sz="0" w:val="nil"/>
          <w:left w:space="0" w:sz="0" w:val="nil"/>
          <w:bottom w:space="0" w:sz="0" w:val="nil"/>
          <w:right w:space="0" w:sz="0" w:val="nil"/>
          <w:between w:space="0" w:sz="0" w:val="nil"/>
        </w:pBdr>
        <w:rPr>
          <w:rFonts w:ascii="Arial" w:cs="Arial" w:eastAsia="Arial" w:hAnsi="Arial"/>
          <w:color w:val="000000"/>
          <w:sz w:val="22"/>
          <w:szCs w:val="22"/>
          <w:u w:val="single"/>
        </w:rPr>
      </w:pPr>
      <w:bookmarkStart w:colFirst="0" w:colLast="0" w:name="_heading=h.gjdgxs" w:id="7"/>
      <w:bookmarkEnd w:id="7"/>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rPr>
          <w:rFonts w:ascii="Arial" w:cs="Arial" w:eastAsia="Arial" w:hAnsi="Arial"/>
          <w:b w:val="1"/>
          <w:color w:val="000000"/>
          <w:sz w:val="22"/>
          <w:szCs w:val="22"/>
          <w:u w:val="single"/>
        </w:rPr>
      </w:pPr>
      <w:r w:rsidDel="00000000" w:rsidR="00000000" w:rsidRPr="00000000">
        <w:rPr>
          <w:rFonts w:ascii="Arial" w:cs="Arial" w:eastAsia="Arial" w:hAnsi="Arial"/>
          <w:b w:val="1"/>
          <w:color w:val="000000"/>
          <w:sz w:val="22"/>
          <w:szCs w:val="22"/>
          <w:u w:val="single"/>
          <w:rtl w:val="0"/>
        </w:rPr>
        <w:t xml:space="preserve">Anexo 9 – Declaraci</w:t>
      </w:r>
      <w:r w:rsidDel="00000000" w:rsidR="00000000" w:rsidRPr="00000000">
        <w:rPr>
          <w:rFonts w:ascii="Arial" w:cs="Arial" w:eastAsia="Arial" w:hAnsi="Arial"/>
          <w:b w:val="1"/>
          <w:sz w:val="22"/>
          <w:szCs w:val="22"/>
          <w:u w:val="single"/>
          <w:rtl w:val="0"/>
        </w:rPr>
        <w:t xml:space="preserve">o</w:t>
      </w:r>
      <w:r w:rsidDel="00000000" w:rsidR="00000000" w:rsidRPr="00000000">
        <w:rPr>
          <w:rFonts w:ascii="Arial" w:cs="Arial" w:eastAsia="Arial" w:hAnsi="Arial"/>
          <w:b w:val="1"/>
          <w:color w:val="000000"/>
          <w:sz w:val="22"/>
          <w:szCs w:val="22"/>
          <w:u w:val="single"/>
          <w:rtl w:val="0"/>
        </w:rPr>
        <w:t xml:space="preserve">nes </w:t>
      </w:r>
      <w:r w:rsidDel="00000000" w:rsidR="00000000" w:rsidRPr="00000000">
        <w:rPr>
          <w:rFonts w:ascii="Arial" w:cs="Arial" w:eastAsia="Arial" w:hAnsi="Arial"/>
          <w:b w:val="1"/>
          <w:sz w:val="22"/>
          <w:szCs w:val="22"/>
          <w:u w:val="single"/>
          <w:rtl w:val="0"/>
        </w:rPr>
        <w:t xml:space="preserve">descriptivas</w:t>
      </w:r>
      <w:r w:rsidDel="00000000" w:rsidR="00000000" w:rsidRPr="00000000">
        <w:rPr>
          <w:rFonts w:ascii="Arial" w:cs="Arial" w:eastAsia="Arial" w:hAnsi="Arial"/>
          <w:b w:val="1"/>
          <w:color w:val="000000"/>
          <w:sz w:val="22"/>
          <w:szCs w:val="22"/>
          <w:u w:val="single"/>
          <w:rtl w:val="0"/>
        </w:rPr>
        <w:t xml:space="preserve"> de los métodos propuestos</w:t>
      </w:r>
    </w:p>
    <w:p w:rsidR="00000000" w:rsidDel="00000000" w:rsidP="00000000" w:rsidRDefault="00000000" w:rsidRPr="00000000" w14:paraId="000000D4">
      <w:pPr>
        <w:pBdr>
          <w:top w:space="0" w:sz="0" w:val="nil"/>
          <w:left w:space="0" w:sz="0" w:val="nil"/>
          <w:bottom w:space="0" w:sz="0" w:val="nil"/>
          <w:right w:space="0" w:sz="0" w:val="nil"/>
          <w:between w:space="0" w:sz="0" w:val="nil"/>
        </w:pBdr>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El oferente deberá presentar una </w:t>
      </w:r>
      <w:r w:rsidDel="00000000" w:rsidR="00000000" w:rsidRPr="00000000">
        <w:rPr>
          <w:rFonts w:ascii="Arial" w:cs="Arial" w:eastAsia="Arial" w:hAnsi="Arial"/>
          <w:color w:val="000000"/>
          <w:sz w:val="22"/>
          <w:szCs w:val="22"/>
          <w:rtl w:val="0"/>
        </w:rPr>
        <w:t xml:space="preserve">declaración de los métodos propuestos </w:t>
      </w:r>
      <w:r w:rsidDel="00000000" w:rsidR="00000000" w:rsidRPr="00000000">
        <w:rPr>
          <w:rFonts w:ascii="Arial" w:cs="Arial" w:eastAsia="Arial" w:hAnsi="Arial"/>
          <w:sz w:val="22"/>
          <w:szCs w:val="22"/>
          <w:rtl w:val="0"/>
        </w:rPr>
        <w:t xml:space="preserve">que </w:t>
      </w:r>
      <w:r w:rsidDel="00000000" w:rsidR="00000000" w:rsidRPr="00000000">
        <w:rPr>
          <w:rFonts w:ascii="Arial" w:cs="Arial" w:eastAsia="Arial" w:hAnsi="Arial"/>
          <w:color w:val="000000"/>
          <w:sz w:val="22"/>
          <w:szCs w:val="22"/>
          <w:rtl w:val="0"/>
        </w:rPr>
        <w:t xml:space="preserve">demuestr</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color w:val="000000"/>
          <w:sz w:val="22"/>
          <w:szCs w:val="22"/>
          <w:rtl w:val="0"/>
        </w:rPr>
        <w:t xml:space="preserve"> su capacidad para planificar y ejecutar la obra de manera profesional y </w:t>
      </w:r>
      <w:r w:rsidDel="00000000" w:rsidR="00000000" w:rsidRPr="00000000">
        <w:rPr>
          <w:rFonts w:ascii="Arial" w:cs="Arial" w:eastAsia="Arial" w:hAnsi="Arial"/>
          <w:sz w:val="22"/>
          <w:szCs w:val="22"/>
          <w:rtl w:val="0"/>
        </w:rPr>
        <w:t xml:space="preserve">debidamente organizada, conforme a los alcances que se describen en la Sección II Anexo 9 a presentar y la Sección III. La omisión de la presentación de los mismos será causal de rechazo de la propuesta.</w:t>
      </w:r>
    </w:p>
    <w:p w:rsidR="00000000" w:rsidDel="00000000" w:rsidP="00000000" w:rsidRDefault="00000000" w:rsidRPr="00000000" w14:paraId="000000D6">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Si durante la ejecución contractual se detecta una discrepancia entre los métodos propuestos y los alcances de la obra descritas en la Sección III, prevalecerán estos alcances, debiendo el contratista alinearse a ello.</w:t>
      </w:r>
    </w:p>
    <w:p w:rsidR="00000000" w:rsidDel="00000000" w:rsidP="00000000" w:rsidRDefault="00000000" w:rsidRPr="00000000" w14:paraId="000000D8">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D9">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Si los métodos propuestos de ejecución presentados no </w:t>
      </w:r>
      <w:r w:rsidDel="00000000" w:rsidR="00000000" w:rsidRPr="00000000">
        <w:rPr>
          <w:rFonts w:ascii="Arial" w:cs="Arial" w:eastAsia="Arial" w:hAnsi="Arial"/>
          <w:sz w:val="22"/>
          <w:szCs w:val="22"/>
          <w:rtl w:val="0"/>
        </w:rPr>
        <w:t xml:space="preserve">respondieron</w:t>
      </w:r>
      <w:r w:rsidDel="00000000" w:rsidR="00000000" w:rsidRPr="00000000">
        <w:rPr>
          <w:rFonts w:ascii="Arial" w:cs="Arial" w:eastAsia="Arial" w:hAnsi="Arial"/>
          <w:color w:val="000000"/>
          <w:sz w:val="22"/>
          <w:szCs w:val="22"/>
          <w:rtl w:val="0"/>
        </w:rPr>
        <w:t xml:space="preserve"> en forma racional a un normal y coherente desarrollo de la obra compatible con </w:t>
      </w:r>
      <w:r w:rsidDel="00000000" w:rsidR="00000000" w:rsidRPr="00000000">
        <w:rPr>
          <w:rFonts w:ascii="Arial" w:cs="Arial" w:eastAsia="Arial" w:hAnsi="Arial"/>
          <w:sz w:val="22"/>
          <w:szCs w:val="22"/>
          <w:rtl w:val="0"/>
        </w:rPr>
        <w:t xml:space="preserve">la Sección III</w:t>
      </w:r>
      <w:r w:rsidDel="00000000" w:rsidR="00000000" w:rsidRPr="00000000">
        <w:rPr>
          <w:rFonts w:ascii="Arial" w:cs="Arial" w:eastAsia="Arial" w:hAnsi="Arial"/>
          <w:color w:val="000000"/>
          <w:sz w:val="22"/>
          <w:szCs w:val="22"/>
          <w:rtl w:val="0"/>
        </w:rPr>
        <w:t xml:space="preserve"> UNOPS podrá, a su exclusivo juicio, desestimar la totalidad de la oferta.</w:t>
      </w:r>
    </w:p>
    <w:p w:rsidR="00000000" w:rsidDel="00000000" w:rsidP="00000000" w:rsidRDefault="00000000" w:rsidRPr="00000000" w14:paraId="000000DA">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DC">
      <w:pPr>
        <w:keepNext w:val="1"/>
        <w:pBdr>
          <w:top w:space="0" w:sz="0" w:val="nil"/>
          <w:left w:space="0" w:sz="0" w:val="nil"/>
          <w:bottom w:color="000000" w:space="1" w:sz="4" w:val="single"/>
          <w:right w:space="0" w:sz="0" w:val="nil"/>
          <w:between w:space="0" w:sz="0" w:val="nil"/>
        </w:pBd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CRITERIOS DE EVALUACIÓN FINANCIERA</w:t>
      </w:r>
    </w:p>
    <w:p w:rsidR="00000000" w:rsidDel="00000000" w:rsidP="00000000" w:rsidRDefault="00000000" w:rsidRPr="00000000" w14:paraId="000000DD">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La evaluación financiera de las ofertas se llevará a cabo únicamente para las ofertas que cumplen las condiciones técnicas y son viables.</w:t>
      </w:r>
    </w:p>
    <w:p w:rsidR="00000000" w:rsidDel="00000000" w:rsidP="00000000" w:rsidRDefault="00000000" w:rsidRPr="00000000" w14:paraId="000000DF">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Las cantidades de </w:t>
      </w:r>
      <w:r w:rsidDel="00000000" w:rsidR="00000000" w:rsidRPr="00000000">
        <w:rPr>
          <w:rFonts w:ascii="Arial" w:cs="Arial" w:eastAsia="Arial" w:hAnsi="Arial"/>
          <w:sz w:val="22"/>
          <w:szCs w:val="22"/>
          <w:rtl w:val="0"/>
        </w:rPr>
        <w:t xml:space="preserve">o</w:t>
      </w:r>
      <w:r w:rsidDel="00000000" w:rsidR="00000000" w:rsidRPr="00000000">
        <w:rPr>
          <w:rFonts w:ascii="Arial" w:cs="Arial" w:eastAsia="Arial" w:hAnsi="Arial"/>
          <w:color w:val="000000"/>
          <w:sz w:val="22"/>
          <w:szCs w:val="22"/>
          <w:rtl w:val="0"/>
        </w:rPr>
        <w:t xml:space="preserve">bra referenciales se detallan en el Anexo </w:t>
      </w:r>
      <w:r w:rsidDel="00000000" w:rsidR="00000000" w:rsidRPr="00000000">
        <w:rPr>
          <w:rFonts w:ascii="Arial" w:cs="Arial" w:eastAsia="Arial" w:hAnsi="Arial"/>
          <w:sz w:val="22"/>
          <w:szCs w:val="22"/>
          <w:rtl w:val="0"/>
        </w:rPr>
        <w:t xml:space="preserve">3: Precio del Contrato</w:t>
      </w:r>
      <w:r w:rsidDel="00000000" w:rsidR="00000000" w:rsidRPr="00000000">
        <w:rPr>
          <w:rFonts w:ascii="Arial" w:cs="Arial" w:eastAsia="Arial" w:hAnsi="Arial"/>
          <w:color w:val="000000"/>
          <w:sz w:val="22"/>
          <w:szCs w:val="22"/>
          <w:rtl w:val="0"/>
        </w:rPr>
        <w:t xml:space="preserve"> de la Sección II –  Anexos:</w:t>
      </w:r>
    </w:p>
    <w:p w:rsidR="00000000" w:rsidDel="00000000" w:rsidP="00000000" w:rsidRDefault="00000000" w:rsidRPr="00000000" w14:paraId="000000E1">
      <w:pPr>
        <w:pBdr>
          <w:top w:space="0" w:sz="0" w:val="nil"/>
          <w:left w:space="0" w:sz="0" w:val="nil"/>
          <w:bottom w:space="0" w:sz="0" w:val="nil"/>
          <w:right w:space="0" w:sz="0" w:val="nil"/>
          <w:between w:space="0" w:sz="0" w:val="nil"/>
        </w:pBdr>
        <w:rPr>
          <w:rFonts w:ascii="Arial" w:cs="Arial" w:eastAsia="Arial" w:hAnsi="Arial"/>
          <w:color w:val="000000"/>
          <w:sz w:val="22"/>
          <w:szCs w:val="22"/>
          <w:u w:val="single"/>
        </w:rPr>
      </w:pPr>
      <w:r w:rsidDel="00000000" w:rsidR="00000000" w:rsidRPr="00000000">
        <w:rPr>
          <w:rtl w:val="0"/>
        </w:rPr>
      </w:r>
    </w:p>
    <w:p w:rsidR="00000000" w:rsidDel="00000000" w:rsidP="00000000" w:rsidRDefault="00000000" w:rsidRPr="00000000" w14:paraId="000000E2">
      <w:pPr>
        <w:numPr>
          <w:ilvl w:val="0"/>
          <w:numId w:val="3"/>
        </w:numPr>
        <w:pBdr>
          <w:top w:space="0" w:sz="0" w:val="nil"/>
          <w:left w:space="0" w:sz="0" w:val="nil"/>
          <w:bottom w:space="0" w:sz="0" w:val="nil"/>
          <w:right w:space="0" w:sz="0" w:val="nil"/>
          <w:between w:space="0" w:sz="0" w:val="nil"/>
        </w:pBdr>
        <w:tabs>
          <w:tab w:val="left" w:leader="none" w:pos="720"/>
        </w:tabs>
        <w:ind w:left="720" w:hanging="72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UNOPS verificará si las ofertas contienen errores aritméticos, los errores serán corregidos por UNOPS de la siguiente manera:</w:t>
      </w:r>
    </w:p>
    <w:p w:rsidR="00000000" w:rsidDel="00000000" w:rsidP="00000000" w:rsidRDefault="00000000" w:rsidRPr="00000000" w14:paraId="000000E3">
      <w:pPr>
        <w:pBdr>
          <w:top w:space="0" w:sz="0" w:val="nil"/>
          <w:left w:space="0" w:sz="0" w:val="nil"/>
          <w:bottom w:space="0" w:sz="0" w:val="nil"/>
          <w:right w:space="0" w:sz="0" w:val="nil"/>
          <w:between w:space="0" w:sz="0" w:val="nil"/>
        </w:pBdr>
        <w:tabs>
          <w:tab w:val="left" w:leader="none" w:pos="720"/>
        </w:tabs>
        <w:ind w:left="1080" w:firstLine="0"/>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E4">
      <w:pPr>
        <w:numPr>
          <w:ilvl w:val="1"/>
          <w:numId w:val="3"/>
        </w:numPr>
        <w:pBdr>
          <w:top w:space="0" w:sz="0" w:val="nil"/>
          <w:left w:space="0" w:sz="0" w:val="nil"/>
          <w:bottom w:space="0" w:sz="0" w:val="nil"/>
          <w:right w:space="0" w:sz="0" w:val="nil"/>
          <w:between w:space="0" w:sz="0" w:val="nil"/>
        </w:pBdr>
        <w:tabs>
          <w:tab w:val="left" w:leader="none" w:pos="720"/>
        </w:tabs>
        <w:ind w:left="1440" w:hanging="36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Cuando haya una discrepancia entre los montos indicados en cifras y en palabras, prevalecerán los indicados en palabras, y</w:t>
      </w:r>
    </w:p>
    <w:p w:rsidR="00000000" w:rsidDel="00000000" w:rsidP="00000000" w:rsidRDefault="00000000" w:rsidRPr="00000000" w14:paraId="000000E5">
      <w:pPr>
        <w:numPr>
          <w:ilvl w:val="1"/>
          <w:numId w:val="3"/>
        </w:numPr>
        <w:pBdr>
          <w:top w:space="0" w:sz="0" w:val="nil"/>
          <w:left w:space="0" w:sz="0" w:val="nil"/>
          <w:bottom w:space="0" w:sz="0" w:val="nil"/>
          <w:right w:space="0" w:sz="0" w:val="nil"/>
          <w:between w:space="0" w:sz="0" w:val="nil"/>
        </w:pBdr>
        <w:tabs>
          <w:tab w:val="left" w:leader="none" w:pos="720"/>
        </w:tabs>
        <w:ind w:left="1440" w:hanging="36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Cuando haya una discrepancia entre el precio unitario y el total de un rubro que se haya obtenido multiplicando el precio unitario por la cantidad de unidades, prevalecerá el precio unitario cotizado, a menos que a juicio de UNOPS hubiere un error evidente en la colocación del decimal en el precio unitario, en cuyo caso prevalecerá el precio total cotizado para ese rubro y se corregirá el precio unitario.</w:t>
      </w:r>
    </w:p>
    <w:p w:rsidR="00000000" w:rsidDel="00000000" w:rsidP="00000000" w:rsidRDefault="00000000" w:rsidRPr="00000000" w14:paraId="000000E6">
      <w:pPr>
        <w:pBdr>
          <w:top w:space="0" w:sz="0" w:val="nil"/>
          <w:left w:space="0" w:sz="0" w:val="nil"/>
          <w:bottom w:space="0" w:sz="0" w:val="nil"/>
          <w:right w:space="0" w:sz="0" w:val="nil"/>
          <w:between w:space="0" w:sz="0" w:val="nil"/>
        </w:pBdr>
        <w:tabs>
          <w:tab w:val="left" w:leader="none" w:pos="720"/>
        </w:tabs>
        <w:ind w:left="1080" w:firstLine="0"/>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E7">
      <w:pPr>
        <w:numPr>
          <w:ilvl w:val="0"/>
          <w:numId w:val="3"/>
        </w:numPr>
        <w:pBdr>
          <w:top w:space="0" w:sz="0" w:val="nil"/>
          <w:left w:space="0" w:sz="0" w:val="nil"/>
          <w:bottom w:space="0" w:sz="0" w:val="nil"/>
          <w:right w:space="0" w:sz="0" w:val="nil"/>
          <w:between w:space="0" w:sz="0" w:val="nil"/>
        </w:pBdr>
        <w:tabs>
          <w:tab w:val="left" w:leader="none" w:pos="720"/>
        </w:tabs>
        <w:ind w:left="720" w:hanging="72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UNOPS ajustará el monto indicado en la oferta de acuerdo con el procedimiento antes señalado para la corrección de errores y, con la anuencia del oferente, el nuevo monto se considerará obligatorio para el oferente. Si el oferente no estuviera de acuerdo con el monto corregido, la oferta será rechazada y la garantía de </w:t>
      </w:r>
      <w:r w:rsidDel="00000000" w:rsidR="00000000" w:rsidRPr="00000000">
        <w:rPr>
          <w:rFonts w:ascii="Arial" w:cs="Arial" w:eastAsia="Arial" w:hAnsi="Arial"/>
          <w:sz w:val="22"/>
          <w:szCs w:val="22"/>
          <w:rtl w:val="0"/>
        </w:rPr>
        <w:t xml:space="preserve">sostenimiento</w:t>
      </w:r>
      <w:r w:rsidDel="00000000" w:rsidR="00000000" w:rsidRPr="00000000">
        <w:rPr>
          <w:rFonts w:ascii="Arial" w:cs="Arial" w:eastAsia="Arial" w:hAnsi="Arial"/>
          <w:color w:val="000000"/>
          <w:sz w:val="22"/>
          <w:szCs w:val="22"/>
          <w:rtl w:val="0"/>
        </w:rPr>
        <w:t xml:space="preserve"> de su oferta podrá hacerse efectiva.</w:t>
      </w:r>
    </w:p>
    <w:p w:rsidR="00000000" w:rsidDel="00000000" w:rsidP="00000000" w:rsidRDefault="00000000" w:rsidRPr="00000000" w14:paraId="000000E8">
      <w:pPr>
        <w:pBdr>
          <w:top w:space="0" w:sz="0" w:val="nil"/>
          <w:left w:space="0" w:sz="0" w:val="nil"/>
          <w:bottom w:space="0" w:sz="0" w:val="nil"/>
          <w:right w:space="0" w:sz="0" w:val="nil"/>
          <w:between w:space="0" w:sz="0" w:val="nil"/>
        </w:pBdr>
        <w:tabs>
          <w:tab w:val="left" w:leader="none" w:pos="720"/>
        </w:tabs>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E9">
      <w:pPr>
        <w:numPr>
          <w:ilvl w:val="0"/>
          <w:numId w:val="3"/>
        </w:numPr>
        <w:pBdr>
          <w:top w:space="0" w:sz="0" w:val="nil"/>
          <w:left w:space="0" w:sz="0" w:val="nil"/>
          <w:bottom w:space="0" w:sz="0" w:val="nil"/>
          <w:right w:space="0" w:sz="0" w:val="nil"/>
          <w:between w:space="0" w:sz="0" w:val="nil"/>
        </w:pBdr>
        <w:tabs>
          <w:tab w:val="left" w:leader="none" w:pos="720"/>
        </w:tabs>
        <w:ind w:left="720" w:hanging="72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Las ofertas económicas serán sujetas a un análisis de precios </w:t>
      </w:r>
      <w:r w:rsidDel="00000000" w:rsidR="00000000" w:rsidRPr="00000000">
        <w:rPr>
          <w:rFonts w:ascii="Arial" w:cs="Arial" w:eastAsia="Arial" w:hAnsi="Arial"/>
          <w:sz w:val="22"/>
          <w:szCs w:val="22"/>
          <w:rtl w:val="0"/>
        </w:rPr>
        <w:t xml:space="preserve">unitarios</w:t>
      </w:r>
      <w:r w:rsidDel="00000000" w:rsidR="00000000" w:rsidRPr="00000000">
        <w:rPr>
          <w:rFonts w:ascii="Arial" w:cs="Arial" w:eastAsia="Arial" w:hAnsi="Arial"/>
          <w:color w:val="000000"/>
          <w:sz w:val="22"/>
          <w:szCs w:val="22"/>
          <w:rtl w:val="0"/>
        </w:rPr>
        <w:t xml:space="preserve"> detallados si la oferta evaluada fuera significativamente desequilibrada en su estructura de precios, en relación con la estimación de UNOPS del costo de la Obra y los insumos de las obras con respecto de márgenes de beneficio empresarial y demás componentes del costo. Para tal efecto, UNOPS, durante la evaluación de ofertas, podrá desestimar la oferta o </w:t>
      </w:r>
      <w:r w:rsidDel="00000000" w:rsidR="00000000" w:rsidRPr="00000000">
        <w:rPr>
          <w:rFonts w:ascii="Arial" w:cs="Arial" w:eastAsia="Arial" w:hAnsi="Arial"/>
          <w:sz w:val="22"/>
          <w:szCs w:val="22"/>
          <w:rtl w:val="0"/>
        </w:rPr>
        <w:t xml:space="preserve">requerir aclaraciones</w:t>
      </w:r>
      <w:r w:rsidDel="00000000" w:rsidR="00000000" w:rsidRPr="00000000">
        <w:rPr>
          <w:rFonts w:ascii="Arial" w:cs="Arial" w:eastAsia="Arial" w:hAnsi="Arial"/>
          <w:color w:val="000000"/>
          <w:sz w:val="22"/>
          <w:szCs w:val="22"/>
          <w:rtl w:val="0"/>
        </w:rPr>
        <w:t xml:space="preserve"> y sustentos detallados respecto a los precios </w:t>
      </w:r>
      <w:r w:rsidDel="00000000" w:rsidR="00000000" w:rsidRPr="00000000">
        <w:rPr>
          <w:rFonts w:ascii="Arial" w:cs="Arial" w:eastAsia="Arial" w:hAnsi="Arial"/>
          <w:sz w:val="22"/>
          <w:szCs w:val="22"/>
          <w:rtl w:val="0"/>
        </w:rPr>
        <w:t xml:space="preserve">ofertad</w:t>
      </w:r>
      <w:r w:rsidDel="00000000" w:rsidR="00000000" w:rsidRPr="00000000">
        <w:rPr>
          <w:rFonts w:ascii="Arial" w:cs="Arial" w:eastAsia="Arial" w:hAnsi="Arial"/>
          <w:color w:val="000000"/>
          <w:sz w:val="22"/>
          <w:szCs w:val="22"/>
          <w:rtl w:val="0"/>
        </w:rPr>
        <w:t xml:space="preserve">os.</w:t>
      </w:r>
    </w:p>
    <w:p w:rsidR="00000000" w:rsidDel="00000000" w:rsidP="00000000" w:rsidRDefault="00000000" w:rsidRPr="00000000" w14:paraId="000000EA">
      <w:pPr>
        <w:pBdr>
          <w:top w:space="0" w:sz="0" w:val="nil"/>
          <w:left w:space="0" w:sz="0" w:val="nil"/>
          <w:bottom w:space="0" w:sz="0" w:val="nil"/>
          <w:right w:space="0" w:sz="0" w:val="nil"/>
          <w:between w:space="0" w:sz="0" w:val="nil"/>
        </w:pBdr>
        <w:jc w:val="both"/>
        <w:rPr>
          <w:rFonts w:ascii="Arial" w:cs="Arial" w:eastAsia="Arial" w:hAnsi="Arial"/>
          <w:color w:val="000000"/>
          <w:sz w:val="22"/>
          <w:szCs w:val="22"/>
          <w:u w:val="single"/>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tabs>
          <w:tab w:val="left" w:leader="none" w:pos="90"/>
        </w:tabs>
        <w:jc w:val="both"/>
        <w:rPr>
          <w:rFonts w:ascii="Arial" w:cs="Arial" w:eastAsia="Arial" w:hAnsi="Arial"/>
          <w:color w:val="000000"/>
          <w:sz w:val="22"/>
          <w:szCs w:val="22"/>
        </w:rPr>
      </w:pPr>
      <w:r w:rsidDel="00000000" w:rsidR="00000000" w:rsidRPr="00000000">
        <w:rPr>
          <w:rFonts w:ascii="Arial" w:cs="Arial" w:eastAsia="Arial" w:hAnsi="Arial"/>
          <w:b w:val="1"/>
          <w:color w:val="000000"/>
          <w:sz w:val="22"/>
          <w:szCs w:val="22"/>
          <w:u w:val="single"/>
          <w:rtl w:val="0"/>
        </w:rPr>
        <w:t xml:space="preserve">Anexo 3 – Precio del </w:t>
      </w:r>
      <w:r w:rsidDel="00000000" w:rsidR="00000000" w:rsidRPr="00000000">
        <w:rPr>
          <w:rFonts w:ascii="Arial" w:cs="Arial" w:eastAsia="Arial" w:hAnsi="Arial"/>
          <w:b w:val="1"/>
          <w:sz w:val="22"/>
          <w:szCs w:val="22"/>
          <w:u w:val="single"/>
          <w:rtl w:val="0"/>
        </w:rPr>
        <w:t xml:space="preserve">C</w:t>
      </w:r>
      <w:r w:rsidDel="00000000" w:rsidR="00000000" w:rsidRPr="00000000">
        <w:rPr>
          <w:rFonts w:ascii="Arial" w:cs="Arial" w:eastAsia="Arial" w:hAnsi="Arial"/>
          <w:b w:val="1"/>
          <w:color w:val="000000"/>
          <w:sz w:val="22"/>
          <w:szCs w:val="22"/>
          <w:u w:val="single"/>
          <w:rtl w:val="0"/>
        </w:rPr>
        <w:t xml:space="preserve">ontrato</w:t>
      </w:r>
      <w:r w:rsidDel="00000000" w:rsidR="00000000" w:rsidRPr="00000000">
        <w:rPr>
          <w:rFonts w:ascii="Arial" w:cs="Arial" w:eastAsia="Arial" w:hAnsi="Arial"/>
          <w:b w:val="1"/>
          <w:color w:val="000000"/>
          <w:sz w:val="22"/>
          <w:szCs w:val="22"/>
          <w:rtl w:val="0"/>
        </w:rPr>
        <w:t xml:space="preserve">:</w:t>
        <w:tab/>
        <w:tab/>
      </w:r>
      <w:r w:rsidDel="00000000" w:rsidR="00000000" w:rsidRPr="00000000">
        <w:rPr>
          <w:rtl w:val="0"/>
        </w:rPr>
      </w:r>
    </w:p>
    <w:p w:rsidR="00000000" w:rsidDel="00000000" w:rsidP="00000000" w:rsidRDefault="00000000" w:rsidRPr="00000000" w14:paraId="000000EC">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Completar y presentar los precios de obra de </w:t>
      </w:r>
      <w:r w:rsidDel="00000000" w:rsidR="00000000" w:rsidRPr="00000000">
        <w:rPr>
          <w:rFonts w:ascii="Arial" w:cs="Arial" w:eastAsia="Arial" w:hAnsi="Arial"/>
          <w:sz w:val="22"/>
          <w:szCs w:val="22"/>
          <w:rtl w:val="0"/>
        </w:rPr>
        <w:t xml:space="preserve">cada uno de los rubros</w:t>
      </w:r>
      <w:r w:rsidDel="00000000" w:rsidR="00000000" w:rsidRPr="00000000">
        <w:rPr>
          <w:rFonts w:ascii="Arial" w:cs="Arial" w:eastAsia="Arial" w:hAnsi="Arial"/>
          <w:color w:val="000000"/>
          <w:sz w:val="22"/>
          <w:szCs w:val="22"/>
          <w:rtl w:val="0"/>
        </w:rPr>
        <w:t xml:space="preserve"> del presupuesto de obra ofertado, conforme a los Anexos 3.1, 3.2, 3.</w:t>
      </w:r>
      <w:r w:rsidDel="00000000" w:rsidR="00000000" w:rsidRPr="00000000">
        <w:rPr>
          <w:rFonts w:ascii="Arial" w:cs="Arial" w:eastAsia="Arial" w:hAnsi="Arial"/>
          <w:sz w:val="22"/>
          <w:szCs w:val="22"/>
          <w:rtl w:val="0"/>
        </w:rPr>
        <w:t xml:space="preserve">3</w:t>
      </w:r>
      <w:r w:rsidDel="00000000" w:rsidR="00000000" w:rsidRPr="00000000">
        <w:rPr>
          <w:rFonts w:ascii="Arial" w:cs="Arial" w:eastAsia="Arial" w:hAnsi="Arial"/>
          <w:color w:val="000000"/>
          <w:sz w:val="22"/>
          <w:szCs w:val="22"/>
          <w:rtl w:val="0"/>
        </w:rPr>
        <w:t xml:space="preserve"> y 3.</w:t>
      </w:r>
      <w:r w:rsidDel="00000000" w:rsidR="00000000" w:rsidRPr="00000000">
        <w:rPr>
          <w:rFonts w:ascii="Arial" w:cs="Arial" w:eastAsia="Arial" w:hAnsi="Arial"/>
          <w:sz w:val="22"/>
          <w:szCs w:val="22"/>
          <w:rtl w:val="0"/>
        </w:rPr>
        <w:t xml:space="preserve">4</w:t>
      </w:r>
      <w:r w:rsidDel="00000000" w:rsidR="00000000" w:rsidRPr="00000000">
        <w:rPr>
          <w:rFonts w:ascii="Arial" w:cs="Arial" w:eastAsia="Arial" w:hAnsi="Arial"/>
          <w:color w:val="000000"/>
          <w:sz w:val="22"/>
          <w:szCs w:val="22"/>
          <w:rtl w:val="0"/>
        </w:rPr>
        <w:t xml:space="preserve"> de la Sección II.</w:t>
      </w: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EF">
      <w:pPr>
        <w:jc w:val="both"/>
        <w:rPr>
          <w:rFonts w:ascii="Arial" w:cs="Arial" w:eastAsia="Arial" w:hAnsi="Arial"/>
          <w:b w:val="1"/>
          <w:sz w:val="22"/>
          <w:szCs w:val="22"/>
          <w:highlight w:val="white"/>
        </w:rPr>
      </w:pPr>
      <w:r w:rsidDel="00000000" w:rsidR="00000000" w:rsidRPr="00000000">
        <w:rPr>
          <w:rFonts w:ascii="Arial" w:cs="Arial" w:eastAsia="Arial" w:hAnsi="Arial"/>
          <w:b w:val="1"/>
          <w:sz w:val="22"/>
          <w:szCs w:val="22"/>
          <w:highlight w:val="white"/>
          <w:rtl w:val="0"/>
        </w:rPr>
        <w:t xml:space="preserve">Nota importante: Los precios de la oferta económica a presentar deberán ser con costos vigentes al 30 de marzo de 2023.</w:t>
      </w:r>
      <w:r w:rsidDel="00000000" w:rsidR="00000000" w:rsidRPr="00000000">
        <w:rPr>
          <w:rtl w:val="0"/>
        </w:rPr>
      </w:r>
    </w:p>
    <w:p w:rsidR="00000000" w:rsidDel="00000000" w:rsidP="00000000" w:rsidRDefault="00000000" w:rsidRPr="00000000" w14:paraId="000000F0">
      <w:pPr>
        <w:jc w:val="both"/>
        <w:rPr>
          <w:rFonts w:ascii="Arial" w:cs="Arial" w:eastAsia="Arial" w:hAnsi="Arial"/>
          <w:b w:val="1"/>
          <w:sz w:val="22"/>
          <w:szCs w:val="22"/>
          <w:highlight w:val="white"/>
        </w:rPr>
      </w:pPr>
      <w:r w:rsidDel="00000000" w:rsidR="00000000" w:rsidRPr="00000000">
        <w:rPr>
          <w:rtl w:val="0"/>
        </w:rPr>
      </w:r>
    </w:p>
    <w:p w:rsidR="00000000" w:rsidDel="00000000" w:rsidP="00000000" w:rsidRDefault="00000000" w:rsidRPr="00000000" w14:paraId="000000F1">
      <w:pPr>
        <w:jc w:val="both"/>
        <w:rPr>
          <w:rFonts w:ascii="Arial" w:cs="Arial" w:eastAsia="Arial" w:hAnsi="Arial"/>
          <w:b w:val="1"/>
          <w:sz w:val="22"/>
          <w:szCs w:val="22"/>
          <w:highlight w:val="white"/>
        </w:rPr>
      </w:pPr>
      <w:r w:rsidDel="00000000" w:rsidR="00000000" w:rsidRPr="00000000">
        <w:rPr>
          <w:rFonts w:ascii="Arial" w:cs="Arial" w:eastAsia="Arial" w:hAnsi="Arial"/>
          <w:b w:val="1"/>
          <w:sz w:val="22"/>
          <w:szCs w:val="22"/>
          <w:highlight w:val="white"/>
          <w:rtl w:val="0"/>
        </w:rPr>
        <w:t xml:space="preserve">Indicar los costos hasta dos (2) decimales.</w:t>
      </w:r>
    </w:p>
    <w:p w:rsidR="00000000" w:rsidDel="00000000" w:rsidP="00000000" w:rsidRDefault="00000000" w:rsidRPr="00000000" w14:paraId="000000F2">
      <w:pPr>
        <w:keepNext w:val="1"/>
        <w:pBdr>
          <w:top w:space="0" w:sz="0" w:val="nil"/>
          <w:left w:space="0" w:sz="0" w:val="nil"/>
          <w:bottom w:color="000000" w:space="1" w:sz="6" w:val="single"/>
          <w:right w:space="0" w:sz="0" w:val="nil"/>
          <w:between w:space="0" w:sz="0" w:val="nil"/>
        </w:pBdr>
        <w:jc w:val="both"/>
        <w:rPr>
          <w:rFonts w:ascii="Arial" w:cs="Arial" w:eastAsia="Arial" w:hAnsi="Arial"/>
          <w:b w:val="1"/>
          <w:color w:val="38761d"/>
          <w:sz w:val="22"/>
          <w:szCs w:val="22"/>
        </w:rPr>
      </w:pPr>
      <w:r w:rsidDel="00000000" w:rsidR="00000000" w:rsidRPr="00000000">
        <w:rPr>
          <w:rtl w:val="0"/>
        </w:rPr>
      </w:r>
    </w:p>
    <w:sectPr>
      <w:headerReference r:id="rId13" w:type="default"/>
      <w:footerReference r:id="rId14" w:type="default"/>
      <w:footerReference r:id="rId15" w:type="first"/>
      <w:footerReference r:id="rId16" w:type="even"/>
      <w:pgSz w:h="16838" w:w="11906" w:orient="portrait"/>
      <w:pgMar w:bottom="1440" w:top="1440" w:left="1440" w:right="1440" w:header="432" w:footer="38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Times New Roman"/>
  <w:font w:name="Georgia"/>
  <w:font w:name="Arial"/>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4">
    <w:pPr>
      <w:pBdr>
        <w:top w:space="0" w:sz="0" w:val="nil"/>
        <w:left w:space="0" w:sz="0" w:val="nil"/>
        <w:bottom w:space="0" w:sz="0" w:val="nil"/>
        <w:right w:space="0" w:sz="0" w:val="nil"/>
        <w:between w:space="0" w:sz="0" w:val="nil"/>
      </w:pBdr>
      <w:spacing w:after="100" w:before="100" w:lineRule="auto"/>
      <w:ind w:hanging="2"/>
      <w:rPr>
        <w:rFonts w:ascii="Arial" w:cs="Arial" w:eastAsia="Arial" w:hAnsi="Arial"/>
        <w:color w:val="000000"/>
        <w:sz w:val="22"/>
        <w:szCs w:val="22"/>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5">
    <w:pPr>
      <w:pBdr>
        <w:top w:space="0" w:sz="0" w:val="nil"/>
        <w:left w:space="0" w:sz="0" w:val="nil"/>
        <w:bottom w:space="0" w:sz="0" w:val="nil"/>
        <w:right w:space="0" w:sz="0" w:val="nil"/>
        <w:between w:space="0" w:sz="0" w:val="nil"/>
      </w:pBdr>
      <w:spacing w:after="100" w:before="100" w:lineRule="auto"/>
      <w:ind w:hanging="2"/>
      <w:rPr>
        <w:rFonts w:ascii="Arial" w:cs="Arial" w:eastAsia="Arial" w:hAnsi="Arial"/>
        <w:color w:val="000000"/>
        <w:sz w:val="22"/>
        <w:szCs w:val="22"/>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6">
    <w:pPr>
      <w:pBdr>
        <w:top w:space="0" w:sz="0" w:val="nil"/>
        <w:left w:space="0" w:sz="0" w:val="nil"/>
        <w:bottom w:space="0" w:sz="0" w:val="nil"/>
        <w:right w:space="0" w:sz="0" w:val="nil"/>
        <w:between w:space="0" w:sz="0" w:val="nil"/>
      </w:pBdr>
      <w:spacing w:after="100" w:before="100" w:lineRule="auto"/>
      <w:ind w:hanging="2"/>
      <w:rPr>
        <w:rFonts w:ascii="Arial" w:cs="Arial" w:eastAsia="Arial" w:hAnsi="Arial"/>
        <w:color w:val="000000"/>
        <w:sz w:val="22"/>
        <w:szCs w:val="22"/>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3">
    <w:pPr>
      <w:pBdr>
        <w:top w:space="0" w:sz="0" w:val="nil"/>
        <w:left w:space="0" w:sz="0" w:val="nil"/>
        <w:bottom w:space="0" w:sz="0" w:val="nil"/>
        <w:right w:space="0" w:sz="0" w:val="nil"/>
        <w:between w:space="0" w:sz="0" w:val="nil"/>
      </w:pBdr>
      <w:spacing w:after="100" w:before="10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Pr>
      <w:drawing>
        <wp:inline distB="0" distT="0" distL="114300" distR="114300">
          <wp:extent cx="2084070" cy="405765"/>
          <wp:effectExtent b="0" l="0" r="0" t="0"/>
          <wp:docPr id="109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084070" cy="405765"/>
                  </a:xfrm>
                  <a:prstGeom prst="rect"/>
                  <a:ln/>
                </pic:spPr>
              </pic:pic>
            </a:graphicData>
          </a:graphic>
        </wp:inline>
      </w:drawing>
    </w:r>
    <w:r w:rsidDel="00000000" w:rsidR="00000000" w:rsidRPr="00000000">
      <w:rPr>
        <w:rFonts w:ascii="Arial" w:cs="Arial" w:eastAsia="Arial" w:hAnsi="Arial"/>
        <w:color w:val="000000"/>
        <w:sz w:val="22"/>
        <w:szCs w:val="22"/>
      </w:rPr>
      <w:drawing>
        <wp:inline distB="0" distT="0" distL="114300" distR="114300">
          <wp:extent cx="2084070" cy="405765"/>
          <wp:effectExtent b="0" l="0" r="0" t="0"/>
          <wp:docPr id="109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084070" cy="40576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-101599</wp:posOffset>
              </wp:positionH>
              <wp:positionV relativeFrom="paragraph">
                <wp:posOffset>0</wp:posOffset>
              </wp:positionV>
              <wp:extent cx="4142740" cy="441325"/>
              <wp:effectExtent b="0" l="0" r="0" t="0"/>
              <wp:wrapNone/>
              <wp:docPr id="1087" name=""/>
              <a:graphic>
                <a:graphicData uri="http://schemas.microsoft.com/office/word/2010/wordprocessingShape">
                  <wps:wsp>
                    <wps:cNvSpPr/>
                    <wps:cNvPr id="3" name="Shape 3"/>
                    <wps:spPr>
                      <a:xfrm>
                        <a:off x="3331780" y="3573625"/>
                        <a:ext cx="4028440" cy="4127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-101599</wp:posOffset>
              </wp:positionH>
              <wp:positionV relativeFrom="paragraph">
                <wp:posOffset>0</wp:posOffset>
              </wp:positionV>
              <wp:extent cx="4142740" cy="441325"/>
              <wp:effectExtent b="0" l="0" r="0" t="0"/>
              <wp:wrapNone/>
              <wp:docPr id="1087"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4142740" cy="4413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2730500</wp:posOffset>
              </wp:positionH>
              <wp:positionV relativeFrom="paragraph">
                <wp:posOffset>0</wp:posOffset>
              </wp:positionV>
              <wp:extent cx="3211830" cy="577850"/>
              <wp:effectExtent b="0" l="0" r="0" t="0"/>
              <wp:wrapNone/>
              <wp:docPr id="1086" name=""/>
              <a:graphic>
                <a:graphicData uri="http://schemas.microsoft.com/office/word/2010/wordprocessingShape">
                  <wps:wsp>
                    <wps:cNvSpPr/>
                    <wps:cNvPr id="2" name="Shape 2"/>
                    <wps:spPr>
                      <a:xfrm>
                        <a:off x="3797235" y="3548225"/>
                        <a:ext cx="3097530" cy="463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2730500</wp:posOffset>
              </wp:positionH>
              <wp:positionV relativeFrom="paragraph">
                <wp:posOffset>0</wp:posOffset>
              </wp:positionV>
              <wp:extent cx="3211830" cy="577850"/>
              <wp:effectExtent b="0" l="0" r="0" t="0"/>
              <wp:wrapNone/>
              <wp:docPr id="1086" name="image2.png"/>
              <a:graphic>
                <a:graphicData uri="http://schemas.openxmlformats.org/drawingml/2006/picture">
                  <pic:pic>
                    <pic:nvPicPr>
                      <pic:cNvPr id="0" name="image2.png"/>
                      <pic:cNvPicPr preferRelativeResize="0"/>
                    </pic:nvPicPr>
                    <pic:blipFill>
                      <a:blip r:embed="rId3"/>
                      <a:srcRect/>
                      <a:stretch>
                        <a:fillRect/>
                      </a:stretch>
                    </pic:blipFill>
                    <pic:spPr>
                      <a:xfrm>
                        <a:off x="0" y="0"/>
                        <a:ext cx="3211830" cy="57785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-1435099</wp:posOffset>
              </wp:positionH>
              <wp:positionV relativeFrom="paragraph">
                <wp:posOffset>0</wp:posOffset>
              </wp:positionV>
              <wp:extent cx="8865870" cy="488950"/>
              <wp:effectExtent b="0" l="0" r="0" t="0"/>
              <wp:wrapNone/>
              <wp:docPr id="1088" name=""/>
              <a:graphic>
                <a:graphicData uri="http://schemas.microsoft.com/office/word/2010/wordprocessingShape">
                  <wps:wsp>
                    <wps:cNvSpPr/>
                    <wps:cNvPr id="4" name="Shape 4"/>
                    <wps:spPr>
                      <a:xfrm>
                        <a:off x="970215" y="3592675"/>
                        <a:ext cx="8751570" cy="374650"/>
                      </a:xfrm>
                      <a:prstGeom prst="rect">
                        <a:avLst/>
                      </a:prstGeom>
                      <a:solidFill>
                        <a:srgbClr val="6689C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-1435099</wp:posOffset>
              </wp:positionH>
              <wp:positionV relativeFrom="paragraph">
                <wp:posOffset>0</wp:posOffset>
              </wp:positionV>
              <wp:extent cx="8865870" cy="488950"/>
              <wp:effectExtent b="0" l="0" r="0" t="0"/>
              <wp:wrapNone/>
              <wp:docPr id="1088" name="image5.png"/>
              <a:graphic>
                <a:graphicData uri="http://schemas.openxmlformats.org/drawingml/2006/picture">
                  <pic:pic>
                    <pic:nvPicPr>
                      <pic:cNvPr id="0" name="image5.png"/>
                      <pic:cNvPicPr preferRelativeResize="0"/>
                    </pic:nvPicPr>
                    <pic:blipFill>
                      <a:blip r:embed="rId4"/>
                      <a:srcRect/>
                      <a:stretch>
                        <a:fillRect/>
                      </a:stretch>
                    </pic:blipFill>
                    <pic:spPr>
                      <a:xfrm>
                        <a:off x="0" y="0"/>
                        <a:ext cx="8865870" cy="488950"/>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Roman"/>
      <w:lvlText w:val="%1)"/>
      <w:lvlJc w:val="left"/>
      <w:pPr>
        <w:ind w:left="754" w:hanging="720"/>
      </w:pPr>
      <w:rPr>
        <w:vertAlign w:val="baseline"/>
      </w:rPr>
    </w:lvl>
    <w:lvl w:ilvl="1">
      <w:start w:val="1"/>
      <w:numFmt w:val="lowerLetter"/>
      <w:lvlText w:val="%2."/>
      <w:lvlJc w:val="left"/>
      <w:pPr>
        <w:ind w:left="1114" w:hanging="360"/>
      </w:pPr>
      <w:rPr>
        <w:vertAlign w:val="baseline"/>
      </w:rPr>
    </w:lvl>
    <w:lvl w:ilvl="2">
      <w:start w:val="1"/>
      <w:numFmt w:val="lowerRoman"/>
      <w:lvlText w:val="%3."/>
      <w:lvlJc w:val="right"/>
      <w:pPr>
        <w:ind w:left="1834" w:hanging="180"/>
      </w:pPr>
      <w:rPr>
        <w:vertAlign w:val="baseline"/>
      </w:rPr>
    </w:lvl>
    <w:lvl w:ilvl="3">
      <w:start w:val="1"/>
      <w:numFmt w:val="decimal"/>
      <w:lvlText w:val="%4."/>
      <w:lvlJc w:val="left"/>
      <w:pPr>
        <w:ind w:left="2554" w:hanging="360"/>
      </w:pPr>
      <w:rPr>
        <w:vertAlign w:val="baseline"/>
      </w:rPr>
    </w:lvl>
    <w:lvl w:ilvl="4">
      <w:start w:val="1"/>
      <w:numFmt w:val="lowerLetter"/>
      <w:lvlText w:val="%5."/>
      <w:lvlJc w:val="left"/>
      <w:pPr>
        <w:ind w:left="3274" w:hanging="360"/>
      </w:pPr>
      <w:rPr>
        <w:vertAlign w:val="baseline"/>
      </w:rPr>
    </w:lvl>
    <w:lvl w:ilvl="5">
      <w:start w:val="1"/>
      <w:numFmt w:val="lowerRoman"/>
      <w:lvlText w:val="%6."/>
      <w:lvlJc w:val="right"/>
      <w:pPr>
        <w:ind w:left="3994" w:hanging="180"/>
      </w:pPr>
      <w:rPr>
        <w:vertAlign w:val="baseline"/>
      </w:rPr>
    </w:lvl>
    <w:lvl w:ilvl="6">
      <w:start w:val="1"/>
      <w:numFmt w:val="decimal"/>
      <w:lvlText w:val="%7."/>
      <w:lvlJc w:val="left"/>
      <w:pPr>
        <w:ind w:left="4714" w:hanging="360"/>
      </w:pPr>
      <w:rPr>
        <w:vertAlign w:val="baseline"/>
      </w:rPr>
    </w:lvl>
    <w:lvl w:ilvl="7">
      <w:start w:val="1"/>
      <w:numFmt w:val="lowerLetter"/>
      <w:lvlText w:val="%8."/>
      <w:lvlJc w:val="left"/>
      <w:pPr>
        <w:ind w:left="5434" w:hanging="360"/>
      </w:pPr>
      <w:rPr>
        <w:vertAlign w:val="baseline"/>
      </w:rPr>
    </w:lvl>
    <w:lvl w:ilvl="8">
      <w:start w:val="1"/>
      <w:numFmt w:val="lowerRoman"/>
      <w:lvlText w:val="%9."/>
      <w:lvlJc w:val="right"/>
      <w:pPr>
        <w:ind w:left="6154" w:hanging="180"/>
      </w:pPr>
      <w:rPr>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left"/>
    </w:pPr>
    <w:rPr>
      <w:rFonts w:ascii="Cambria" w:cs="Cambria" w:eastAsia="Cambria" w:hAnsi="Cambria"/>
      <w:b w:val="1"/>
      <w:i w:val="0"/>
      <w:smallCaps w:val="0"/>
      <w:strike w:val="0"/>
      <w:color w:val="000000"/>
      <w:sz w:val="32"/>
      <w:szCs w:val="32"/>
      <w:u w:val="none"/>
      <w:shd w:fill="auto" w:val="clear"/>
      <w:vertAlign w:val="baseline"/>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left"/>
    </w:pPr>
    <w:rPr>
      <w:rFonts w:ascii="Cambria" w:cs="Cambria" w:eastAsia="Cambria" w:hAnsi="Cambria"/>
      <w:b w:val="1"/>
      <w:i w:val="0"/>
      <w:smallCaps w:val="0"/>
      <w:strike w:val="0"/>
      <w:color w:val="000000"/>
      <w:sz w:val="26"/>
      <w:szCs w:val="26"/>
      <w:u w:val="none"/>
      <w:shd w:fill="auto" w:val="clear"/>
      <w:vertAlign w:val="baseline"/>
    </w:rPr>
  </w:style>
  <w:style w:type="paragraph" w:styleId="Heading4">
    <w:name w:val="heading 4"/>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76" w:lineRule="auto"/>
      <w:ind w:left="0" w:right="0" w:hanging="1"/>
      <w:jc w:val="left"/>
    </w:pPr>
    <w:rPr>
      <w:rFonts w:ascii="Calibri" w:cs="Calibri" w:eastAsia="Calibri" w:hAnsi="Calibri"/>
      <w:b w:val="1"/>
      <w:i w:val="0"/>
      <w:smallCaps w:val="0"/>
      <w:strike w:val="0"/>
      <w:color w:val="000000"/>
      <w:sz w:val="28"/>
      <w:szCs w:val="28"/>
      <w:u w:val="none"/>
      <w:shd w:fill="auto" w:val="clear"/>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both"/>
    </w:pPr>
    <w:rPr>
      <w:rFonts w:ascii="Calibri" w:cs="Calibri" w:eastAsia="Calibri" w:hAnsi="Calibri"/>
      <w:b w:val="1"/>
      <w:i w:val="0"/>
      <w:smallCaps w:val="0"/>
      <w:strike w:val="0"/>
      <w:color w:val="000000"/>
      <w:sz w:val="22"/>
      <w:szCs w:val="22"/>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hanging="1"/>
      <w:jc w:val="center"/>
    </w:pPr>
    <w:rPr>
      <w:rFonts w:ascii="Times New Roman" w:cs="Times New Roman" w:eastAsia="Times New Roman" w:hAnsi="Times New Roman"/>
      <w:b w:val="1"/>
      <w:i w:val="0"/>
      <w:smallCaps w:val="0"/>
      <w:strike w:val="0"/>
      <w:color w:val="000000"/>
      <w:sz w:val="48"/>
      <w:szCs w:val="48"/>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left"/>
    </w:pPr>
    <w:rPr>
      <w:rFonts w:ascii="Cambria" w:cs="Cambria" w:eastAsia="Cambria" w:hAnsi="Cambria"/>
      <w:b w:val="1"/>
      <w:i w:val="0"/>
      <w:smallCaps w:val="0"/>
      <w:strike w:val="0"/>
      <w:color w:val="000000"/>
      <w:sz w:val="32"/>
      <w:szCs w:val="32"/>
      <w:u w:val="none"/>
      <w:shd w:fill="auto" w:val="clear"/>
      <w:vertAlign w:val="baseline"/>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left"/>
    </w:pPr>
    <w:rPr>
      <w:rFonts w:ascii="Cambria" w:cs="Cambria" w:eastAsia="Cambria" w:hAnsi="Cambria"/>
      <w:b w:val="1"/>
      <w:i w:val="0"/>
      <w:smallCaps w:val="0"/>
      <w:strike w:val="0"/>
      <w:color w:val="000000"/>
      <w:sz w:val="26"/>
      <w:szCs w:val="26"/>
      <w:u w:val="none"/>
      <w:shd w:fill="auto" w:val="clear"/>
      <w:vertAlign w:val="baseline"/>
    </w:rPr>
  </w:style>
  <w:style w:type="paragraph" w:styleId="Heading4">
    <w:name w:val="heading 4"/>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76" w:lineRule="auto"/>
      <w:ind w:left="0" w:right="0" w:hanging="1"/>
      <w:jc w:val="left"/>
    </w:pPr>
    <w:rPr>
      <w:rFonts w:ascii="Calibri" w:cs="Calibri" w:eastAsia="Calibri" w:hAnsi="Calibri"/>
      <w:b w:val="1"/>
      <w:i w:val="0"/>
      <w:smallCaps w:val="0"/>
      <w:strike w:val="0"/>
      <w:color w:val="000000"/>
      <w:sz w:val="28"/>
      <w:szCs w:val="28"/>
      <w:u w:val="none"/>
      <w:shd w:fill="auto" w:val="clear"/>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both"/>
    </w:pPr>
    <w:rPr>
      <w:rFonts w:ascii="Calibri" w:cs="Calibri" w:eastAsia="Calibri" w:hAnsi="Calibri"/>
      <w:b w:val="1"/>
      <w:i w:val="0"/>
      <w:smallCaps w:val="0"/>
      <w:strike w:val="0"/>
      <w:color w:val="000000"/>
      <w:sz w:val="22"/>
      <w:szCs w:val="22"/>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hanging="1"/>
      <w:jc w:val="center"/>
    </w:pPr>
    <w:rPr>
      <w:rFonts w:ascii="Times New Roman" w:cs="Times New Roman" w:eastAsia="Times New Roman" w:hAnsi="Times New Roman"/>
      <w:b w:val="1"/>
      <w:i w:val="0"/>
      <w:smallCaps w:val="0"/>
      <w:strike w:val="0"/>
      <w:color w:val="000000"/>
      <w:sz w:val="48"/>
      <w:szCs w:val="48"/>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left"/>
    </w:pPr>
    <w:rPr>
      <w:rFonts w:ascii="Cambria" w:cs="Cambria" w:eastAsia="Cambria" w:hAnsi="Cambria"/>
      <w:b w:val="1"/>
      <w:i w:val="0"/>
      <w:smallCaps w:val="0"/>
      <w:strike w:val="0"/>
      <w:color w:val="000000"/>
      <w:sz w:val="32"/>
      <w:szCs w:val="32"/>
      <w:u w:val="none"/>
      <w:shd w:fill="auto" w:val="clear"/>
      <w:vertAlign w:val="baseline"/>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left"/>
    </w:pPr>
    <w:rPr>
      <w:rFonts w:ascii="Cambria" w:cs="Cambria" w:eastAsia="Cambria" w:hAnsi="Cambria"/>
      <w:b w:val="1"/>
      <w:i w:val="0"/>
      <w:smallCaps w:val="0"/>
      <w:strike w:val="0"/>
      <w:color w:val="000000"/>
      <w:sz w:val="26"/>
      <w:szCs w:val="26"/>
      <w:u w:val="none"/>
      <w:shd w:fill="auto" w:val="clear"/>
      <w:vertAlign w:val="baseline"/>
    </w:rPr>
  </w:style>
  <w:style w:type="paragraph" w:styleId="Heading4">
    <w:name w:val="heading 4"/>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76" w:lineRule="auto"/>
      <w:ind w:left="0" w:right="0" w:hanging="1"/>
      <w:jc w:val="left"/>
    </w:pPr>
    <w:rPr>
      <w:rFonts w:ascii="Calibri" w:cs="Calibri" w:eastAsia="Calibri" w:hAnsi="Calibri"/>
      <w:b w:val="1"/>
      <w:i w:val="0"/>
      <w:smallCaps w:val="0"/>
      <w:strike w:val="0"/>
      <w:color w:val="000000"/>
      <w:sz w:val="28"/>
      <w:szCs w:val="28"/>
      <w:u w:val="none"/>
      <w:shd w:fill="auto" w:val="clear"/>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0" w:right="0" w:hanging="1"/>
      <w:jc w:val="both"/>
    </w:pPr>
    <w:rPr>
      <w:rFonts w:ascii="Calibri" w:cs="Calibri" w:eastAsia="Calibri" w:hAnsi="Calibri"/>
      <w:b w:val="1"/>
      <w:i w:val="0"/>
      <w:smallCaps w:val="0"/>
      <w:strike w:val="0"/>
      <w:color w:val="000000"/>
      <w:sz w:val="22"/>
      <w:szCs w:val="22"/>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hanging="1"/>
      <w:jc w:val="center"/>
    </w:pPr>
    <w:rPr>
      <w:rFonts w:ascii="Times New Roman" w:cs="Times New Roman" w:eastAsia="Times New Roman" w:hAnsi="Times New Roman"/>
      <w:b w:val="1"/>
      <w:i w:val="0"/>
      <w:smallCaps w:val="0"/>
      <w:strike w:val="0"/>
      <w:color w:val="000000"/>
      <w:sz w:val="48"/>
      <w:szCs w:val="48"/>
      <w:u w:val="none"/>
      <w:shd w:fill="auto" w:val="clear"/>
      <w:vertAlign w:val="baseline"/>
    </w:rPr>
  </w:style>
  <w:style w:type="paragraph" w:styleId="Normal" w:default="1">
    <w:name w:val="Normal"/>
  </w:style>
  <w:style w:type="paragraph" w:styleId="Ttulo1">
    <w:name w:val="heading 1"/>
    <w:basedOn w:val="NormalText"/>
    <w:next w:val="NormalText"/>
    <w:pPr>
      <w:keepNext w:val="1"/>
      <w:spacing w:after="60" w:before="240"/>
    </w:pPr>
    <w:rPr>
      <w:rFonts w:ascii="Cambria" w:eastAsia="Times New Roman" w:hAnsi="Cambria"/>
      <w:b w:val="1"/>
      <w:bCs w:val="1"/>
      <w:kern w:val="32"/>
      <w:sz w:val="32"/>
      <w:szCs w:val="32"/>
      <w:lang w:val="en-GB"/>
    </w:rPr>
  </w:style>
  <w:style w:type="paragraph" w:styleId="Ttulo2">
    <w:name w:val="heading 2"/>
    <w:basedOn w:val="Normal"/>
    <w:next w:val="Normal"/>
    <w:pPr>
      <w:keepNext w:val="1"/>
      <w:keepLines w:val="1"/>
      <w:spacing w:after="80" w:before="360"/>
      <w:outlineLvl w:val="1"/>
    </w:pPr>
    <w:rPr>
      <w:b w:val="1"/>
      <w:sz w:val="36"/>
      <w:szCs w:val="36"/>
    </w:rPr>
  </w:style>
  <w:style w:type="paragraph" w:styleId="Ttulo3">
    <w:name w:val="heading 3"/>
    <w:basedOn w:val="NormalText"/>
    <w:next w:val="NormalText"/>
    <w:pPr>
      <w:keepNext w:val="1"/>
      <w:spacing w:after="60" w:before="240"/>
      <w:outlineLvl w:val="2"/>
    </w:pPr>
    <w:rPr>
      <w:rFonts w:ascii="Cambria" w:eastAsia="Times New Roman" w:hAnsi="Cambria"/>
      <w:b w:val="1"/>
      <w:bCs w:val="1"/>
      <w:sz w:val="26"/>
      <w:szCs w:val="26"/>
      <w:lang w:val="en-GB"/>
    </w:rPr>
  </w:style>
  <w:style w:type="paragraph" w:styleId="Ttulo4">
    <w:name w:val="heading 4"/>
    <w:basedOn w:val="NormalText"/>
    <w:next w:val="NormalText"/>
    <w:pPr>
      <w:keepNext w:val="1"/>
      <w:spacing w:after="60" w:before="240" w:line="276" w:lineRule="auto"/>
      <w:outlineLvl w:val="3"/>
    </w:pPr>
    <w:rPr>
      <w:rFonts w:ascii="Calibri" w:eastAsia="Times New Roman" w:hAnsi="Calibri"/>
      <w:b w:val="1"/>
      <w:bCs w:val="1"/>
      <w:sz w:val="28"/>
      <w:szCs w:val="28"/>
    </w:rPr>
  </w:style>
  <w:style w:type="paragraph" w:styleId="Ttulo5">
    <w:name w:val="heading 5"/>
    <w:basedOn w:val="Normal"/>
    <w:next w:val="Normal"/>
    <w:pPr>
      <w:keepNext w:val="1"/>
      <w:keepLines w:val="1"/>
      <w:spacing w:after="40" w:before="220"/>
      <w:outlineLvl w:val="4"/>
    </w:pPr>
    <w:rPr>
      <w:b w:val="1"/>
      <w:sz w:val="22"/>
      <w:szCs w:val="22"/>
    </w:rPr>
  </w:style>
  <w:style w:type="paragraph" w:styleId="Ttulo6">
    <w:name w:val="heading 6"/>
    <w:basedOn w:val="NormalText"/>
    <w:next w:val="NormalText"/>
    <w:pPr>
      <w:overflowPunct w:val="0"/>
      <w:autoSpaceDE w:val="0"/>
      <w:autoSpaceDN w:val="0"/>
      <w:adjustRightInd w:val="0"/>
      <w:spacing w:after="60" w:before="240"/>
      <w:jc w:val="both"/>
      <w:textAlignment w:val="baseline"/>
      <w:outlineLvl w:val="5"/>
    </w:pPr>
    <w:rPr>
      <w:rFonts w:ascii="Calibri" w:eastAsia="Times New Roman" w:hAnsi="Calibri"/>
      <w:b w:val="1"/>
      <w:bCs w:val="1"/>
      <w:lang w:val="en-AU"/>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Text"/>
    <w:pPr>
      <w:spacing w:after="60" w:before="0"/>
      <w:jc w:val="center"/>
    </w:pPr>
    <w:rPr>
      <w:rFonts w:ascii="Times New Roman" w:eastAsia="Times New Roman" w:hAnsi="Times New Roman"/>
      <w:b w:val="1"/>
      <w:sz w:val="48"/>
      <w:szCs w:val="20"/>
      <w:lang w:val="es-ES"/>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paragraph" w:styleId="NormalText" w:customStyle="1">
    <w:name w:val="Normal;Text"/>
    <w:pPr>
      <w:suppressAutoHyphens w:val="1"/>
      <w:spacing w:after="100" w:before="100" w:line="1" w:lineRule="atLeast"/>
      <w:ind w:left="-1" w:leftChars="-1" w:hanging="1" w:hangingChars="1"/>
      <w:textDirection w:val="btLr"/>
      <w:textAlignment w:val="top"/>
      <w:outlineLvl w:val="0"/>
    </w:pPr>
    <w:rPr>
      <w:rFonts w:ascii="Arial" w:hAnsi="Arial"/>
      <w:position w:val="-1"/>
      <w:sz w:val="22"/>
      <w:szCs w:val="22"/>
      <w:lang w:eastAsia="en-US" w:val="en-US"/>
    </w:rPr>
  </w:style>
  <w:style w:type="character" w:styleId="Ttulo1Car" w:customStyle="1">
    <w:name w:val="Título 1 Car"/>
    <w:rPr>
      <w:rFonts w:ascii="Cambria" w:cs="Times New Roman" w:hAnsi="Cambria"/>
      <w:b w:val="1"/>
      <w:bCs w:val="1"/>
      <w:w w:val="100"/>
      <w:kern w:val="32"/>
      <w:position w:val="-1"/>
      <w:sz w:val="32"/>
      <w:szCs w:val="32"/>
      <w:effect w:val="none"/>
      <w:vertAlign w:val="baseline"/>
      <w:cs w:val="0"/>
      <w:em w:val="none"/>
      <w:lang w:val="en-GB"/>
    </w:rPr>
  </w:style>
  <w:style w:type="character" w:styleId="Ttulo3Car" w:customStyle="1">
    <w:name w:val="Título 3 Car"/>
    <w:rPr>
      <w:rFonts w:ascii="Cambria" w:cs="Times New Roman" w:hAnsi="Cambria"/>
      <w:b w:val="1"/>
      <w:bCs w:val="1"/>
      <w:w w:val="100"/>
      <w:position w:val="-1"/>
      <w:sz w:val="26"/>
      <w:szCs w:val="26"/>
      <w:effect w:val="none"/>
      <w:vertAlign w:val="baseline"/>
      <w:cs w:val="0"/>
      <w:em w:val="none"/>
      <w:lang w:val="en-GB"/>
    </w:rPr>
  </w:style>
  <w:style w:type="character" w:styleId="Ttulo4Car" w:customStyle="1">
    <w:name w:val="Título 4 Car"/>
    <w:rPr>
      <w:rFonts w:ascii="Calibri" w:cs="Times New Roman" w:hAnsi="Calibri"/>
      <w:b w:val="1"/>
      <w:bCs w:val="1"/>
      <w:w w:val="100"/>
      <w:position w:val="-1"/>
      <w:sz w:val="28"/>
      <w:szCs w:val="28"/>
      <w:effect w:val="none"/>
      <w:vertAlign w:val="baseline"/>
      <w:cs w:val="0"/>
      <w:em w:val="none"/>
    </w:rPr>
  </w:style>
  <w:style w:type="character" w:styleId="Ttulo6Car" w:customStyle="1">
    <w:name w:val="Título 6 Car"/>
    <w:rPr>
      <w:rFonts w:ascii="Calibri" w:cs="Times New Roman" w:hAnsi="Calibri"/>
      <w:b w:val="1"/>
      <w:bCs w:val="1"/>
      <w:w w:val="100"/>
      <w:position w:val="-1"/>
      <w:effect w:val="none"/>
      <w:vertAlign w:val="baseline"/>
      <w:cs w:val="0"/>
      <w:em w:val="none"/>
      <w:lang w:val="en-AU"/>
    </w:rPr>
  </w:style>
  <w:style w:type="paragraph" w:styleId="EncabezadoUNOPSHeader" w:customStyle="1">
    <w:name w:val="Encabezado;UNOPS Header"/>
    <w:basedOn w:val="NormalText"/>
  </w:style>
  <w:style w:type="character" w:styleId="EncabezadoCarUNOPSHeaderCar" w:customStyle="1">
    <w:name w:val="Encabezado Car;UNOPS Header Car"/>
    <w:rPr>
      <w:rFonts w:ascii="Arial" w:cs="Times New Roman" w:eastAsia="Times New Roman" w:hAnsi="Arial"/>
      <w:w w:val="100"/>
      <w:position w:val="-1"/>
      <w:effect w:val="none"/>
      <w:vertAlign w:val="baseline"/>
      <w:cs w:val="0"/>
      <w:em w:val="none"/>
    </w:rPr>
  </w:style>
  <w:style w:type="paragraph" w:styleId="Piedepgina">
    <w:name w:val="footer"/>
    <w:basedOn w:val="NormalText"/>
  </w:style>
  <w:style w:type="character" w:styleId="PiedepginaCar" w:customStyle="1">
    <w:name w:val="Pie de página Car"/>
    <w:rPr>
      <w:rFonts w:ascii="Arial" w:cs="Times New Roman" w:eastAsia="Times New Roman" w:hAnsi="Arial"/>
      <w:w w:val="100"/>
      <w:position w:val="-1"/>
      <w:effect w:val="none"/>
      <w:vertAlign w:val="baseline"/>
      <w:cs w:val="0"/>
      <w:em w:val="none"/>
    </w:rPr>
  </w:style>
  <w:style w:type="character" w:styleId="Nmerodepgina">
    <w:name w:val="page number"/>
    <w:rPr>
      <w:w w:val="100"/>
      <w:position w:val="-1"/>
      <w:effect w:val="none"/>
      <w:vertAlign w:val="baseline"/>
      <w:cs w:val="0"/>
      <w:em w:val="none"/>
    </w:rPr>
  </w:style>
  <w:style w:type="character" w:styleId="FooterChar1" w:customStyle="1">
    <w:name w:val="Footer Char1"/>
    <w:rPr>
      <w:rFonts w:ascii="Times New Roman" w:cs="Times New Roman" w:hAnsi="Times New Roman"/>
      <w:w w:val="100"/>
      <w:position w:val="-1"/>
      <w:effect w:val="none"/>
      <w:vertAlign w:val="baseline"/>
      <w:cs w:val="0"/>
      <w:em w:val="none"/>
      <w:lang w:val="en-AU"/>
    </w:rPr>
  </w:style>
  <w:style w:type="paragraph" w:styleId="PrrafodelistaTITULOALista123TitulodeFguraCuadro2-1TITULOImagen01TituloparrafoPuntoPrrafodelista2Prrafodelista4Prrafodelista21Iz-PrrafodelistaSivsaParrafoFundamentacionBulletedList3FootnoteListParagraph1" w:customStyle="1">
    <w:name w:val="Párrafo de lista;TITULO A;Lista 123;Titulo de Fígura;Cuadro 2-1;TITULO;Imagen 01.;Titulo parrafo;Punto;Párrafo de lista2;Párrafo de lista4;Párrafo de lista21;Iz - Párrafo de lista;Sivsa Parrafo;Fundamentacion;Bulleted List;3;Footnote;List Paragraph1"/>
    <w:basedOn w:val="NormalText"/>
    <w:pPr>
      <w:overflowPunct w:val="0"/>
      <w:autoSpaceDE w:val="0"/>
      <w:autoSpaceDN w:val="0"/>
      <w:adjustRightInd w:val="0"/>
      <w:spacing w:after="240" w:before="0"/>
      <w:ind w:left="720"/>
      <w:jc w:val="both"/>
      <w:textAlignment w:val="baseline"/>
    </w:pPr>
    <w:rPr>
      <w:rFonts w:ascii="Times New Roman" w:eastAsia="Times New Roman" w:hAnsi="Times New Roman"/>
      <w:sz w:val="20"/>
      <w:szCs w:val="20"/>
      <w:lang w:val="en-AU"/>
    </w:rPr>
  </w:style>
  <w:style w:type="paragraph" w:styleId="Textodeglobo">
    <w:name w:val="Balloon Text"/>
    <w:basedOn w:val="NormalText"/>
    <w:pPr>
      <w:overflowPunct w:val="0"/>
      <w:autoSpaceDE w:val="0"/>
      <w:autoSpaceDN w:val="0"/>
      <w:adjustRightInd w:val="0"/>
      <w:spacing w:after="0" w:before="0"/>
      <w:jc w:val="both"/>
      <w:textAlignment w:val="baseline"/>
    </w:pPr>
    <w:rPr>
      <w:rFonts w:ascii="Tahoma" w:cs="Tahoma" w:eastAsia="Times New Roman" w:hAnsi="Tahoma"/>
      <w:sz w:val="16"/>
      <w:szCs w:val="16"/>
      <w:lang w:val="en-AU"/>
    </w:rPr>
  </w:style>
  <w:style w:type="character" w:styleId="TextodegloboCar" w:customStyle="1">
    <w:name w:val="Texto de globo Car"/>
    <w:rPr>
      <w:rFonts w:ascii="Tahoma" w:cs="Tahoma" w:hAnsi="Tahoma"/>
      <w:w w:val="100"/>
      <w:position w:val="-1"/>
      <w:sz w:val="16"/>
      <w:szCs w:val="16"/>
      <w:effect w:val="none"/>
      <w:vertAlign w:val="baseline"/>
      <w:cs w:val="0"/>
      <w:em w:val="none"/>
      <w:lang w:val="en-AU"/>
    </w:rPr>
  </w:style>
  <w:style w:type="character" w:styleId="nfasis">
    <w:name w:val="Emphasis"/>
    <w:rPr>
      <w:i w:val="1"/>
      <w:iCs w:val="1"/>
      <w:w w:val="100"/>
      <w:position w:val="-1"/>
      <w:effect w:val="none"/>
      <w:vertAlign w:val="baseline"/>
      <w:cs w:val="0"/>
      <w:em w:val="none"/>
    </w:rPr>
  </w:style>
  <w:style w:type="paragraph" w:styleId="Sangradetextonormal">
    <w:name w:val="Body Text Indent"/>
    <w:basedOn w:val="NormalText"/>
    <w:pPr>
      <w:spacing w:after="0" w:before="0"/>
      <w:ind w:left="360"/>
    </w:pPr>
    <w:rPr>
      <w:rFonts w:ascii="Times New Roman" w:eastAsia="Times New Roman" w:hAnsi="Times New Roman"/>
      <w:sz w:val="24"/>
      <w:szCs w:val="20"/>
      <w:lang w:val="en-GB"/>
    </w:rPr>
  </w:style>
  <w:style w:type="character" w:styleId="SangradetextonormalCar" w:customStyle="1">
    <w:name w:val="Sangría de texto normal Car"/>
    <w:rPr>
      <w:rFonts w:ascii="Times New Roman" w:cs="Times New Roman" w:hAnsi="Times New Roman"/>
      <w:w w:val="100"/>
      <w:position w:val="-1"/>
      <w:sz w:val="20"/>
      <w:szCs w:val="20"/>
      <w:effect w:val="none"/>
      <w:vertAlign w:val="baseline"/>
      <w:cs w:val="0"/>
      <w:em w:val="none"/>
      <w:lang w:val="en-GB"/>
    </w:rPr>
  </w:style>
  <w:style w:type="paragraph" w:styleId="Sub-ClauseText" w:customStyle="1">
    <w:name w:val="Sub-Clause Text"/>
    <w:basedOn w:val="NormalText"/>
    <w:pPr>
      <w:spacing w:after="120" w:before="120"/>
      <w:jc w:val="both"/>
    </w:pPr>
    <w:rPr>
      <w:rFonts w:ascii="Times New Roman" w:eastAsia="Times New Roman" w:hAnsi="Times New Roman"/>
      <w:spacing w:val="-4"/>
      <w:sz w:val="24"/>
      <w:szCs w:val="20"/>
      <w:lang w:val="en-GB"/>
    </w:rPr>
  </w:style>
  <w:style w:type="character" w:styleId="Sub-ClauseTextChar" w:customStyle="1">
    <w:name w:val="Sub-Clause Text Char"/>
    <w:rPr>
      <w:rFonts w:ascii="Times New Roman" w:cs="Times New Roman" w:hAnsi="Times New Roman"/>
      <w:spacing w:val="-4"/>
      <w:w w:val="100"/>
      <w:position w:val="-1"/>
      <w:sz w:val="20"/>
      <w:szCs w:val="20"/>
      <w:effect w:val="none"/>
      <w:vertAlign w:val="baseline"/>
      <w:cs w:val="0"/>
      <w:em w:val="none"/>
      <w:lang w:val="en-GB"/>
    </w:rPr>
  </w:style>
  <w:style w:type="paragraph" w:styleId="Sangra2detindependiente">
    <w:name w:val="Body Text Indent 2"/>
    <w:basedOn w:val="NormalText"/>
    <w:pPr>
      <w:spacing w:after="120" w:before="0" w:line="480" w:lineRule="auto"/>
      <w:ind w:left="360"/>
    </w:pPr>
    <w:rPr>
      <w:rFonts w:ascii="Calibri" w:hAnsi="Calibri"/>
    </w:rPr>
  </w:style>
  <w:style w:type="character" w:styleId="Sangra2detindependienteCar" w:customStyle="1">
    <w:name w:val="Sangría 2 de t. independiente Car"/>
    <w:rPr>
      <w:rFonts w:ascii="Calibri" w:cs="Times New Roman" w:eastAsia="Times New Roman" w:hAnsi="Calibri"/>
      <w:w w:val="100"/>
      <w:position w:val="-1"/>
      <w:effect w:val="none"/>
      <w:vertAlign w:val="baseline"/>
      <w:cs w:val="0"/>
      <w:em w:val="none"/>
    </w:rPr>
  </w:style>
  <w:style w:type="paragraph" w:styleId="MarginText" w:customStyle="1">
    <w:name w:val="Margin Text"/>
    <w:basedOn w:val="Textoindependiente"/>
    <w:pPr>
      <w:spacing w:after="240" w:line="360" w:lineRule="auto"/>
    </w:pPr>
    <w:rPr>
      <w:szCs w:val="20"/>
      <w:lang w:val="en-GB"/>
    </w:rPr>
  </w:style>
  <w:style w:type="paragraph" w:styleId="Textoindependiente">
    <w:name w:val="Body Text"/>
    <w:basedOn w:val="NormalText"/>
    <w:pPr>
      <w:overflowPunct w:val="0"/>
      <w:autoSpaceDE w:val="0"/>
      <w:autoSpaceDN w:val="0"/>
      <w:adjustRightInd w:val="0"/>
      <w:spacing w:after="120" w:before="0"/>
      <w:jc w:val="both"/>
      <w:textAlignment w:val="baseline"/>
    </w:pPr>
    <w:rPr>
      <w:rFonts w:ascii="Times New Roman" w:eastAsia="Times New Roman" w:hAnsi="Times New Roman"/>
      <w:lang w:val="en-AU"/>
    </w:rPr>
  </w:style>
  <w:style w:type="character" w:styleId="TextoindependienteCar" w:customStyle="1">
    <w:name w:val="Texto independiente Car"/>
    <w:rPr>
      <w:rFonts w:ascii="Times New Roman" w:cs="Times New Roman" w:hAnsi="Times New Roman"/>
      <w:w w:val="100"/>
      <w:position w:val="-1"/>
      <w:effect w:val="none"/>
      <w:vertAlign w:val="baseline"/>
      <w:cs w:val="0"/>
      <w:em w:val="none"/>
      <w:lang w:val="en-AU"/>
    </w:rPr>
  </w:style>
  <w:style w:type="character" w:styleId="Hipervnculo">
    <w:name w:val="Hyperlink"/>
    <w:rPr>
      <w:color w:val="0000ff"/>
      <w:w w:val="100"/>
      <w:position w:val="-1"/>
      <w:u w:val="single"/>
      <w:effect w:val="none"/>
      <w:vertAlign w:val="baseline"/>
      <w:cs w:val="0"/>
      <w:em w:val="none"/>
    </w:rPr>
  </w:style>
  <w:style w:type="paragraph" w:styleId="SchHead" w:customStyle="1">
    <w:name w:val="SchHead"/>
    <w:basedOn w:val="MarginText"/>
    <w:next w:val="NormalText"/>
    <w:pPr>
      <w:jc w:val="center"/>
    </w:pPr>
    <w:rPr>
      <w:b w:val="1"/>
      <w:caps w:val="1"/>
    </w:rPr>
  </w:style>
  <w:style w:type="paragraph" w:styleId="SchHeadDes" w:customStyle="1">
    <w:name w:val="SchHeadDes"/>
    <w:basedOn w:val="NormalText"/>
    <w:next w:val="NormalText"/>
    <w:pPr>
      <w:overflowPunct w:val="0"/>
      <w:autoSpaceDE w:val="0"/>
      <w:autoSpaceDN w:val="0"/>
      <w:adjustRightInd w:val="0"/>
      <w:spacing w:after="240" w:before="0" w:line="360" w:lineRule="auto"/>
      <w:jc w:val="center"/>
      <w:textAlignment w:val="baseline"/>
    </w:pPr>
    <w:rPr>
      <w:rFonts w:ascii="Times New Roman" w:eastAsia="Times New Roman" w:hAnsi="Times New Roman"/>
      <w:b w:val="1"/>
      <w:szCs w:val="20"/>
      <w:lang w:val="en-GB"/>
    </w:rPr>
  </w:style>
  <w:style w:type="paragraph" w:styleId="Textonotaalfinal">
    <w:name w:val="endnote text"/>
    <w:basedOn w:val="NormalText"/>
    <w:pPr>
      <w:spacing w:after="0" w:before="0"/>
    </w:pPr>
    <w:rPr>
      <w:sz w:val="20"/>
      <w:szCs w:val="20"/>
    </w:rPr>
  </w:style>
  <w:style w:type="character" w:styleId="TextonotaalfinalCar" w:customStyle="1">
    <w:name w:val="Texto nota al final Car"/>
    <w:rPr>
      <w:rFonts w:ascii="Arial" w:cs="Times New Roman" w:hAnsi="Arial"/>
      <w:w w:val="100"/>
      <w:position w:val="-1"/>
      <w:effect w:val="none"/>
      <w:vertAlign w:val="baseline"/>
      <w:cs w:val="0"/>
      <w:em w:val="none"/>
    </w:rPr>
  </w:style>
  <w:style w:type="character" w:styleId="Refdenotaalfinal">
    <w:name w:val="endnote reference"/>
    <w:rPr>
      <w:w w:val="100"/>
      <w:position w:val="-1"/>
      <w:effect w:val="none"/>
      <w:vertAlign w:val="superscript"/>
      <w:cs w:val="0"/>
      <w:em w:val="none"/>
    </w:rPr>
  </w:style>
  <w:style w:type="character" w:styleId="Refdecomentario">
    <w:name w:val="annotation reference"/>
    <w:uiPriority w:val="99"/>
    <w:qFormat w:val="1"/>
    <w:rPr>
      <w:w w:val="100"/>
      <w:position w:val="-1"/>
      <w:sz w:val="16"/>
      <w:szCs w:val="16"/>
      <w:effect w:val="none"/>
      <w:vertAlign w:val="baseline"/>
      <w:cs w:val="0"/>
      <w:em w:val="none"/>
    </w:rPr>
  </w:style>
  <w:style w:type="paragraph" w:styleId="Textocomentario">
    <w:name w:val="annotation text"/>
    <w:basedOn w:val="NormalText"/>
    <w:link w:val="TextocomentarioCar1"/>
    <w:uiPriority w:val="99"/>
    <w:qFormat w:val="1"/>
    <w:rPr>
      <w:sz w:val="20"/>
      <w:szCs w:val="20"/>
    </w:rPr>
  </w:style>
  <w:style w:type="character" w:styleId="TextocomentarioCar" w:customStyle="1">
    <w:name w:val="Texto comentario Car"/>
    <w:uiPriority w:val="99"/>
    <w:rPr>
      <w:rFonts w:ascii="Arial" w:hAnsi="Arial"/>
      <w:w w:val="100"/>
      <w:position w:val="-1"/>
      <w:sz w:val="20"/>
      <w:szCs w:val="20"/>
      <w:effect w:val="none"/>
      <w:vertAlign w:val="baseline"/>
      <w:cs w:val="0"/>
      <w:em w:val="none"/>
      <w:lang w:eastAsia="en-US" w:val="en-US"/>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Arial" w:hAnsi="Arial"/>
      <w:b w:val="1"/>
      <w:bCs w:val="1"/>
      <w:w w:val="100"/>
      <w:position w:val="-1"/>
      <w:sz w:val="20"/>
      <w:szCs w:val="20"/>
      <w:effect w:val="none"/>
      <w:vertAlign w:val="baseline"/>
      <w:cs w:val="0"/>
      <w:em w:val="none"/>
      <w:lang w:eastAsia="en-US" w:val="en-US"/>
    </w:rPr>
  </w:style>
  <w:style w:type="paragraph" w:styleId="Textonotapie">
    <w:name w:val="footnote text"/>
    <w:basedOn w:val="NormalText"/>
    <w:qFormat w:val="1"/>
    <w:pPr>
      <w:spacing w:after="0" w:before="0"/>
    </w:pPr>
    <w:rPr>
      <w:sz w:val="20"/>
      <w:szCs w:val="20"/>
    </w:rPr>
  </w:style>
  <w:style w:type="character" w:styleId="TextonotapieCar" w:customStyle="1">
    <w:name w:val="Texto nota pie Car"/>
    <w:rPr>
      <w:rFonts w:ascii="Arial" w:hAnsi="Arial"/>
      <w:w w:val="100"/>
      <w:position w:val="-1"/>
      <w:sz w:val="20"/>
      <w:szCs w:val="20"/>
      <w:effect w:val="none"/>
      <w:vertAlign w:val="baseline"/>
      <w:cs w:val="0"/>
      <w:em w:val="none"/>
      <w:lang w:eastAsia="en-US" w:val="en-US"/>
    </w:rPr>
  </w:style>
  <w:style w:type="character" w:styleId="Refdenotaalpie">
    <w:name w:val="footnote reference"/>
    <w:qFormat w:val="1"/>
    <w:rPr>
      <w:w w:val="100"/>
      <w:position w:val="-1"/>
      <w:effect w:val="none"/>
      <w:vertAlign w:val="superscript"/>
      <w:cs w:val="0"/>
      <w:em w:val="none"/>
    </w:rPr>
  </w:style>
  <w:style w:type="character" w:styleId="PrrafodelistaCarTITULOACarLista123CarTitulodeFguraCarCuadro2-1CarTITULOCarImagen01CarTituloparrafoCarPuntoCarPrrafodelista2CarPrrafodelista4CarPrrafodelista21CarIz-PrrafodelistaCarSivsaParrafoCar" w:customStyle="1">
    <w:name w:val="Párrafo de lista Car;TITULO A Car;Lista 123 Car;Titulo de Fígura Car;Cuadro 2-1 Car;TITULO Car;Imagen 01. Car;Titulo parrafo Car;Punto Car;Párrafo de lista2 Car;Párrafo de lista4 Car;Párrafo de lista21 Car;Iz - Párrafo de lista Car;Sivsa Parrafo Car"/>
    <w:rPr>
      <w:rFonts w:ascii="Times New Roman" w:eastAsia="Times New Roman" w:hAnsi="Times New Roman"/>
      <w:w w:val="100"/>
      <w:position w:val="-1"/>
      <w:effect w:val="none"/>
      <w:vertAlign w:val="baseline"/>
      <w:cs w:val="0"/>
      <w:em w:val="none"/>
      <w:lang w:eastAsia="en-US" w:val="en-AU"/>
    </w:rPr>
  </w:style>
  <w:style w:type="paragraph" w:styleId="Prrafo1" w:customStyle="1">
    <w:name w:val="Párrafo1"/>
    <w:basedOn w:val="NormalText"/>
    <w:pPr>
      <w:spacing w:after="0" w:before="0"/>
      <w:ind w:left="737"/>
      <w:jc w:val="both"/>
    </w:pPr>
    <w:rPr>
      <w:rFonts w:eastAsia="Times New Roman"/>
      <w:sz w:val="24"/>
      <w:szCs w:val="20"/>
      <w:lang w:eastAsia="es-ES"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position w:val="-1"/>
      <w:lang w:eastAsia="en-US" w:val="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1" w:customStyle="1">
    <w:name w:val="Sin lista1"/>
    <w:next w:val="Sinlista"/>
    <w:qFormat w:val="1"/>
  </w:style>
  <w:style w:type="numbering" w:styleId="NoList1" w:customStyle="1">
    <w:name w:val="No List1"/>
    <w:next w:val="Sinlista"/>
    <w:qFormat w:val="1"/>
  </w:style>
  <w:style w:type="table" w:styleId="Tablaconcuadrcula1" w:customStyle="1">
    <w:name w:val="Tabla con cuadrícula1"/>
    <w:basedOn w:val="Tablanormal"/>
    <w:next w:val="Tablaconcuadrcula"/>
    <w:pPr>
      <w:suppressAutoHyphens w:val="1"/>
      <w:spacing w:line="1" w:lineRule="atLeast"/>
      <w:ind w:left="-1" w:leftChars="-1" w:hanging="1" w:hangingChars="1"/>
      <w:textDirection w:val="btLr"/>
      <w:textAlignment w:val="top"/>
      <w:outlineLvl w:val="0"/>
    </w:pPr>
    <w:rPr>
      <w:position w:val="-1"/>
      <w:lang w:eastAsia="en-US" w:val="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rmalWeb">
    <w:name w:val="Normal (Web)"/>
    <w:basedOn w:val="NormalText"/>
    <w:uiPriority w:val="99"/>
    <w:pPr>
      <w:spacing w:afterAutospacing="1" w:beforeAutospacing="1"/>
    </w:pPr>
    <w:rPr>
      <w:rFonts w:ascii="Arial Unicode MS" w:cs="Arial Unicode MS" w:eastAsia="Arial Unicode MS" w:hAnsi="Arial Unicode MS"/>
      <w:sz w:val="24"/>
      <w:szCs w:val="24"/>
      <w:lang w:eastAsia="es-ES" w:val="es-ES"/>
    </w:rPr>
  </w:style>
  <w:style w:type="character" w:styleId="TtuloCar" w:customStyle="1">
    <w:name w:val="Título Car"/>
    <w:rPr>
      <w:rFonts w:ascii="Times New Roman" w:eastAsia="Times New Roman" w:hAnsi="Times New Roman"/>
      <w:b w:val="1"/>
      <w:w w:val="100"/>
      <w:position w:val="-1"/>
      <w:sz w:val="48"/>
      <w:szCs w:val="20"/>
      <w:effect w:val="none"/>
      <w:vertAlign w:val="baseline"/>
      <w:cs w:val="0"/>
      <w:em w:val="none"/>
      <w:lang w:eastAsia="en-US" w:val="es-ES"/>
    </w:rPr>
  </w:style>
  <w:style w:type="character" w:styleId="Textodelmarcadordeposicin">
    <w:name w:val="Placeholder Text"/>
    <w:rPr>
      <w:color w:val="808080"/>
      <w:w w:val="100"/>
      <w:position w:val="-1"/>
      <w:effect w:val="none"/>
      <w:vertAlign w:val="baseline"/>
      <w:cs w:val="0"/>
      <w:em w:val="none"/>
    </w:rPr>
  </w:style>
  <w:style w:type="paragraph" w:styleId="Sinespaciado">
    <w:name w:val="No Spacing"/>
    <w:pPr>
      <w:suppressAutoHyphens w:val="1"/>
      <w:spacing w:line="1" w:lineRule="atLeast"/>
      <w:ind w:left="-1" w:leftChars="-1" w:hanging="1" w:hangingChars="1"/>
      <w:textDirection w:val="btLr"/>
      <w:textAlignment w:val="top"/>
      <w:outlineLvl w:val="0"/>
    </w:pPr>
    <w:rPr>
      <w:rFonts w:ascii="Arial" w:hAnsi="Arial"/>
      <w:position w:val="-1"/>
      <w:sz w:val="22"/>
      <w:szCs w:val="22"/>
      <w:lang w:eastAsia="en-US" w:val="en-US"/>
    </w:rPr>
  </w:style>
  <w:style w:type="character" w:styleId="Hipervnculovisitado">
    <w:name w:val="FollowedHyperlink"/>
    <w:qFormat w:val="1"/>
    <w:rPr>
      <w:color w:val="954f72"/>
      <w:w w:val="100"/>
      <w:position w:val="-1"/>
      <w:u w:val="single"/>
      <w:effect w:val="none"/>
      <w:vertAlign w:val="baseline"/>
      <w:cs w:val="0"/>
      <w:em w:val="none"/>
    </w:rPr>
  </w:style>
  <w:style w:type="paragraph" w:styleId="font5" w:customStyle="1">
    <w:name w:val="font5"/>
    <w:basedOn w:val="NormalText"/>
    <w:pPr>
      <w:spacing w:afterAutospacing="1" w:beforeAutospacing="1"/>
    </w:pPr>
    <w:rPr>
      <w:rFonts w:ascii="Tahoma" w:cs="Tahoma" w:eastAsia="Times New Roman" w:hAnsi="Tahoma"/>
      <w:b w:val="1"/>
      <w:bCs w:val="1"/>
      <w:color w:val="000000"/>
      <w:sz w:val="18"/>
      <w:szCs w:val="18"/>
      <w:lang w:eastAsia="es-PE" w:val="es-PE"/>
    </w:rPr>
  </w:style>
  <w:style w:type="paragraph" w:styleId="font6" w:customStyle="1">
    <w:name w:val="font6"/>
    <w:basedOn w:val="NormalText"/>
    <w:pPr>
      <w:spacing w:afterAutospacing="1" w:beforeAutospacing="1"/>
    </w:pPr>
    <w:rPr>
      <w:rFonts w:ascii="Tahoma" w:cs="Tahoma" w:eastAsia="Times New Roman" w:hAnsi="Tahoma"/>
      <w:color w:val="000000"/>
      <w:sz w:val="18"/>
      <w:szCs w:val="18"/>
      <w:lang w:eastAsia="es-PE" w:val="es-PE"/>
    </w:rPr>
  </w:style>
  <w:style w:type="paragraph" w:styleId="xl82" w:customStyle="1">
    <w:name w:val="xl82"/>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b w:val="1"/>
      <w:bCs w:val="1"/>
      <w:sz w:val="24"/>
      <w:szCs w:val="24"/>
      <w:lang w:eastAsia="es-PE" w:val="es-PE"/>
    </w:rPr>
  </w:style>
  <w:style w:type="paragraph" w:styleId="xl83" w:customStyle="1">
    <w:name w:val="xl83"/>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ascii="Calibri" w:eastAsia="Times New Roman" w:hAnsi="Calibri"/>
      <w:b w:val="1"/>
      <w:bCs w:val="1"/>
      <w:sz w:val="24"/>
      <w:szCs w:val="24"/>
      <w:lang w:eastAsia="es-PE" w:val="es-PE"/>
    </w:rPr>
  </w:style>
  <w:style w:type="paragraph" w:styleId="xl84" w:customStyle="1">
    <w:name w:val="xl84"/>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ascii="Calibri" w:eastAsia="Times New Roman" w:hAnsi="Calibri"/>
      <w:b w:val="1"/>
      <w:bCs w:val="1"/>
      <w:sz w:val="24"/>
      <w:szCs w:val="24"/>
      <w:lang w:eastAsia="es-PE" w:val="es-PE"/>
    </w:rPr>
  </w:style>
  <w:style w:type="paragraph" w:styleId="xl85" w:customStyle="1">
    <w:name w:val="xl85"/>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sz w:val="24"/>
      <w:szCs w:val="24"/>
      <w:lang w:eastAsia="es-PE" w:val="es-PE"/>
    </w:rPr>
  </w:style>
  <w:style w:type="paragraph" w:styleId="xl86" w:customStyle="1">
    <w:name w:val="xl86"/>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ascii="Calibri" w:eastAsia="Times New Roman" w:hAnsi="Calibri"/>
      <w:b w:val="1"/>
      <w:bCs w:val="1"/>
      <w:sz w:val="24"/>
      <w:szCs w:val="24"/>
      <w:lang w:eastAsia="es-PE" w:val="es-PE"/>
    </w:rPr>
  </w:style>
  <w:style w:type="paragraph" w:styleId="xl87" w:customStyle="1">
    <w:name w:val="xl87"/>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sz w:val="24"/>
      <w:szCs w:val="24"/>
      <w:lang w:eastAsia="es-PE" w:val="es-PE"/>
    </w:rPr>
  </w:style>
  <w:style w:type="paragraph" w:styleId="xl88" w:customStyle="1">
    <w:name w:val="xl88"/>
    <w:basedOn w:val="NormalText"/>
    <w:pPr>
      <w:spacing w:afterAutospacing="1" w:beforeAutospacing="1"/>
      <w:textAlignment w:val="bottom"/>
    </w:pPr>
    <w:rPr>
      <w:rFonts w:ascii="Calibri" w:eastAsia="Times New Roman" w:hAnsi="Calibri"/>
      <w:sz w:val="24"/>
      <w:szCs w:val="24"/>
      <w:lang w:eastAsia="es-PE" w:val="es-PE"/>
    </w:rPr>
  </w:style>
  <w:style w:type="paragraph" w:styleId="xl89" w:customStyle="1">
    <w:name w:val="xl89"/>
    <w:basedOn w:val="NormalText"/>
    <w:pPr>
      <w:spacing w:afterAutospacing="1" w:beforeAutospacing="1"/>
      <w:textAlignment w:val="center"/>
    </w:pPr>
    <w:rPr>
      <w:rFonts w:ascii="Calibri" w:eastAsia="Times New Roman" w:hAnsi="Calibri"/>
      <w:sz w:val="24"/>
      <w:szCs w:val="24"/>
      <w:lang w:eastAsia="es-PE" w:val="es-PE"/>
    </w:rPr>
  </w:style>
  <w:style w:type="paragraph" w:styleId="xl90" w:customStyle="1">
    <w:name w:val="xl90"/>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sz w:val="24"/>
      <w:szCs w:val="24"/>
      <w:lang w:eastAsia="es-PE" w:val="es-PE"/>
    </w:rPr>
  </w:style>
  <w:style w:type="paragraph" w:styleId="xl91" w:customStyle="1">
    <w:name w:val="xl91"/>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b w:val="1"/>
      <w:bCs w:val="1"/>
      <w:sz w:val="24"/>
      <w:szCs w:val="24"/>
      <w:lang w:eastAsia="es-PE" w:val="es-PE"/>
    </w:rPr>
  </w:style>
  <w:style w:type="paragraph" w:styleId="xl92" w:customStyle="1">
    <w:name w:val="xl92"/>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b w:val="1"/>
      <w:bCs w:val="1"/>
      <w:sz w:val="24"/>
      <w:szCs w:val="24"/>
      <w:lang w:eastAsia="es-PE" w:val="es-PE"/>
    </w:rPr>
  </w:style>
  <w:style w:type="paragraph" w:styleId="xl93" w:customStyle="1">
    <w:name w:val="xl93"/>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ascii="Calibri" w:eastAsia="Times New Roman" w:hAnsi="Calibri"/>
      <w:sz w:val="24"/>
      <w:szCs w:val="24"/>
      <w:lang w:eastAsia="es-PE" w:val="es-PE"/>
    </w:rPr>
  </w:style>
  <w:style w:type="paragraph" w:styleId="xl94" w:customStyle="1">
    <w:name w:val="xl94"/>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ascii="Calibri" w:eastAsia="Times New Roman" w:hAnsi="Calibri"/>
      <w:sz w:val="24"/>
      <w:szCs w:val="24"/>
      <w:lang w:eastAsia="es-PE" w:val="es-PE"/>
    </w:rPr>
  </w:style>
  <w:style w:type="paragraph" w:styleId="xl95" w:customStyle="1">
    <w:name w:val="xl95"/>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ascii="Calibri" w:eastAsia="Times New Roman" w:hAnsi="Calibri"/>
      <w:sz w:val="24"/>
      <w:szCs w:val="24"/>
      <w:lang w:eastAsia="es-PE" w:val="es-PE"/>
    </w:rPr>
  </w:style>
  <w:style w:type="paragraph" w:styleId="xl96" w:customStyle="1">
    <w:name w:val="xl96"/>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sz w:val="24"/>
      <w:szCs w:val="24"/>
      <w:lang w:eastAsia="es-PE" w:val="es-PE"/>
    </w:rPr>
  </w:style>
  <w:style w:type="paragraph" w:styleId="xl97" w:customStyle="1">
    <w:name w:val="xl97"/>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ascii="Calibri" w:eastAsia="Times New Roman" w:hAnsi="Calibri"/>
      <w:sz w:val="24"/>
      <w:szCs w:val="24"/>
      <w:lang w:eastAsia="es-PE" w:val="es-PE"/>
    </w:rPr>
  </w:style>
  <w:style w:type="paragraph" w:styleId="xl98" w:customStyle="1">
    <w:name w:val="xl98"/>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ascii="Calibri" w:eastAsia="Times New Roman" w:hAnsi="Calibri"/>
      <w:b w:val="1"/>
      <w:bCs w:val="1"/>
      <w:lang w:eastAsia="es-PE" w:val="es-PE"/>
    </w:rPr>
  </w:style>
  <w:style w:type="table" w:styleId="Tablaconcuadrcula2" w:customStyle="1">
    <w:name w:val="Tabla con cuadrícula2"/>
    <w:basedOn w:val="Tablanormal"/>
    <w:next w:val="Tablaconcuadrcula"/>
    <w:pPr>
      <w:suppressAutoHyphens w:val="1"/>
      <w:spacing w:line="1" w:lineRule="atLeast"/>
      <w:ind w:left="-1" w:leftChars="-1" w:hanging="1" w:hangingChars="1"/>
      <w:textDirection w:val="btLr"/>
      <w:textAlignment w:val="top"/>
      <w:outlineLvl w:val="0"/>
    </w:pPr>
    <w:rPr>
      <w:position w:val="-1"/>
      <w:lang w:eastAsia="en-US" w:val="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xl65" w:customStyle="1">
    <w:name w:val="xl65"/>
    <w:basedOn w:val="NormalText"/>
    <w:pPr>
      <w:spacing w:afterAutospacing="1" w:beforeAutospacing="1"/>
      <w:textAlignment w:val="center"/>
    </w:pPr>
    <w:rPr>
      <w:rFonts w:cs="Arial" w:eastAsia="Times New Roman"/>
      <w:sz w:val="18"/>
      <w:szCs w:val="18"/>
      <w:lang w:eastAsia="es-PE" w:val="es-PE"/>
    </w:rPr>
  </w:style>
  <w:style w:type="paragraph" w:styleId="xl66" w:customStyle="1">
    <w:name w:val="xl66"/>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cs="Arial" w:eastAsia="Times New Roman"/>
      <w:b w:val="1"/>
      <w:bCs w:val="1"/>
      <w:sz w:val="18"/>
      <w:szCs w:val="18"/>
      <w:lang w:eastAsia="es-PE" w:val="es-PE"/>
    </w:rPr>
  </w:style>
  <w:style w:type="paragraph" w:styleId="xl67" w:customStyle="1">
    <w:name w:val="xl67"/>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cs="Arial" w:eastAsia="Times New Roman"/>
      <w:sz w:val="18"/>
      <w:szCs w:val="18"/>
      <w:lang w:eastAsia="es-PE" w:val="es-PE"/>
    </w:rPr>
  </w:style>
  <w:style w:type="paragraph" w:styleId="xl68" w:customStyle="1">
    <w:name w:val="xl68"/>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cs="Arial" w:eastAsia="Times New Roman"/>
      <w:sz w:val="18"/>
      <w:szCs w:val="18"/>
      <w:lang w:eastAsia="es-PE" w:val="es-PE"/>
    </w:rPr>
  </w:style>
  <w:style w:type="paragraph" w:styleId="xl69" w:customStyle="1">
    <w:name w:val="xl69"/>
    <w:basedOn w:val="NormalText"/>
    <w:pPr>
      <w:spacing w:afterAutospacing="1" w:beforeAutospacing="1"/>
      <w:textAlignment w:val="center"/>
    </w:pPr>
    <w:rPr>
      <w:rFonts w:cs="Arial" w:eastAsia="Times New Roman"/>
      <w:sz w:val="18"/>
      <w:szCs w:val="18"/>
      <w:lang w:eastAsia="es-PE" w:val="es-PE"/>
    </w:rPr>
  </w:style>
  <w:style w:type="paragraph" w:styleId="xl70" w:customStyle="1">
    <w:name w:val="xl70"/>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cs="Arial" w:eastAsia="Times New Roman"/>
      <w:sz w:val="18"/>
      <w:szCs w:val="18"/>
      <w:lang w:eastAsia="es-PE" w:val="es-PE"/>
    </w:rPr>
  </w:style>
  <w:style w:type="paragraph" w:styleId="xl71" w:customStyle="1">
    <w:name w:val="xl71"/>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cs="Arial" w:eastAsia="Times New Roman"/>
      <w:sz w:val="18"/>
      <w:szCs w:val="18"/>
      <w:lang w:eastAsia="es-PE" w:val="es-PE"/>
    </w:rPr>
  </w:style>
  <w:style w:type="paragraph" w:styleId="xl72" w:customStyle="1">
    <w:name w:val="xl72"/>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cs="Arial" w:eastAsia="Times New Roman"/>
      <w:sz w:val="18"/>
      <w:szCs w:val="18"/>
      <w:lang w:eastAsia="es-PE" w:val="es-PE"/>
    </w:rPr>
  </w:style>
  <w:style w:type="paragraph" w:styleId="xl73" w:customStyle="1">
    <w:name w:val="xl73"/>
    <w:basedOn w:val="NormalText"/>
    <w:pPr>
      <w:pBdr>
        <w:top w:color="auto" w:space="0" w:sz="4" w:val="single"/>
        <w:left w:color="auto" w:space="0" w:sz="4" w:val="single"/>
        <w:bottom w:color="auto" w:space="0" w:sz="4" w:val="single"/>
        <w:right w:color="auto" w:space="0" w:sz="4" w:val="single"/>
      </w:pBdr>
      <w:spacing w:afterAutospacing="1" w:beforeAutospacing="1"/>
      <w:textAlignment w:val="center"/>
    </w:pPr>
    <w:rPr>
      <w:rFonts w:cs="Arial" w:eastAsia="Times New Roman"/>
      <w:sz w:val="18"/>
      <w:szCs w:val="18"/>
      <w:lang w:eastAsia="es-PE" w:val="es-PE"/>
    </w:rPr>
  </w:style>
  <w:style w:type="paragraph" w:styleId="xl74" w:customStyle="1">
    <w:name w:val="xl74"/>
    <w:basedOn w:val="NormalText"/>
    <w:pPr>
      <w:spacing w:afterAutospacing="1" w:beforeAutospacing="1"/>
      <w:jc w:val="center"/>
      <w:textAlignment w:val="center"/>
    </w:pPr>
    <w:rPr>
      <w:rFonts w:cs="Arial" w:eastAsia="Times New Roman"/>
      <w:sz w:val="18"/>
      <w:szCs w:val="18"/>
      <w:lang w:eastAsia="es-PE" w:val="es-PE"/>
    </w:rPr>
  </w:style>
  <w:style w:type="paragraph" w:styleId="xl75" w:customStyle="1">
    <w:name w:val="xl75"/>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cs="Arial" w:eastAsia="Times New Roman"/>
      <w:b w:val="1"/>
      <w:bCs w:val="1"/>
      <w:sz w:val="18"/>
      <w:szCs w:val="18"/>
      <w:lang w:eastAsia="es-PE" w:val="es-PE"/>
    </w:rPr>
  </w:style>
  <w:style w:type="paragraph" w:styleId="xl76" w:customStyle="1">
    <w:name w:val="xl76"/>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cs="Arial" w:eastAsia="Times New Roman"/>
      <w:sz w:val="18"/>
      <w:szCs w:val="18"/>
      <w:lang w:eastAsia="es-PE" w:val="es-PE"/>
    </w:rPr>
  </w:style>
  <w:style w:type="paragraph" w:styleId="xl77" w:customStyle="1">
    <w:name w:val="xl77"/>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cs="Arial" w:eastAsia="Times New Roman"/>
      <w:b w:val="1"/>
      <w:bCs w:val="1"/>
      <w:sz w:val="18"/>
      <w:szCs w:val="18"/>
      <w:lang w:eastAsia="es-PE" w:val="es-PE"/>
    </w:rPr>
  </w:style>
  <w:style w:type="paragraph" w:styleId="xl78" w:customStyle="1">
    <w:name w:val="xl78"/>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cs="Arial" w:eastAsia="Times New Roman"/>
      <w:sz w:val="18"/>
      <w:szCs w:val="18"/>
      <w:lang w:eastAsia="es-PE" w:val="es-PE"/>
    </w:rPr>
  </w:style>
  <w:style w:type="paragraph" w:styleId="xl79" w:customStyle="1">
    <w:name w:val="xl79"/>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cs="Arial" w:eastAsia="Times New Roman"/>
      <w:sz w:val="18"/>
      <w:szCs w:val="18"/>
      <w:lang w:eastAsia="es-PE" w:val="es-PE"/>
    </w:rPr>
  </w:style>
  <w:style w:type="paragraph" w:styleId="xl80" w:customStyle="1">
    <w:name w:val="xl80"/>
    <w:basedOn w:val="NormalText"/>
    <w:pPr>
      <w:pBdr>
        <w:top w:color="auto" w:space="0" w:sz="4" w:val="single"/>
        <w:left w:color="auto" w:space="0" w:sz="4" w:val="single"/>
        <w:bottom w:color="auto" w:space="0" w:sz="4" w:val="single"/>
        <w:right w:color="auto" w:space="0" w:sz="4" w:val="single"/>
      </w:pBdr>
      <w:spacing w:afterAutospacing="1" w:beforeAutospacing="1"/>
      <w:jc w:val="center"/>
      <w:textAlignment w:val="center"/>
    </w:pPr>
    <w:rPr>
      <w:rFonts w:cs="Arial" w:eastAsia="Times New Roman"/>
      <w:sz w:val="18"/>
      <w:szCs w:val="18"/>
      <w:lang w:eastAsia="es-PE" w:val="es-PE"/>
    </w:rPr>
  </w:style>
  <w:style w:type="paragraph" w:styleId="xl81" w:customStyle="1">
    <w:name w:val="xl81"/>
    <w:basedOn w:val="NormalText"/>
    <w:pPr>
      <w:pBdr>
        <w:top w:color="auto" w:space="0" w:sz="4" w:val="single"/>
        <w:left w:color="auto" w:space="0" w:sz="4" w:val="single"/>
        <w:bottom w:color="auto" w:space="0" w:sz="4" w:val="single"/>
      </w:pBdr>
      <w:spacing w:afterAutospacing="1" w:beforeAutospacing="1"/>
      <w:jc w:val="center"/>
      <w:textAlignment w:val="center"/>
    </w:pPr>
    <w:rPr>
      <w:rFonts w:cs="Arial" w:eastAsia="Times New Roman"/>
      <w:b w:val="1"/>
      <w:bCs w:val="1"/>
      <w:sz w:val="18"/>
      <w:szCs w:val="18"/>
      <w:lang w:eastAsia="es-PE" w:val="es-PE"/>
    </w:rPr>
  </w:style>
  <w:style w:type="character" w:styleId="MarginTextChar" w:customStyle="1">
    <w:name w:val="Margin Text Char"/>
    <w:rPr>
      <w:rFonts w:ascii="Times New Roman" w:eastAsia="Times New Roman" w:hAnsi="Times New Roman"/>
      <w:w w:val="100"/>
      <w:position w:val="-1"/>
      <w:sz w:val="22"/>
      <w:effect w:val="none"/>
      <w:vertAlign w:val="baseline"/>
      <w:cs w:val="0"/>
      <w:em w:val="none"/>
      <w:lang w:eastAsia="en-US" w:val="en-GB"/>
    </w:rPr>
  </w:style>
  <w:style w:type="paragraph" w:styleId="Revisin">
    <w:name w:val="Revision"/>
    <w:pPr>
      <w:suppressAutoHyphens w:val="1"/>
      <w:spacing w:line="1" w:lineRule="atLeast"/>
      <w:ind w:left="-1" w:leftChars="-1" w:hanging="1" w:hangingChars="1"/>
      <w:textDirection w:val="btLr"/>
      <w:textAlignment w:val="top"/>
      <w:outlineLvl w:val="0"/>
    </w:pPr>
    <w:rPr>
      <w:rFonts w:ascii="Arial" w:hAnsi="Arial"/>
      <w:position w:val="-1"/>
      <w:sz w:val="22"/>
      <w:szCs w:val="22"/>
      <w:lang w:eastAsia="en-US" w:val="en-US"/>
    </w:rPr>
  </w:style>
  <w:style w:type="paragraph" w:styleId="Headline" w:customStyle="1">
    <w:name w:val="Headline"/>
    <w:basedOn w:val="Ttulo1"/>
    <w:pPr>
      <w:keepLines w:val="1"/>
      <w:spacing w:after="120" w:before="360"/>
      <w:jc w:val="both"/>
    </w:pPr>
    <w:rPr>
      <w:rFonts w:ascii="Arial" w:cs="Arial" w:hAnsi="Arial"/>
      <w:color w:val="0092d1"/>
      <w:kern w:val="0"/>
      <w:sz w:val="28"/>
      <w:szCs w:val="28"/>
      <w:lang w:eastAsia="en-GB" w:val="es-ES"/>
    </w:rPr>
  </w:style>
  <w:style w:type="character" w:styleId="HeadlineChar" w:customStyle="1">
    <w:name w:val="Headline Char"/>
    <w:rPr>
      <w:rFonts w:ascii="Arial" w:cs="Arial" w:eastAsia="Times New Roman" w:hAnsi="Arial"/>
      <w:b w:val="1"/>
      <w:bCs w:val="1"/>
      <w:color w:val="0092d1"/>
      <w:w w:val="100"/>
      <w:position w:val="-1"/>
      <w:sz w:val="28"/>
      <w:szCs w:val="28"/>
      <w:effect w:val="none"/>
      <w:vertAlign w:val="baseline"/>
      <w:cs w:val="0"/>
      <w:em w:val="none"/>
      <w:lang w:eastAsia="en-GB" w:val="es-ES"/>
    </w:rPr>
  </w:style>
  <w:style w:type="paragraph" w:styleId="Default" w:customStyle="1">
    <w:name w:val="Default"/>
    <w:pPr>
      <w:suppressAutoHyphens w:val="1"/>
      <w:autoSpaceDE w:val="0"/>
      <w:autoSpaceDN w:val="0"/>
      <w:adjustRightInd w:val="0"/>
      <w:spacing w:line="1" w:lineRule="atLeast"/>
      <w:ind w:left="-1" w:leftChars="-1" w:hanging="1" w:hangingChars="1"/>
      <w:textDirection w:val="btLr"/>
      <w:textAlignment w:val="top"/>
      <w:outlineLvl w:val="0"/>
    </w:pPr>
    <w:rPr>
      <w:rFonts w:ascii="Arial" w:cs="Arial" w:hAnsi="Arial"/>
      <w:color w:val="000000"/>
      <w:position w:val="-1"/>
      <w:sz w:val="24"/>
      <w:szCs w:val="24"/>
      <w:lang w:eastAsia="en-GB" w:val="es-PE"/>
    </w:rPr>
  </w:style>
  <w:style w:type="paragraph" w:styleId="Formulaire2" w:customStyle="1">
    <w:name w:val="Formulaire2"/>
    <w:basedOn w:val="NormalText"/>
    <w:pPr>
      <w:suppressAutoHyphens w:val="0"/>
      <w:overflowPunct w:val="0"/>
      <w:autoSpaceDE w:val="0"/>
      <w:autoSpaceDN w:val="0"/>
      <w:adjustRightInd w:val="0"/>
      <w:spacing w:after="142" w:before="0" w:line="240" w:lineRule="atLeast"/>
      <w:jc w:val="center"/>
      <w:textAlignment w:val="baseline"/>
    </w:pPr>
    <w:rPr>
      <w:rFonts w:eastAsia="Times New Roman"/>
      <w:b w:val="1"/>
      <w:sz w:val="24"/>
      <w:szCs w:val="20"/>
      <w:lang w:val="fr-FR"/>
    </w:rPr>
  </w:style>
  <w:style w:type="character" w:styleId="Formulaire2Car" w:customStyle="1">
    <w:name w:val="Formulaire2 Car"/>
    <w:rPr>
      <w:rFonts w:ascii="Arial" w:eastAsia="Times New Roman" w:hAnsi="Arial"/>
      <w:b w:val="1"/>
      <w:w w:val="100"/>
      <w:position w:val="-1"/>
      <w:sz w:val="24"/>
      <w:effect w:val="none"/>
      <w:vertAlign w:val="baseline"/>
      <w:cs w:val="0"/>
      <w:em w:val="none"/>
      <w:lang w:eastAsia="en-US" w:val="fr-FR"/>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paragraph" w:styleId="Encabezado">
    <w:name w:val="header"/>
    <w:basedOn w:val="Normal"/>
    <w:link w:val="EncabezadoCar"/>
    <w:uiPriority w:val="99"/>
    <w:unhideWhenUsed w:val="1"/>
    <w:rsid w:val="007C1897"/>
    <w:pPr>
      <w:tabs>
        <w:tab w:val="center" w:pos="4252"/>
        <w:tab w:val="right" w:pos="8504"/>
      </w:tabs>
    </w:pPr>
  </w:style>
  <w:style w:type="character" w:styleId="EncabezadoCar" w:customStyle="1">
    <w:name w:val="Encabezado Car"/>
    <w:basedOn w:val="Fuentedeprrafopredeter"/>
    <w:link w:val="Encabezado"/>
    <w:uiPriority w:val="99"/>
    <w:rsid w:val="007C1897"/>
  </w:style>
  <w:style w:type="paragraph" w:styleId="Prrafodelista">
    <w:name w:val="List Paragraph"/>
    <w:basedOn w:val="Normal"/>
    <w:uiPriority w:val="34"/>
    <w:qFormat w:val="1"/>
    <w:rsid w:val="007C1897"/>
    <w:pPr>
      <w:ind w:left="720"/>
      <w:contextualSpacing w:val="1"/>
    </w:pPr>
  </w:style>
  <w:style w:type="character" w:styleId="TextocomentarioCar1" w:customStyle="1">
    <w:name w:val="Texto comentario Car1"/>
    <w:link w:val="Textocomentario"/>
    <w:uiPriority w:val="99"/>
    <w:rsid w:val="00BC7F92"/>
    <w:rPr>
      <w:rFonts w:ascii="Arial" w:hAnsi="Arial"/>
      <w:position w:val="-1"/>
      <w:lang w:eastAsia="en-US" w:val="en-US"/>
    </w:rPr>
  </w:style>
  <w:style w:type="character" w:styleId="apple-tab-span" w:customStyle="1">
    <w:name w:val="apple-tab-span"/>
    <w:basedOn w:val="Fuentedeprrafopredeter"/>
    <w:rsid w:val="00AA6F51"/>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s://www.bcrp.gob.pe/transparencia/datos-generales/normas-emitidas/circulares-" TargetMode="External"/><Relationship Id="rId10" Type="http://schemas.openxmlformats.org/officeDocument/2006/relationships/hyperlink" Target="https://www.bcrp.gob.pe/transparencia/datos-generales/normas-emitidas/circulares-" TargetMode="External"/><Relationship Id="rId13" Type="http://schemas.openxmlformats.org/officeDocument/2006/relationships/header" Target="header1.xml"/><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bcrp.gob.pe/transparencia/datos-generales/normas-emitidas/circulares-" TargetMode="External"/><Relationship Id="rId15" Type="http://schemas.openxmlformats.org/officeDocument/2006/relationships/footer" Target="footer3.xml"/><Relationship Id="rId14" Type="http://schemas.openxmlformats.org/officeDocument/2006/relationships/footer" Target="footer1.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gob.pe/osce" TargetMode="External"/><Relationship Id="rId8" Type="http://schemas.openxmlformats.org/officeDocument/2006/relationships/hyperlink" Target="https://www.bcrp.gob.pe/transparencia/datos-generales/normas-emitidas/circulares-vigentes.html#7.-Bancos-de-Primera-Categor%C3%AD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4.png"/><Relationship Id="rId3" Type="http://schemas.openxmlformats.org/officeDocument/2006/relationships/image" Target="media/image2.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4CleOXWsJ25OMUYkVpaFvW4WLA==">CgMxLjAyDmgud3AydXJlaXZxNG1qMgloLjFmb2I5dGUyCWguMzBqMHpsbDIOaC4ydXk2NzJsNml6NmYyDmguNjkweXRsOW9wZGQyMg5oLmZjZGo5bXJ5Zm5yejIJaC4zem55c2g3MghoLmdqZGd4czgAajcKFHN1Z2dlc3QuZ3g2ZzBsd2Z4azg4Eh9QYWJsbyBGcmFuY2lzY28gTEEgUk9TQSBTQU5DSEVaajcKFHN1Z2dlc3QubnZnNmd2cm90OHpmEh9QYWJsbyBGcmFuY2lzY28gTEEgUk9TQSBTQU5DSEVaai4KFHN1Z2dlc3QudzY5Nm5ieHlwMjF6EhZNYWJlbCBRVUlOVEVSTyBBR1VJTEFSajcKFHN1Z2dlc3QuOHQ4eG5pbWZoc2sxEh9QYWJsbyBGcmFuY2lzY28gTEEgUk9TQSBTQU5DSEVaajcKFHN1Z2dlc3QubThuaXl1YmR2eG80Eh9QYWJsbyBGcmFuY2lzY28gTEEgUk9TQSBTQU5DSEVaajcKFHN1Z2dlc3QucXdzZmlvdnZxbm4yEh9QYWJsbyBGcmFuY2lzY28gTEEgUk9TQSBTQU5DSEVaajcKFHN1Z2dlc3QuY2Fjc2tiM3k5ajZqEh9QYWJsbyBGcmFuY2lzY28gTEEgUk9TQSBTQU5DSEVaajYKFHN1Z2dlc3QubnpsYzdnOWl0aHM1Eh5IZWlkaSBCZXJ0aGlzIElUVVJSSVpBR0EgQ09SWk9qNgoUc3VnZ2VzdC51aTg1aXF3bmY3OGESHkhlaWRpIEJlcnRoaXMgSVRVUlJJWkFHQSBDT1JaT2o2ChRzdWdnZXN0LjhtM3V6ZWFvZWVwZRIeSGVpZGkgQmVydGhpcyBJVFVSUklaQUdBIENPUlpPajcKFHN1Z2dlc3QuYTlkZGltY3huandqEh9QYWJsbyBGcmFuY2lzY28gTEEgUk9TQSBTQU5DSEVaajcKFHN1Z2dlc3QuN2oxbXFpOTY5ZnJnEh9QYWJsbyBGcmFuY2lzY28gTEEgUk9TQSBTQU5DSEVaajYKFHN1Z2dlc3QucDNzZjYwa2xrZmVrEh5IZWlkaSBCZXJ0aGlzIElUVVJSSVpBR0EgQ09SWk9qNwoUc3VnZ2VzdC53eTFlNHJjZ2w2NmMSH1BhYmxvIEZyYW5jaXNjbyBMQSBST1NBIFNBTkNIRVpqNwoUc3VnZ2VzdC5kNDd2eWttZWZycW0SH1BhYmxvIEZyYW5jaXNjbyBMQSBST1NBIFNBTkNIRVpqNwoUc3VnZ2VzdC43M2xzMTRzeHk1aWwSH1BhYmxvIEZyYW5jaXNjbyBMQSBST1NBIFNBTkNIRVpqNgoTc3VnZ2VzdC41MmVjZmhkcGt6MRIfUGFibG8gRnJhbmNpc2NvIExBIFJPU0EgU0FOQ0hFWmo2ChNzdWdnZXN0LmFycTJycXpsN2lvEh9QYWJsbyBGcmFuY2lzY28gTEEgUk9TQSBTQU5DSEVaciExTHJtRDRuSkZ3UUFBWERueHdRODA2c19ONmlUc2NCZG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2022-05-12T20:50:00Z</dcterms:created>
  <dc:creator>Katia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0x010100D5A580BF74D1FD4397DD867DC9B475B7</vt:lpwstr>
  </property>
  <property fmtid="{D5CDD505-2E9C-101B-9397-08002B2CF9AE}" pid="3" name="PublishingExpirationDate">
    <vt:lpwstr/>
  </property>
  <property fmtid="{D5CDD505-2E9C-101B-9397-08002B2CF9AE}" pid="4" name="PublishingStartDate">
    <vt:lpwstr/>
  </property>
  <property fmtid="{D5CDD505-2E9C-101B-9397-08002B2CF9AE}" pid="5" name="TemplateUrl">
    <vt:lpwstr/>
  </property>
  <property fmtid="{D5CDD505-2E9C-101B-9397-08002B2CF9AE}" pid="6" name="Order">
    <vt:r8>26500.0</vt:r8>
  </property>
  <property fmtid="{D5CDD505-2E9C-101B-9397-08002B2CF9AE}" pid="7" name="xd_Signature">
    <vt:bool>false</vt:bool>
  </property>
  <property fmtid="{D5CDD505-2E9C-101B-9397-08002B2CF9AE}" pid="8" name="xd_ProgID">
    <vt:lpwstr/>
  </property>
  <property fmtid="{D5CDD505-2E9C-101B-9397-08002B2CF9AE}" pid="9" name="TaxKeyword">
    <vt:lpwstr/>
  </property>
  <property fmtid="{D5CDD505-2E9C-101B-9397-08002B2CF9AE}" pid="10" name="_CopySource">
    <vt:lpwstr>https://intra.unops.org/Practices/physical-infrastructure/Documents/Contracts_for_Works/ES_ITB_Measured_Price_Construction_Contract.docx</vt:lpwstr>
  </property>
  <property fmtid="{D5CDD505-2E9C-101B-9397-08002B2CF9AE}" pid="11" name="_SourceUrl">
    <vt:lpwstr/>
  </property>
  <property fmtid="{D5CDD505-2E9C-101B-9397-08002B2CF9AE}" pid="12" name="Contract Document">
    <vt:lpwstr>ITB</vt:lpwstr>
  </property>
  <property fmtid="{D5CDD505-2E9C-101B-9397-08002B2CF9AE}" pid="13" name="Works Contract Relevant">
    <vt:lpwstr>Yes</vt:lpwstr>
  </property>
  <property fmtid="{D5CDD505-2E9C-101B-9397-08002B2CF9AE}" pid="14" name="TaxCatchAll">
    <vt:lpwstr/>
  </property>
  <property fmtid="{D5CDD505-2E9C-101B-9397-08002B2CF9AE}" pid="15" name="Language">
    <vt:lpwstr/>
  </property>
  <property fmtid="{D5CDD505-2E9C-101B-9397-08002B2CF9AE}" pid="16" name="Document Type">
    <vt:lpwstr>Template</vt:lpwstr>
  </property>
  <property fmtid="{D5CDD505-2E9C-101B-9397-08002B2CF9AE}" pid="17" name="Contract Type">
    <vt:lpwstr/>
  </property>
  <property fmtid="{D5CDD505-2E9C-101B-9397-08002B2CF9AE}" pid="18" name="TaxKeywordTaxHTField">
    <vt:lpwstr/>
  </property>
  <property fmtid="{D5CDD505-2E9C-101B-9397-08002B2CF9AE}" pid="19" name="Field">
    <vt:lpwstr/>
  </property>
  <property fmtid="{D5CDD505-2E9C-101B-9397-08002B2CF9AE}" pid="20" name="Project Implementation Plan">
    <vt:lpwstr/>
  </property>
  <property fmtid="{D5CDD505-2E9C-101B-9397-08002B2CF9AE}" pid="21" name="Service Type">
    <vt:lpwstr/>
  </property>
  <property fmtid="{D5CDD505-2E9C-101B-9397-08002B2CF9AE}" pid="22" name="_Version">
    <vt:lpwstr/>
  </property>
  <property fmtid="{D5CDD505-2E9C-101B-9397-08002B2CF9AE}" pid="23" name="Type of Training">
    <vt:lpwstr/>
  </property>
  <property fmtid="{D5CDD505-2E9C-101B-9397-08002B2CF9AE}" pid="24" name="EMS Key Document">
    <vt:lpwstr/>
  </property>
  <property fmtid="{D5CDD505-2E9C-101B-9397-08002B2CF9AE}" pid="25" name="Template MoU">
    <vt:lpwstr/>
  </property>
</Properties>
</file>