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rPr>
          <w:b w:val="1"/>
          <w:sz w:val="24"/>
          <w:szCs w:val="24"/>
        </w:rPr>
      </w:pPr>
      <w:bookmarkStart w:colFirst="0" w:colLast="0" w:name="_heading=h.wj30cvsz97b1" w:id="1"/>
      <w:bookmarkEnd w:id="1"/>
      <w:r w:rsidDel="00000000" w:rsidR="00000000" w:rsidRPr="00000000">
        <w:rPr>
          <w:b w:val="1"/>
          <w:sz w:val="24"/>
          <w:szCs w:val="24"/>
          <w:rtl w:val="0"/>
        </w:rPr>
        <w:t xml:space="preserve">RFP </w:t>
      </w:r>
      <w:r w:rsidDel="00000000" w:rsidR="00000000" w:rsidRPr="00000000">
        <w:rPr>
          <w:b w:val="1"/>
          <w:i w:val="1"/>
          <w:sz w:val="24"/>
          <w:szCs w:val="24"/>
          <w:rtl w:val="0"/>
        </w:rPr>
        <w:t xml:space="preserve">ASEAN Power Grid Advancement Program (APG-AP)</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highlight w:val="white"/>
        </w:rPr>
      </w:pPr>
      <w:bookmarkStart w:colFirst="0" w:colLast="0" w:name="_heading=h.ryjw3svqk87a" w:id="2"/>
      <w:bookmarkEnd w:id="2"/>
      <w:r w:rsidDel="00000000" w:rsidR="00000000" w:rsidRPr="00000000">
        <w:rPr>
          <w:b w:val="1"/>
          <w:i w:val="0"/>
          <w:smallCaps w:val="0"/>
          <w:strike w:val="0"/>
          <w:color w:val="000000"/>
          <w:highlight w:val="white"/>
          <w:u w:val="none"/>
          <w:vertAlign w:val="baseline"/>
          <w:rtl w:val="0"/>
        </w:rPr>
        <w:t xml:space="preserve">eSourcing referen</w:t>
      </w:r>
      <w:r w:rsidDel="00000000" w:rsidR="00000000" w:rsidRPr="00000000">
        <w:rPr>
          <w:b w:val="1"/>
          <w:highlight w:val="white"/>
          <w:rtl w:val="0"/>
        </w:rPr>
        <w:t xml:space="preserve">ce: RFP/2023/48400</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 )</w:t>
            </w:r>
          </w:p>
          <w:p w:rsidR="00000000" w:rsidDel="00000000" w:rsidP="00000000" w:rsidRDefault="00000000" w:rsidRPr="00000000" w14:paraId="0000006A">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6D">
            <w:pPr>
              <w:numPr>
                <w:ilvl w:val="0"/>
                <w:numId w:val="3"/>
              </w:numPr>
              <w:ind w:left="720" w:hanging="360"/>
              <w:rPr>
                <w:i w:val="1"/>
                <w:color w:val="0000ff"/>
                <w:u w:val="none"/>
              </w:rPr>
            </w:pPr>
            <w:r w:rsidDel="00000000" w:rsidR="00000000" w:rsidRPr="00000000">
              <w:rPr>
                <w:rFonts w:ascii="Arial" w:cs="Arial" w:eastAsia="Arial" w:hAnsi="Arial"/>
                <w:i w:val="1"/>
                <w:color w:val="0000ff"/>
                <w:sz w:val="18"/>
                <w:szCs w:val="18"/>
                <w:highlight w:val="white"/>
                <w:rtl w:val="0"/>
              </w:rPr>
              <w:t xml:space="preserve">Experience in projects of comparable size, type, complexity and technical speciality</w:t>
            </w:r>
            <w:r w:rsidDel="00000000" w:rsidR="00000000" w:rsidRPr="00000000">
              <w:rPr>
                <w:rFonts w:ascii="Arial" w:cs="Arial" w:eastAsia="Arial" w:hAnsi="Arial"/>
                <w:i w:val="1"/>
                <w:color w:val="0000ff"/>
                <w:rtl w:val="0"/>
              </w:rPr>
              <w:t xml:space="preserve"> (10)</w:t>
            </w:r>
            <w:r w:rsidDel="00000000" w:rsidR="00000000" w:rsidRPr="00000000">
              <w:rPr>
                <w:rtl w:val="0"/>
              </w:rPr>
            </w:r>
          </w:p>
          <w:p w:rsidR="00000000" w:rsidDel="00000000" w:rsidP="00000000" w:rsidRDefault="00000000" w:rsidRPr="00000000" w14:paraId="0000006E">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sz w:val="18"/>
                <w:szCs w:val="18"/>
                <w:highlight w:val="white"/>
                <w:rtl w:val="0"/>
              </w:rPr>
              <w:t xml:space="preserve">Experience in providing similar services in the region (5)</w:t>
            </w:r>
            <w:r w:rsidDel="00000000" w:rsidR="00000000" w:rsidRPr="00000000">
              <w:rPr>
                <w:rtl w:val="0"/>
              </w:rPr>
            </w:r>
          </w:p>
          <w:p w:rsidR="00000000" w:rsidDel="00000000" w:rsidP="00000000" w:rsidRDefault="00000000" w:rsidRPr="00000000" w14:paraId="0000006F">
            <w:pPr>
              <w:numPr>
                <w:ilvl w:val="0"/>
                <w:numId w:val="3"/>
              </w:numPr>
              <w:ind w:left="720" w:hanging="360"/>
              <w:rPr>
                <w:i w:val="1"/>
                <w:color w:val="0000ff"/>
                <w:u w:val="none"/>
              </w:rPr>
            </w:pPr>
            <w:r w:rsidDel="00000000" w:rsidR="00000000" w:rsidRPr="00000000">
              <w:rPr>
                <w:rFonts w:ascii="Arial" w:cs="Arial" w:eastAsia="Arial" w:hAnsi="Arial"/>
                <w:i w:val="1"/>
                <w:color w:val="0000ff"/>
                <w:sz w:val="18"/>
                <w:szCs w:val="18"/>
                <w:highlight w:val="white"/>
                <w:rtl w:val="0"/>
              </w:rPr>
              <w:t xml:space="preserve">Understanding of ASEAN stakeholder institutions and policies/regulations in the context of energy (5)</w:t>
            </w:r>
            <w:r w:rsidDel="00000000" w:rsidR="00000000" w:rsidRPr="00000000">
              <w:rPr>
                <w:rtl w:val="0"/>
              </w:rPr>
            </w:r>
          </w:p>
          <w:p w:rsidR="00000000" w:rsidDel="00000000" w:rsidP="00000000" w:rsidRDefault="00000000" w:rsidRPr="00000000" w14:paraId="00000070">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72">
            <w:pPr>
              <w:rPr>
                <w:rFonts w:ascii="Arial" w:cs="Arial" w:eastAsia="Arial" w:hAnsi="Arial"/>
              </w:rPr>
            </w:pPr>
            <w:r w:rsidDel="00000000" w:rsidR="00000000" w:rsidRPr="00000000">
              <w:rPr>
                <w:rtl w:val="0"/>
              </w:rPr>
            </w:r>
          </w:p>
          <w:p w:rsidR="00000000" w:rsidDel="00000000" w:rsidP="00000000" w:rsidRDefault="00000000" w:rsidRPr="00000000" w14:paraId="00000073">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4">
            <w:pPr>
              <w:rPr>
                <w:rFonts w:ascii="Arial" w:cs="Arial" w:eastAsia="Arial" w:hAnsi="Arial"/>
              </w:rPr>
            </w:pPr>
            <w:r w:rsidDel="00000000" w:rsidR="00000000" w:rsidRPr="00000000">
              <w:rPr>
                <w:rtl w:val="0"/>
              </w:rPr>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w:t>
            </w:r>
          </w:p>
          <w:p w:rsidR="00000000" w:rsidDel="00000000" w:rsidP="00000000" w:rsidRDefault="00000000" w:rsidRPr="00000000" w14:paraId="00000079">
            <w:pPr>
              <w:spacing w:line="276" w:lineRule="auto"/>
              <w:rPr>
                <w:rFonts w:ascii="Arial" w:cs="Arial" w:eastAsia="Arial" w:hAnsi="Arial"/>
                <w:b w:val="1"/>
              </w:rPr>
            </w:pPr>
            <w:r w:rsidDel="00000000" w:rsidR="00000000" w:rsidRPr="00000000">
              <w:rPr>
                <w:rFonts w:ascii="Arial" w:cs="Arial" w:eastAsia="Arial" w:hAnsi="Arial"/>
                <w:rtl w:val="0"/>
              </w:rPr>
              <w:t xml:space="preserve">(Max 4 pages written text)</w:t>
            </w:r>
            <w:r w:rsidDel="00000000" w:rsidR="00000000" w:rsidRPr="00000000">
              <w:rPr>
                <w:rtl w:val="0"/>
              </w:rPr>
            </w:r>
          </w:p>
          <w:p w:rsidR="00000000" w:rsidDel="00000000" w:rsidP="00000000" w:rsidRDefault="00000000" w:rsidRPr="00000000" w14:paraId="0000007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D">
            <w:pPr>
              <w:numPr>
                <w:ilvl w:val="0"/>
                <w:numId w:val="5"/>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(3)</w:t>
            </w:r>
          </w:p>
          <w:p w:rsidR="00000000" w:rsidDel="00000000" w:rsidP="00000000" w:rsidRDefault="00000000" w:rsidRPr="00000000" w14:paraId="0000007E">
            <w:pPr>
              <w:numPr>
                <w:ilvl w:val="0"/>
                <w:numId w:val="5"/>
              </w:numPr>
              <w:ind w:left="720" w:hanging="360"/>
              <w:jc w:val="both"/>
              <w:rPr>
                <w:rFonts w:ascii="Open Sans" w:cs="Open Sans" w:eastAsia="Open Sans" w:hAnsi="Open Sans"/>
                <w:sz w:val="18"/>
                <w:szCs w:val="18"/>
                <w:u w:val="none"/>
              </w:rPr>
            </w:pPr>
            <w:r w:rsidDel="00000000" w:rsidR="00000000" w:rsidRPr="00000000">
              <w:rPr>
                <w:rFonts w:ascii="Arial" w:cs="Arial" w:eastAsia="Arial" w:hAnsi="Arial"/>
                <w:i w:val="1"/>
                <w:color w:val="0000ff"/>
                <w:rtl w:val="0"/>
              </w:rPr>
              <w:t xml:space="preserve">Financial Capacity/financial stability: Bidder should have minimum annual turnover of 500,000 USD in any of the past 2 years Liquidity / quick ratio should be minimum 1, in any of the past 2 years . </w:t>
            </w:r>
          </w:p>
          <w:p w:rsidR="00000000" w:rsidDel="00000000" w:rsidP="00000000" w:rsidRDefault="00000000" w:rsidRPr="00000000" w14:paraId="0000007F">
            <w:pPr>
              <w:ind w:left="72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In case of a joint venture, annual turnover is calculated based on the total annual turnover of the JV members. In case of a joint-venture, at least one of the JV members should have 1 liquidity/quick ratio in any of the past 2 years. (2)</w:t>
            </w:r>
          </w:p>
          <w:p w:rsidR="00000000" w:rsidDel="00000000" w:rsidP="00000000" w:rsidRDefault="00000000" w:rsidRPr="00000000" w14:paraId="00000080">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82">
            <w:pPr>
              <w:rPr>
                <w:rFonts w:ascii="Arial" w:cs="Arial" w:eastAsia="Arial" w:hAnsi="Arial"/>
              </w:rPr>
            </w:pPr>
            <w:r w:rsidDel="00000000" w:rsidR="00000000" w:rsidRPr="00000000">
              <w:rPr>
                <w:rtl w:val="0"/>
              </w:rPr>
            </w:r>
          </w:p>
          <w:p w:rsidR="00000000" w:rsidDel="00000000" w:rsidP="00000000" w:rsidRDefault="00000000" w:rsidRPr="00000000" w14:paraId="00000083">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4">
            <w:pPr>
              <w:rPr>
                <w:rFonts w:ascii="Arial" w:cs="Arial" w:eastAsia="Arial" w:hAnsi="Arial"/>
              </w:rPr>
            </w:pPr>
            <w:r w:rsidDel="00000000" w:rsidR="00000000" w:rsidRPr="00000000">
              <w:rPr>
                <w:rtl w:val="0"/>
              </w:rPr>
            </w:r>
          </w:p>
          <w:p w:rsidR="00000000" w:rsidDel="00000000" w:rsidP="00000000" w:rsidRDefault="00000000" w:rsidRPr="00000000" w14:paraId="00000085">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and methodology for meeting or exceeding the requirements of the Terms of Reference</w:t>
            </w:r>
          </w:p>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8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F">
            <w:pPr>
              <w:widowControl w:val="0"/>
              <w:numPr>
                <w:ilvl w:val="0"/>
                <w:numId w:val="6"/>
              </w:numPr>
              <w:spacing w:line="288" w:lineRule="auto"/>
              <w:ind w:left="720" w:hanging="360"/>
              <w:jc w:val="both"/>
              <w:rPr>
                <w:i w:val="1"/>
                <w:color w:val="0000ff"/>
              </w:rPr>
            </w:pPr>
            <w:r w:rsidDel="00000000" w:rsidR="00000000" w:rsidRPr="00000000">
              <w:rPr>
                <w:rFonts w:ascii="Arial" w:cs="Arial" w:eastAsia="Arial" w:hAnsi="Arial"/>
                <w:i w:val="1"/>
                <w:color w:val="0000ff"/>
                <w:rtl w:val="0"/>
              </w:rPr>
              <w:t xml:space="preserve">Description of the offeror’s approach to developing the ASEAN Power Grid Roadmap in the context of the current challenge of progressing APG from study to implementation  (10)</w:t>
            </w:r>
            <w:r w:rsidDel="00000000" w:rsidR="00000000" w:rsidRPr="00000000">
              <w:rPr>
                <w:rtl w:val="0"/>
              </w:rPr>
            </w:r>
          </w:p>
          <w:p w:rsidR="00000000" w:rsidDel="00000000" w:rsidP="00000000" w:rsidRDefault="00000000" w:rsidRPr="00000000" w14:paraId="00000090">
            <w:pPr>
              <w:widowControl w:val="0"/>
              <w:numPr>
                <w:ilvl w:val="0"/>
                <w:numId w:val="6"/>
              </w:numPr>
              <w:spacing w:after="240" w:before="240" w:lineRule="auto"/>
              <w:ind w:left="720" w:hanging="360"/>
              <w:jc w:val="both"/>
              <w:rPr>
                <w:i w:val="1"/>
                <w:color w:val="0000ff"/>
              </w:rPr>
            </w:pPr>
            <w:r w:rsidDel="00000000" w:rsidR="00000000" w:rsidRPr="00000000">
              <w:rPr>
                <w:rFonts w:ascii="Arial" w:cs="Arial" w:eastAsia="Arial" w:hAnsi="Arial"/>
                <w:i w:val="1"/>
                <w:color w:val="0000ff"/>
                <w:rtl w:val="0"/>
              </w:rPr>
              <w:t xml:space="preserve">Description of the offeror’s approach to developing the financing framework that can be monitored and used to ensure accountability and progress throughout the planning, preparation, and implementation processes. (5)</w:t>
            </w:r>
            <w:r w:rsidDel="00000000" w:rsidR="00000000" w:rsidRPr="00000000">
              <w:rPr>
                <w:rtl w:val="0"/>
              </w:rPr>
            </w:r>
          </w:p>
          <w:p w:rsidR="00000000" w:rsidDel="00000000" w:rsidP="00000000" w:rsidRDefault="00000000" w:rsidRPr="00000000" w14:paraId="00000091">
            <w:pPr>
              <w:widowControl w:val="0"/>
              <w:numPr>
                <w:ilvl w:val="0"/>
                <w:numId w:val="6"/>
              </w:numPr>
              <w:spacing w:line="288" w:lineRule="auto"/>
              <w:ind w:left="720" w:hanging="360"/>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offeror’s plan to coordinate with the relevant actors involved under ASEAN Power Grid Advancement Program (APG-AP) (5)</w:t>
            </w:r>
          </w:p>
          <w:p w:rsidR="00000000" w:rsidDel="00000000" w:rsidP="00000000" w:rsidRDefault="00000000" w:rsidRPr="00000000" w14:paraId="00000092">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94">
            <w:pPr>
              <w:rPr>
                <w:rFonts w:ascii="Arial" w:cs="Arial" w:eastAsia="Arial" w:hAnsi="Arial"/>
              </w:rPr>
            </w:pPr>
            <w:r w:rsidDel="00000000" w:rsidR="00000000" w:rsidRPr="00000000">
              <w:rPr>
                <w:rtl w:val="0"/>
              </w:rPr>
            </w:r>
          </w:p>
          <w:p w:rsidR="00000000" w:rsidDel="00000000" w:rsidP="00000000" w:rsidRDefault="00000000" w:rsidRPr="00000000" w14:paraId="00000095">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6">
            <w:pPr>
              <w:rPr>
                <w:rFonts w:ascii="Arial" w:cs="Arial" w:eastAsia="Arial" w:hAnsi="Arial"/>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spacing w:line="276" w:lineRule="auto"/>
              <w:rPr>
                <w:rFonts w:ascii="Arial" w:cs="Arial" w:eastAsia="Arial" w:hAnsi="Arial"/>
              </w:rPr>
            </w:pPr>
            <w:r w:rsidDel="00000000" w:rsidR="00000000" w:rsidRPr="00000000">
              <w:rPr>
                <w:rFonts w:ascii="Arial" w:cs="Arial" w:eastAsia="Arial" w:hAnsi="Arial"/>
                <w:rtl w:val="0"/>
              </w:rPr>
              <w:t xml:space="preserve">Quality Assurance Plan: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Quality Assurance Plan (5)</w:t>
            </w:r>
          </w:p>
          <w:p w:rsidR="00000000" w:rsidDel="00000000" w:rsidP="00000000" w:rsidRDefault="00000000" w:rsidRPr="00000000" w14:paraId="0000009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9F">
            <w:pPr>
              <w:rPr>
                <w:rFonts w:ascii="Arial" w:cs="Arial" w:eastAsia="Arial" w:hAnsi="Arial"/>
              </w:rPr>
            </w:pPr>
            <w:r w:rsidDel="00000000" w:rsidR="00000000" w:rsidRPr="00000000">
              <w:rPr>
                <w:rtl w:val="0"/>
              </w:rPr>
            </w:r>
          </w:p>
          <w:p w:rsidR="00000000" w:rsidDel="00000000" w:rsidP="00000000" w:rsidRDefault="00000000" w:rsidRPr="00000000" w14:paraId="000000A0">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6">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7">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8">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(5)</w:t>
            </w:r>
          </w:p>
          <w:p w:rsidR="00000000" w:rsidDel="00000000" w:rsidP="00000000" w:rsidRDefault="00000000" w:rsidRPr="00000000" w14:paraId="000000A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rFonts w:ascii="Arial" w:cs="Arial" w:eastAsia="Arial" w:hAnsi="Arial"/>
                <w:b w:val="1"/>
              </w:rPr>
            </w:pPr>
            <w:r w:rsidDel="00000000" w:rsidR="00000000" w:rsidRPr="00000000">
              <w:rPr>
                <w:rFonts w:ascii="Arial" w:cs="Arial" w:eastAsia="Arial" w:hAnsi="Arial"/>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rFonts w:ascii="Arial" w:cs="Arial" w:eastAsia="Arial" w:hAnsi="Arial"/>
                <w:i w:val="1"/>
                <w:color w:val="4a86e8"/>
              </w:rPr>
            </w:pPr>
            <w:r w:rsidDel="00000000" w:rsidR="00000000" w:rsidRPr="00000000">
              <w:rPr>
                <w:rFonts w:ascii="Arial" w:cs="Arial" w:eastAsia="Arial" w:hAnsi="Arial"/>
                <w:i w:val="1"/>
                <w:color w:val="4a86e8"/>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7">
            <w:pPr>
              <w:widowControl w:val="0"/>
              <w:spacing w:line="276" w:lineRule="auto"/>
              <w:rPr>
                <w:rFonts w:ascii="Arial" w:cs="Arial" w:eastAsia="Arial" w:hAnsi="Arial"/>
                <w:b w:val="1"/>
                <w:i w:val="1"/>
                <w:color w:val="0000ff"/>
              </w:rPr>
            </w:pPr>
            <w:r w:rsidDel="00000000" w:rsidR="00000000" w:rsidRPr="00000000">
              <w:rPr>
                <w:rFonts w:ascii="Arial" w:cs="Arial" w:eastAsia="Arial" w:hAnsi="Arial"/>
                <w:i w:val="1"/>
                <w:color w:val="0000ff"/>
                <w:rtl w:val="0"/>
              </w:rPr>
              <w:t xml:space="preserve">Qualifications of key personnel proposed</w:t>
            </w:r>
            <w:r w:rsidDel="00000000" w:rsidR="00000000" w:rsidRPr="00000000">
              <w:rPr>
                <w:rtl w:val="0"/>
              </w:rPr>
            </w:r>
          </w:p>
          <w:p w:rsidR="00000000" w:rsidDel="00000000" w:rsidP="00000000" w:rsidRDefault="00000000" w:rsidRPr="00000000" w14:paraId="000000B8">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9">
            <w:pPr>
              <w:rPr>
                <w:rFonts w:ascii="Arial" w:cs="Arial" w:eastAsia="Arial" w:hAnsi="Arial"/>
                <w:i w:val="1"/>
                <w:highlight w:val="yellow"/>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rFonts w:ascii="Arial" w:cs="Arial" w:eastAsia="Arial" w:hAnsi="Arial"/>
                <w:i w:val="1"/>
                <w:color w:val="4a86e8"/>
                <w:highlight w:val="yellow"/>
              </w:rPr>
            </w:pPr>
            <w:r w:rsidDel="00000000" w:rsidR="00000000" w:rsidRPr="00000000">
              <w:rPr>
                <w:rtl w:val="0"/>
              </w:rPr>
            </w:r>
          </w:p>
          <w:tbl>
            <w:tblPr>
              <w:tblStyle w:val="Table5"/>
              <w:tblW w:w="84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65"/>
              <w:gridCol w:w="1815"/>
              <w:gridCol w:w="1845"/>
              <w:gridCol w:w="2220"/>
              <w:tblGridChange w:id="0">
                <w:tblGrid>
                  <w:gridCol w:w="2565"/>
                  <w:gridCol w:w="1815"/>
                  <w:gridCol w:w="1845"/>
                  <w:gridCol w:w="2220"/>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Location throughout the Project </w:t>
                  </w:r>
                </w:p>
              </w:tc>
              <w:tc>
                <w:tcPr>
                  <w:shd w:fill="d9d9d9" w:val="clear"/>
                </w:tcPr>
                <w:p w:rsidR="00000000" w:rsidDel="00000000" w:rsidP="00000000" w:rsidRDefault="00000000" w:rsidRPr="00000000" w14:paraId="000000BE">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Allocated Number of Working Days during the Project </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0">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i w:val="1"/>
                      <w:highlight w:val="yellow"/>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4">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i w:val="1"/>
                      <w:highlight w:val="yellow"/>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7">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8">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A">
                  <w:pPr>
                    <w:jc w:val="center"/>
                    <w:rPr>
                      <w:rFonts w:ascii="Arial" w:cs="Arial" w:eastAsia="Arial" w:hAnsi="Arial"/>
                      <w:i w:val="1"/>
                      <w:highlight w:val="yellow"/>
                    </w:rPr>
                  </w:pPr>
                  <w:r w:rsidDel="00000000" w:rsidR="00000000" w:rsidRPr="00000000">
                    <w:rPr>
                      <w:rtl w:val="0"/>
                    </w:rPr>
                  </w:r>
                </w:p>
              </w:tc>
            </w:tr>
          </w:tbl>
          <w:p w:rsidR="00000000" w:rsidDel="00000000" w:rsidP="00000000" w:rsidRDefault="00000000" w:rsidRPr="00000000" w14:paraId="000000CB">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C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C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Project lead (6)</w:t>
            </w:r>
          </w:p>
          <w:p w:rsidR="00000000" w:rsidDel="00000000" w:rsidP="00000000" w:rsidRDefault="00000000" w:rsidRPr="00000000" w14:paraId="000000C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International Power Sector Policy Expert (3.5)</w:t>
            </w:r>
          </w:p>
          <w:p w:rsidR="00000000" w:rsidDel="00000000" w:rsidP="00000000" w:rsidRDefault="00000000" w:rsidRPr="00000000" w14:paraId="000000D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International Transmission Expert (3.5)</w:t>
            </w:r>
          </w:p>
          <w:p w:rsidR="00000000" w:rsidDel="00000000" w:rsidP="00000000" w:rsidRDefault="00000000" w:rsidRPr="00000000" w14:paraId="000000D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Energy Economics and Finance Expert (3.5)</w:t>
            </w:r>
          </w:p>
          <w:p w:rsidR="00000000" w:rsidDel="00000000" w:rsidP="00000000" w:rsidRDefault="00000000" w:rsidRPr="00000000" w14:paraId="000000D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Energy Modeling Expert (3.5)</w:t>
            </w:r>
          </w:p>
          <w:p w:rsidR="00000000" w:rsidDel="00000000" w:rsidP="00000000" w:rsidRDefault="00000000" w:rsidRPr="00000000" w14:paraId="000000D3">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6">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7">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8">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9">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DB">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E">
            <w:pPr>
              <w:rPr>
                <w:rFonts w:ascii="Arial" w:cs="Arial" w:eastAsia="Arial" w:hAnsi="Arial"/>
                <w:color w:val="0000ff"/>
              </w:rPr>
            </w:pPr>
            <w:r w:rsidDel="00000000" w:rsidR="00000000" w:rsidRPr="00000000">
              <w:rPr>
                <w:rFonts w:ascii="Arial" w:cs="Arial" w:eastAsia="Arial" w:hAnsi="Arial"/>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F">
            <w:pPr>
              <w:rPr>
                <w:rFonts w:ascii="Arial" w:cs="Arial" w:eastAsia="Arial" w:hAnsi="Arial"/>
              </w:rPr>
            </w:pPr>
            <w:r w:rsidDel="00000000" w:rsidR="00000000" w:rsidRPr="00000000">
              <w:rPr>
                <w:rFonts w:ascii="Arial" w:cs="Arial" w:eastAsia="Arial" w:hAnsi="Arial"/>
                <w:i w:val="1"/>
                <w:color w:val="0000ff"/>
                <w:rtl w:val="0"/>
              </w:rPr>
              <w:t xml:space="preserve">Total Point 5</w:t>
            </w:r>
            <w:r w:rsidDel="00000000" w:rsidR="00000000" w:rsidRPr="00000000">
              <w:rPr>
                <w:rtl w:val="0"/>
              </w:rPr>
            </w:r>
          </w:p>
          <w:p w:rsidR="00000000" w:rsidDel="00000000" w:rsidP="00000000" w:rsidRDefault="00000000" w:rsidRPr="00000000" w14:paraId="000000E0">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highlight w:val="lightGray"/>
        </w:rPr>
      </w:pPr>
      <w:r w:rsidDel="00000000" w:rsidR="00000000" w:rsidRPr="00000000">
        <w:rPr>
          <w:rtl w:val="0"/>
        </w:rPr>
      </w:r>
    </w:p>
    <w:p w:rsidR="00000000" w:rsidDel="00000000" w:rsidP="00000000" w:rsidRDefault="00000000" w:rsidRPr="00000000" w14:paraId="000000E3">
      <w:pPr>
        <w:rPr>
          <w:highlight w:val="lightGray"/>
        </w:rPr>
      </w:pPr>
      <w:r w:rsidDel="00000000" w:rsidR="00000000" w:rsidRPr="00000000">
        <w:rPr>
          <w:rtl w:val="0"/>
        </w:rPr>
      </w:r>
    </w:p>
    <w:p w:rsidR="00000000" w:rsidDel="00000000" w:rsidP="00000000" w:rsidRDefault="00000000" w:rsidRPr="00000000" w14:paraId="000000E4">
      <w:pPr>
        <w:rPr>
          <w:highlight w:val="lightGray"/>
        </w:rPr>
      </w:pPr>
      <w:r w:rsidDel="00000000" w:rsidR="00000000" w:rsidRPr="00000000">
        <w:rPr>
          <w:rtl w:val="0"/>
        </w:rPr>
      </w:r>
    </w:p>
    <w:p w:rsidR="00000000" w:rsidDel="00000000" w:rsidP="00000000" w:rsidRDefault="00000000" w:rsidRPr="00000000" w14:paraId="000000E5">
      <w:pPr>
        <w:rPr>
          <w:highlight w:val="lightGray"/>
        </w:rPr>
      </w:pPr>
      <w:r w:rsidDel="00000000" w:rsidR="00000000" w:rsidRPr="00000000">
        <w:rPr>
          <w:rtl w:val="0"/>
        </w:rPr>
      </w:r>
    </w:p>
    <w:p w:rsidR="00000000" w:rsidDel="00000000" w:rsidP="00000000" w:rsidRDefault="00000000" w:rsidRPr="00000000" w14:paraId="000000E6">
      <w:pPr>
        <w:rPr>
          <w:highlight w:val="lightGray"/>
        </w:rPr>
      </w:pPr>
      <w:r w:rsidDel="00000000" w:rsidR="00000000" w:rsidRPr="00000000">
        <w:rPr>
          <w:rtl w:val="0"/>
        </w:rPr>
      </w:r>
    </w:p>
    <w:p w:rsidR="00000000" w:rsidDel="00000000" w:rsidP="00000000" w:rsidRDefault="00000000" w:rsidRPr="00000000" w14:paraId="000000E7">
      <w:pPr>
        <w:rPr>
          <w:highlight w:val="lightGray"/>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B">
      <w:pPr>
        <w:tabs>
          <w:tab w:val="left" w:leader="none" w:pos="720"/>
        </w:tabs>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F">
      <w:pPr>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1">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8">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9">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7">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8">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9">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A">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B">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D">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E">
            <w:pPr>
              <w:jc w:val="center"/>
              <w:rPr>
                <w:rFonts w:ascii="Arial" w:cs="Arial" w:eastAsia="Arial" w:hAnsi="Arial"/>
                <w:b w:val="1"/>
              </w:rPr>
            </w:pPr>
            <w:r w:rsidDel="00000000" w:rsidR="00000000" w:rsidRPr="00000000">
              <w:rPr>
                <w:rFonts w:ascii="Arial" w:cs="Arial" w:eastAsia="Arial" w:hAnsi="Arial"/>
                <w:b w:val="1"/>
                <w:rtl w:val="0"/>
              </w:rPr>
              <w:t xml:space="preserve">Was the supply of service satisfactory?</w:t>
            </w:r>
          </w:p>
        </w:tc>
      </w:tr>
      <w:tr>
        <w:trPr>
          <w:cantSplit w:val="0"/>
          <w:tblHeader w:val="0"/>
        </w:trPr>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33">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34">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r>
    </w:tbl>
    <w:p w:rsidR="00000000" w:rsidDel="00000000" w:rsidP="00000000" w:rsidRDefault="00000000" w:rsidRPr="00000000" w14:paraId="00000157">
      <w:pPr>
        <w:ind w:left="1598" w:hanging="1598"/>
        <w:jc w:val="both"/>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sz w:val="22"/>
          <w:szCs w:val="22"/>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955"/>
      <w:gridCol w:w="4815"/>
      <w:tblGridChange w:id="0">
        <w:tblGrid>
          <w:gridCol w:w="14955"/>
          <w:gridCol w:w="4815"/>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0xJahcI5wKAT1uZpl0ZQq095Jg==">CgMxLjAyDmguYnEzbW1nMmlsZ3VkMg5oLndqMzBjdnN6OTdiMTIOaC5yeWp3M3N2cWs4N2EyDmguZGo1N3p4azJoajBtOAByITFBb1R2eVV4ZkhvUUZNNVdBMjNGX0JVTHJWZWFESTVzMw==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