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1"/>
        <w:ind w:left="0" w:firstLine="0"/>
        <w:rPr>
          <w:rFonts w:ascii="Century Gothic" w:cs="Century Gothic" w:eastAsia="Century Gothic" w:hAnsi="Century Gothic"/>
          <w:b w:val="1"/>
          <w:color w:val="5292c9"/>
          <w:sz w:val="28"/>
          <w:szCs w:val="2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color w:val="5292c9"/>
          <w:sz w:val="28"/>
          <w:szCs w:val="28"/>
          <w:rtl w:val="0"/>
        </w:rPr>
        <w:t xml:space="preserve">Anexo B: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Century Gothic" w:cs="Century Gothic" w:eastAsia="Century Gothic" w:hAnsi="Century Gothic"/>
          <w:b w:val="1"/>
          <w:color w:val="5292c9"/>
          <w:sz w:val="28"/>
          <w:szCs w:val="28"/>
          <w:rtl w:val="0"/>
        </w:rPr>
        <w:t xml:space="preserve">Plazos y precios referenciales</w:t>
      </w:r>
    </w:p>
    <w:p w:rsidR="00000000" w:rsidDel="00000000" w:rsidP="00000000" w:rsidRDefault="00000000" w:rsidRPr="00000000" w14:paraId="00000002">
      <w:pPr>
        <w:rPr>
          <w:rFonts w:ascii="Century Gothic" w:cs="Century Gothic" w:eastAsia="Century Gothic" w:hAnsi="Century Gothic"/>
          <w:sz w:val="20"/>
          <w:szCs w:val="20"/>
        </w:rPr>
      </w:pPr>
      <w:r w:rsidDel="00000000" w:rsidR="00000000" w:rsidRPr="00000000">
        <w:rPr>
          <w:rFonts w:ascii="Century Gothic" w:cs="Century Gothic" w:eastAsia="Century Gothic" w:hAnsi="Century Gothic"/>
          <w:sz w:val="20"/>
          <w:szCs w:val="20"/>
          <w:rtl w:val="0"/>
        </w:rPr>
        <w:t xml:space="preserve">Por favor indicar el plazo de implementación y el precio referencial del software, hardware y servicios incluidos en su propuesta.</w:t>
      </w:r>
    </w:p>
    <w:p w:rsidR="00000000" w:rsidDel="00000000" w:rsidP="00000000" w:rsidRDefault="00000000" w:rsidRPr="00000000" w14:paraId="00000003">
      <w:pPr>
        <w:rPr>
          <w:rFonts w:ascii="Century Gothic" w:cs="Century Gothic" w:eastAsia="Century Gothic" w:hAnsi="Century Gothic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17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175"/>
        <w:gridCol w:w="1995"/>
        <w:gridCol w:w="2070"/>
        <w:gridCol w:w="1680"/>
        <w:gridCol w:w="2040"/>
        <w:gridCol w:w="1785"/>
        <w:gridCol w:w="2430"/>
        <w:tblGridChange w:id="0">
          <w:tblGrid>
            <w:gridCol w:w="2175"/>
            <w:gridCol w:w="1995"/>
            <w:gridCol w:w="2070"/>
            <w:gridCol w:w="1680"/>
            <w:gridCol w:w="2040"/>
            <w:gridCol w:w="1785"/>
            <w:gridCol w:w="2430"/>
          </w:tblGrid>
        </w:tblGridChange>
      </w:tblGrid>
      <w:tr>
        <w:trPr>
          <w:cantSplit w:val="0"/>
          <w:tblHeader w:val="1"/>
        </w:trPr>
        <w:tc>
          <w:tcPr>
            <w:shd w:fill="5292c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4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Componentes del proyecto</w:t>
            </w:r>
          </w:p>
        </w:tc>
        <w:tc>
          <w:tcPr>
            <w:shd w:fill="5292c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Modalidad de Licenciamiento</w:t>
            </w:r>
          </w:p>
        </w:tc>
        <w:tc>
          <w:tcPr>
            <w:shd w:fill="5292c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Plazo de implementación</w:t>
            </w:r>
          </w:p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(días calendario)</w:t>
            </w:r>
          </w:p>
        </w:tc>
        <w:tc>
          <w:tcPr>
            <w:shd w:fill="5292c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Cantidad</w:t>
            </w:r>
          </w:p>
        </w:tc>
        <w:tc>
          <w:tcPr>
            <w:shd w:fill="5292c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Precio referencial en dólares americanos (USD) por unidad</w:t>
            </w:r>
          </w:p>
        </w:tc>
        <w:tc>
          <w:tcPr>
            <w:shd w:fill="5292c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Precio referencial en dólares americanos (USD) </w:t>
            </w:r>
          </w:p>
          <w:p w:rsidR="00000000" w:rsidDel="00000000" w:rsidP="00000000" w:rsidRDefault="00000000" w:rsidRPr="00000000" w14:paraId="0000000B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total </w:t>
            </w:r>
          </w:p>
        </w:tc>
        <w:tc>
          <w:tcPr>
            <w:shd w:fill="5292c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jc w:val="center"/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color w:val="ffffff"/>
                <w:sz w:val="18"/>
                <w:szCs w:val="18"/>
                <w:rtl w:val="0"/>
              </w:rPr>
              <w:t xml:space="preserve">Observaciones </w:t>
            </w:r>
          </w:p>
        </w:tc>
      </w:tr>
      <w:tr>
        <w:trPr>
          <w:cantSplit w:val="0"/>
          <w:tblHeader w:val="0"/>
        </w:trPr>
        <w:tc>
          <w:tcPr>
            <w:gridSpan w:val="6"/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18"/>
                <w:szCs w:val="18"/>
                <w:rtl w:val="0"/>
              </w:rPr>
              <w:t xml:space="preserve">Software</w:t>
            </w:r>
          </w:p>
        </w:tc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3">
            <w:pPr>
              <w:widowControl w:val="0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4">
            <w:pPr>
              <w:widowControl w:val="0"/>
              <w:numPr>
                <w:ilvl w:val="0"/>
                <w:numId w:val="1"/>
              </w:numPr>
              <w:spacing w:line="240" w:lineRule="auto"/>
              <w:ind w:hanging="360"/>
              <w:rPr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Estación de Trabajo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numPr>
                <w:ilvl w:val="0"/>
                <w:numId w:val="1"/>
              </w:numPr>
              <w:spacing w:line="240" w:lineRule="auto"/>
              <w:ind w:hanging="360"/>
              <w:rPr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RIS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2">
            <w:pPr>
              <w:widowControl w:val="0"/>
              <w:numPr>
                <w:ilvl w:val="0"/>
                <w:numId w:val="1"/>
              </w:numPr>
              <w:spacing w:line="240" w:lineRule="auto"/>
              <w:ind w:hanging="360"/>
              <w:rPr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PACS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9">
            <w:pPr>
              <w:numPr>
                <w:ilvl w:val="0"/>
                <w:numId w:val="1"/>
              </w:numPr>
              <w:spacing w:line="240" w:lineRule="auto"/>
              <w:ind w:hanging="360"/>
              <w:rPr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DICOM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  <w:rtl w:val="0"/>
              </w:rPr>
              <w:t xml:space="preserve">VNA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  <w:highlight w:val="yellow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Agregar otro software base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6"/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18"/>
                <w:szCs w:val="18"/>
                <w:rtl w:val="0"/>
              </w:rPr>
              <w:t xml:space="preserve">Hardware</w:t>
            </w:r>
          </w:p>
        </w:tc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  <w:rtl w:val="0"/>
              </w:rPr>
              <w:t xml:space="preserve">Servidores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C">
            <w:pPr>
              <w:spacing w:line="240" w:lineRule="auto"/>
              <w:jc w:val="both"/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  <w:rtl w:val="0"/>
              </w:rPr>
              <w:t xml:space="preserve">Monitores Grado Médico de 2MP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3">
            <w:pPr>
              <w:spacing w:line="240" w:lineRule="auto"/>
              <w:jc w:val="both"/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  <w:rtl w:val="0"/>
              </w:rPr>
              <w:t xml:space="preserve">Monitores Radiológico general de 5MP con alcance de mastografía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A">
            <w:pPr>
              <w:spacing w:line="240" w:lineRule="auto"/>
              <w:jc w:val="both"/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  <w:rtl w:val="0"/>
              </w:rPr>
              <w:t xml:space="preserve">Monitores radiológico general de 12 MP con alcance para TC y RM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  <w:rtl w:val="0"/>
              </w:rPr>
              <w:t xml:space="preserve">Tarjeta de video con capacidad de manejar monitores de grado médico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highlight w:val="white"/>
                <w:rtl w:val="0"/>
              </w:rPr>
              <w:t xml:space="preserve">Estaciones de trabajo para los monitores de grado médico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Agregar otro hardware, software. ( PCs, antivirus, etc.)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18"/>
                <w:szCs w:val="18"/>
                <w:rtl w:val="0"/>
              </w:rPr>
              <w:t xml:space="preserve">Servicios</w:t>
            </w:r>
          </w:p>
        </w:tc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b8cce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D">
            <w:pPr>
              <w:tabs>
                <w:tab w:val="left" w:leader="none" w:pos="-720"/>
                <w:tab w:val="left" w:leader="none" w:pos="0"/>
                <w:tab w:val="left" w:leader="none" w:pos="720"/>
                <w:tab w:val="right" w:leader="none" w:pos="8640"/>
              </w:tabs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Traslado y entrega (Incoterm DDP), Instalación e implementación de los equipos.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Adecuación, personalización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Integración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8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Instalación e Implementación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Migración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Capacitación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Transferencia de conocimiento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Soporte técnico local (Post producción)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Garantía de fabricación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9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A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18"/>
                <w:szCs w:val="18"/>
                <w:rtl w:val="0"/>
              </w:rPr>
              <w:t xml:space="preserve">El participante podrá agregar otros servicios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D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0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3">
      <w:pPr>
        <w:spacing w:line="240" w:lineRule="auto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rPr>
          <w:rFonts w:ascii="Open Sans" w:cs="Open Sans" w:eastAsia="Open Sans" w:hAnsi="Open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spacing w:line="240" w:lineRule="auto"/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ourier New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  <w:font w:name="Century Gothic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9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419"/>
        <w:tab w:val="right" w:leader="none" w:pos="8838"/>
      </w:tabs>
      <w:spacing w:line="240" w:lineRule="auto"/>
      <w:rPr>
        <w:color w:val="000000"/>
      </w:rPr>
    </w:pPr>
    <w:r w:rsidDel="00000000" w:rsidR="00000000" w:rsidRPr="00000000">
      <w:rPr/>
      <w:drawing>
        <wp:inline distB="0" distT="0" distL="0" distR="0">
          <wp:extent cx="1290638" cy="353303"/>
          <wp:effectExtent b="0" l="0" r="0" t="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290638" cy="35330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color w:val="000000"/>
        <w:rtl w:val="0"/>
      </w:rPr>
      <w:t xml:space="preserve">            </w:t>
      <w:tab/>
      <w:tab/>
      <w:tab/>
      <w:tab/>
      <w:tab/>
      <w:tab/>
      <w:tab/>
    </w:r>
    <w:r w:rsidDel="00000000" w:rsidR="00000000" w:rsidRPr="00000000">
      <w:rPr>
        <w:rFonts w:ascii="Open Sans" w:cs="Open Sans" w:eastAsia="Open Sans" w:hAnsi="Open Sans"/>
        <w:sz w:val="20"/>
        <w:szCs w:val="20"/>
        <w:rtl w:val="0"/>
      </w:rPr>
      <w:t xml:space="preserve">RFI/2023/47426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419"/>
        <w:tab w:val="right" w:leader="none" w:pos="8838"/>
      </w:tabs>
      <w:spacing w:line="240" w:lineRule="auto"/>
      <w:rPr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-G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pPr>
      <w:spacing w:line="240" w:lineRule="auto"/>
    </w:pPr>
    <w:rPr>
      <w:rFonts w:ascii="Arial Narrow" w:cs="Arial Narrow" w:eastAsia="Arial Narrow" w:hAnsi="Arial Narrow"/>
      <w:sz w:val="20"/>
      <w:szCs w:val="20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CenturyGothic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9" Type="http://schemas.openxmlformats.org/officeDocument/2006/relationships/font" Target="fonts/CenturyGothic-italic.ttf"/><Relationship Id="rId14" Type="http://schemas.openxmlformats.org/officeDocument/2006/relationships/font" Target="fonts/OpenSans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CenturyGothic-regular.ttf"/><Relationship Id="rId8" Type="http://schemas.openxmlformats.org/officeDocument/2006/relationships/font" Target="fonts/CenturyGothic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