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  <w:t xml:space="preserve">RFQ/2023/47766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highlight w:val="lightGray"/>
        </w:rPr>
      </w:pPr>
      <w:bookmarkStart w:colFirst="0" w:colLast="0" w:name="_heading=h.gjdgxs" w:id="0"/>
      <w:bookmarkEnd w:id="0"/>
      <w:r w:rsidDel="00000000" w:rsidR="00000000" w:rsidRPr="00000000">
        <w:rPr>
          <w:highlight w:val="lightGray"/>
        </w:rPr>
        <w:drawing>
          <wp:inline distB="0" distT="0" distL="0" distR="0">
            <wp:extent cx="5659526" cy="7940750"/>
            <wp:effectExtent b="0" l="0" r="0" t="0"/>
            <wp:docPr id="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9526" cy="7940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9" w:w="11907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1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1"/>
        <w:i w:val="1"/>
        <w:smallCaps w:val="0"/>
        <w:strike w:val="0"/>
        <w:color w:val="ff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1"/>
              <w:smallCaps w:val="0"/>
              <w:strike w:val="0"/>
              <w:color w:val="ff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3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47766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LP5RbGwdTAKUebuRRQZ18BUr0Q==">CgMxLjAyCGguZ2pkZ3hzOAByITFsYXh6NndOZEEybVAtTTJseVhDWE43VTg3Q01HY24yWQ==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2020-06-15T08:40:00Z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