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spacing w:after="200" w:line="276" w:lineRule="auto"/>
        <w:rPr>
          <w:rFonts w:ascii="Open Sans" w:cs="Open Sans" w:eastAsia="Open Sans" w:hAnsi="Open Sans"/>
          <w:b w:val="1"/>
          <w:color w:val="0095d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eSourcing reference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RFP2023/47581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200" w:line="360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360" w:lineRule="auto"/>
        <w:ind w:left="144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360" w:lineRule="auto"/>
        <w:ind w:left="144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360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after="0" w:line="360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: UNOPS sample contract for Professional Services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sample Contract for Professional Services </w:t>
      </w:r>
      <w:r w:rsidDel="00000000" w:rsidR="00000000" w:rsidRPr="00000000">
        <w:rPr>
          <w:b w:val="1"/>
          <w:rtl w:val="0"/>
        </w:rPr>
        <w:t xml:space="preserve">template is included in this RFP by this reference and is attached as a separate PDF document.</w:t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CWZpQ94xjEBJA32CI+/nqVneoQ==">CgMxLjAyCGguZ2pkZ3hzMghoLmdqZGd4czgAciExa3hwaWFsamRHZG1KSDdSYjFqdnNoUFRJWi10MXlmUDk=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