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A37AB" w14:textId="77777777" w:rsidR="001C5F84" w:rsidRDefault="001C5F84" w:rsidP="001C5F84">
      <w:pPr>
        <w:pStyle w:val="Default"/>
      </w:pPr>
    </w:p>
    <w:tbl>
      <w:tblPr>
        <w:tblW w:w="10350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440"/>
        <w:gridCol w:w="3330"/>
        <w:gridCol w:w="4860"/>
      </w:tblGrid>
      <w:tr w:rsidR="001C5F84" w14:paraId="47810BDA" w14:textId="7BCEC496" w:rsidTr="00EE3EE3">
        <w:trPr>
          <w:trHeight w:val="208"/>
        </w:trPr>
        <w:tc>
          <w:tcPr>
            <w:tcW w:w="720" w:type="dxa"/>
          </w:tcPr>
          <w:p w14:paraId="4EF665F9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6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No. </w:t>
            </w:r>
          </w:p>
        </w:tc>
        <w:tc>
          <w:tcPr>
            <w:tcW w:w="1440" w:type="dxa"/>
          </w:tcPr>
          <w:p w14:paraId="5DB2ECE7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RFP Section reference </w:t>
            </w:r>
          </w:p>
        </w:tc>
        <w:tc>
          <w:tcPr>
            <w:tcW w:w="3330" w:type="dxa"/>
          </w:tcPr>
          <w:p w14:paraId="343745E4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Question </w:t>
            </w:r>
          </w:p>
        </w:tc>
        <w:tc>
          <w:tcPr>
            <w:tcW w:w="4860" w:type="dxa"/>
          </w:tcPr>
          <w:p w14:paraId="4658ACF9" w14:textId="6295DA7D" w:rsidR="001C5F84" w:rsidRPr="00D36FFA" w:rsidRDefault="001C5F84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Feedback</w:t>
            </w:r>
          </w:p>
        </w:tc>
      </w:tr>
      <w:tr w:rsidR="001C5F84" w14:paraId="1F0096F8" w14:textId="52F0974F" w:rsidTr="00EE3EE3">
        <w:trPr>
          <w:trHeight w:val="210"/>
        </w:trPr>
        <w:tc>
          <w:tcPr>
            <w:tcW w:w="720" w:type="dxa"/>
          </w:tcPr>
          <w:p w14:paraId="3CB083BC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40" w:type="dxa"/>
          </w:tcPr>
          <w:p w14:paraId="5ABA9F75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1.1 Objective of the RFP </w:t>
            </w:r>
          </w:p>
        </w:tc>
        <w:tc>
          <w:tcPr>
            <w:tcW w:w="3330" w:type="dxa"/>
          </w:tcPr>
          <w:p w14:paraId="44843561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Will the market survey be limited to local suppliers or is WHO open to having some international suppliers prequalified also? </w:t>
            </w:r>
          </w:p>
        </w:tc>
        <w:tc>
          <w:tcPr>
            <w:tcW w:w="4860" w:type="dxa"/>
          </w:tcPr>
          <w:p w14:paraId="35A2760F" w14:textId="0FF971C6" w:rsidR="00C85DEF" w:rsidRPr="00D36FFA" w:rsidRDefault="001C5F84" w:rsidP="00C85DEF">
            <w:pPr>
              <w:pStyle w:val="ListParagraph"/>
              <w:numPr>
                <w:ilvl w:val="0"/>
                <w:numId w:val="3"/>
              </w:numPr>
              <w:spacing w:after="0" w:line="264" w:lineRule="auto"/>
              <w:ind w:left="-38" w:hanging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C85DEF"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RFP requires that the engaged firm to Carry out a </w:t>
            </w: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market research report in Nigeria of suppliers </w:t>
            </w:r>
          </w:p>
          <w:p w14:paraId="1115C5C6" w14:textId="5B125808" w:rsidR="00DF7D8B" w:rsidRPr="00E578A3" w:rsidRDefault="001C5F84" w:rsidP="00E578A3">
            <w:pPr>
              <w:pStyle w:val="ListParagraph"/>
              <w:numPr>
                <w:ilvl w:val="0"/>
                <w:numId w:val="3"/>
              </w:numPr>
              <w:spacing w:after="0" w:line="264" w:lineRule="auto"/>
              <w:ind w:left="-38" w:hanging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>The Contractor will apply the most appropriate methodology</w:t>
            </w:r>
            <w:r w:rsidR="00C85DEF"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 to carry out the research </w:t>
            </w: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>guided by the WHO Expression of Interest template (Appendix 2).</w:t>
            </w:r>
            <w:r w:rsidR="00DF7D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2E99D25" w14:textId="024E206E" w:rsidR="001C5F84" w:rsidRPr="00D36FFA" w:rsidRDefault="00C85DEF" w:rsidP="00C85DEF">
            <w:pPr>
              <w:pStyle w:val="ListParagraph"/>
              <w:numPr>
                <w:ilvl w:val="0"/>
                <w:numId w:val="3"/>
              </w:numPr>
              <w:spacing w:after="0" w:line="264" w:lineRule="auto"/>
              <w:ind w:left="-38" w:hanging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>The shortlisted suppliers must have legal and administrative c</w:t>
            </w:r>
            <w:r w:rsidR="00E578A3">
              <w:rPr>
                <w:rFonts w:ascii="Times New Roman" w:hAnsi="Times New Roman" w:cs="Times New Roman"/>
                <w:sz w:val="20"/>
                <w:szCs w:val="20"/>
              </w:rPr>
              <w:t xml:space="preserve">ertification </w:t>
            </w: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to carry out business </w:t>
            </w:r>
            <w:r w:rsidR="00E578A3">
              <w:rPr>
                <w:rFonts w:ascii="Times New Roman" w:hAnsi="Times New Roman" w:cs="Times New Roman"/>
                <w:sz w:val="20"/>
                <w:szCs w:val="20"/>
              </w:rPr>
              <w:t xml:space="preserve">operations </w:t>
            </w: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>in Nigeria. This includes</w:t>
            </w:r>
            <w:r w:rsidR="00CE27C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 and not </w:t>
            </w:r>
            <w:r w:rsidR="00CE27C2">
              <w:rPr>
                <w:rFonts w:ascii="Times New Roman" w:hAnsi="Times New Roman" w:cs="Times New Roman"/>
                <w:sz w:val="20"/>
                <w:szCs w:val="20"/>
              </w:rPr>
              <w:t xml:space="preserve">limited, </w:t>
            </w: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to having physical office premises which can be </w:t>
            </w:r>
            <w:r w:rsidR="00CE27C2">
              <w:rPr>
                <w:rFonts w:ascii="Times New Roman" w:hAnsi="Times New Roman" w:cs="Times New Roman"/>
                <w:sz w:val="20"/>
                <w:szCs w:val="20"/>
              </w:rPr>
              <w:t xml:space="preserve">verified </w:t>
            </w: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 WCO, if need be.</w:t>
            </w:r>
          </w:p>
        </w:tc>
      </w:tr>
      <w:tr w:rsidR="001C5F84" w14:paraId="01AFA2AE" w14:textId="073E806B" w:rsidTr="00EE3EE3">
        <w:trPr>
          <w:trHeight w:val="391"/>
        </w:trPr>
        <w:tc>
          <w:tcPr>
            <w:tcW w:w="720" w:type="dxa"/>
          </w:tcPr>
          <w:p w14:paraId="74AC5B91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440" w:type="dxa"/>
          </w:tcPr>
          <w:p w14:paraId="1341C1B7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5.3 Evaluation of proposals (RFP document) </w:t>
            </w:r>
          </w:p>
          <w:p w14:paraId="5CB13CA8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x. 10 (TOR document) </w:t>
            </w:r>
          </w:p>
        </w:tc>
        <w:tc>
          <w:tcPr>
            <w:tcW w:w="3330" w:type="dxa"/>
          </w:tcPr>
          <w:p w14:paraId="1670D532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We note that the evaluation Criteria on the RFP is different from that on the TOR - Please confirm which supersedes the other </w:t>
            </w:r>
          </w:p>
        </w:tc>
        <w:tc>
          <w:tcPr>
            <w:tcW w:w="4860" w:type="dxa"/>
          </w:tcPr>
          <w:p w14:paraId="3BBC95B3" w14:textId="759B8711" w:rsidR="00486877" w:rsidRDefault="00D8283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3B0497">
              <w:rPr>
                <w:rFonts w:ascii="Times New Roman" w:hAnsi="Times New Roman" w:cs="Times New Roman"/>
                <w:sz w:val="20"/>
                <w:szCs w:val="20"/>
              </w:rPr>
              <w:t xml:space="preserve">evaluation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criteria is the same</w:t>
            </w:r>
            <w:r w:rsidR="0056752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86877">
              <w:rPr>
                <w:rFonts w:ascii="Times New Roman" w:hAnsi="Times New Roman" w:cs="Times New Roman"/>
                <w:sz w:val="20"/>
                <w:szCs w:val="20"/>
              </w:rPr>
              <w:t>The proposals will be evaluated based on the following weighting: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72"/>
              <w:gridCol w:w="805"/>
            </w:tblGrid>
            <w:tr w:rsidR="00486877" w14:paraId="3149E4BE" w14:textId="77777777" w:rsidTr="00426928">
              <w:tc>
                <w:tcPr>
                  <w:tcW w:w="2272" w:type="dxa"/>
                </w:tcPr>
                <w:p w14:paraId="4766CB14" w14:textId="3FADB433" w:rsidR="00486877" w:rsidRDefault="00486877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Technical </w:t>
                  </w:r>
                  <w:r w:rsidR="00426928">
                    <w:rPr>
                      <w:rFonts w:ascii="Times New Roman" w:hAnsi="Times New Roman" w:cs="Times New Roman"/>
                      <w:sz w:val="20"/>
                      <w:szCs w:val="20"/>
                    </w:rPr>
                    <w:t>weighting</w:t>
                  </w:r>
                </w:p>
              </w:tc>
              <w:tc>
                <w:tcPr>
                  <w:tcW w:w="805" w:type="dxa"/>
                </w:tcPr>
                <w:p w14:paraId="4D898F43" w14:textId="06F41166" w:rsidR="00486877" w:rsidRDefault="00426928" w:rsidP="00BA3F2C">
                  <w:pPr>
                    <w:pStyle w:val="Default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70</w:t>
                  </w:r>
                </w:p>
              </w:tc>
            </w:tr>
            <w:tr w:rsidR="00486877" w14:paraId="54991459" w14:textId="77777777" w:rsidTr="00426928">
              <w:tc>
                <w:tcPr>
                  <w:tcW w:w="2272" w:type="dxa"/>
                </w:tcPr>
                <w:p w14:paraId="7AD919F9" w14:textId="1466852D" w:rsidR="00486877" w:rsidRDefault="00486877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Financial </w:t>
                  </w:r>
                  <w:r w:rsidR="00426928">
                    <w:rPr>
                      <w:rFonts w:ascii="Times New Roman" w:hAnsi="Times New Roman" w:cs="Times New Roman"/>
                      <w:sz w:val="20"/>
                      <w:szCs w:val="20"/>
                    </w:rPr>
                    <w:t>weighting</w:t>
                  </w:r>
                </w:p>
              </w:tc>
              <w:tc>
                <w:tcPr>
                  <w:tcW w:w="805" w:type="dxa"/>
                </w:tcPr>
                <w:p w14:paraId="75C65433" w14:textId="72DEE12F" w:rsidR="00486877" w:rsidRDefault="00426928" w:rsidP="00BA3F2C">
                  <w:pPr>
                    <w:pStyle w:val="Default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</w:tr>
            <w:tr w:rsidR="00486877" w14:paraId="684F51FD" w14:textId="77777777" w:rsidTr="00426928">
              <w:tc>
                <w:tcPr>
                  <w:tcW w:w="2272" w:type="dxa"/>
                </w:tcPr>
                <w:p w14:paraId="0FAE82DC" w14:textId="45711188" w:rsidR="00486877" w:rsidRDefault="00426928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Total</w:t>
                  </w:r>
                </w:p>
              </w:tc>
              <w:tc>
                <w:tcPr>
                  <w:tcW w:w="805" w:type="dxa"/>
                </w:tcPr>
                <w:p w14:paraId="34DEF44F" w14:textId="23EA1275" w:rsidR="00486877" w:rsidRDefault="00426928" w:rsidP="00BA3F2C">
                  <w:pPr>
                    <w:pStyle w:val="Default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</w:tr>
          </w:tbl>
          <w:p w14:paraId="4EADF23D" w14:textId="099202F8" w:rsidR="00486877" w:rsidRDefault="003E577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r w:rsidR="00335FA7">
              <w:rPr>
                <w:rFonts w:ascii="Times New Roman" w:hAnsi="Times New Roman" w:cs="Times New Roman"/>
                <w:sz w:val="20"/>
                <w:szCs w:val="20"/>
              </w:rPr>
              <w:t xml:space="preserve"> scoring in the TORs </w:t>
            </w:r>
            <w:r w:rsidR="00D65A39">
              <w:rPr>
                <w:rFonts w:ascii="Times New Roman" w:hAnsi="Times New Roman" w:cs="Times New Roman"/>
                <w:sz w:val="20"/>
                <w:szCs w:val="20"/>
              </w:rPr>
              <w:t xml:space="preserve">(100) </w:t>
            </w:r>
            <w:r w:rsidR="00335FA7">
              <w:rPr>
                <w:rFonts w:ascii="Times New Roman" w:hAnsi="Times New Roman" w:cs="Times New Roman"/>
                <w:sz w:val="20"/>
                <w:szCs w:val="20"/>
              </w:rPr>
              <w:t xml:space="preserve">would be weighted to </w:t>
            </w:r>
            <w:r w:rsidR="0056752D">
              <w:rPr>
                <w:rFonts w:ascii="Times New Roman" w:hAnsi="Times New Roman" w:cs="Times New Roman"/>
                <w:sz w:val="20"/>
                <w:szCs w:val="20"/>
              </w:rPr>
              <w:t xml:space="preserve"> a total of </w:t>
            </w:r>
            <w:r w:rsidR="00335FA7">
              <w:rPr>
                <w:rFonts w:ascii="Times New Roman" w:hAnsi="Times New Roman" w:cs="Times New Roman"/>
                <w:sz w:val="20"/>
                <w:szCs w:val="20"/>
              </w:rPr>
              <w:t xml:space="preserve">70. </w:t>
            </w:r>
          </w:p>
          <w:p w14:paraId="18ABE770" w14:textId="3F2B7015" w:rsidR="00F63945" w:rsidRDefault="00F6394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evaluation </w:t>
            </w:r>
            <w:r w:rsidR="00D65A39">
              <w:rPr>
                <w:rFonts w:ascii="Times New Roman" w:hAnsi="Times New Roman" w:cs="Times New Roman"/>
                <w:sz w:val="20"/>
                <w:szCs w:val="20"/>
              </w:rPr>
              <w:t xml:space="preserve">scoring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 the RFP will be used</w:t>
            </w:r>
            <w:r w:rsidR="00D65A3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2C8B36A" w14:textId="5390A8E3" w:rsidR="005D6304" w:rsidRDefault="00D062C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A52973B" wp14:editId="6D807EC8">
                  <wp:extent cx="2891790" cy="1693545"/>
                  <wp:effectExtent l="0" t="0" r="3810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1790" cy="1693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D1329C" w14:textId="702F1421" w:rsidR="00651442" w:rsidRPr="00D36FFA" w:rsidRDefault="0065144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5F84" w14:paraId="391183DA" w14:textId="0B8F44D2" w:rsidTr="00EE3EE3">
        <w:trPr>
          <w:trHeight w:val="256"/>
        </w:trPr>
        <w:tc>
          <w:tcPr>
            <w:tcW w:w="720" w:type="dxa"/>
          </w:tcPr>
          <w:p w14:paraId="4A009393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440" w:type="dxa"/>
          </w:tcPr>
          <w:p w14:paraId="132A483F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Section 7 </w:t>
            </w:r>
          </w:p>
        </w:tc>
        <w:tc>
          <w:tcPr>
            <w:tcW w:w="3330" w:type="dxa"/>
          </w:tcPr>
          <w:p w14:paraId="58225B32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What would be the payment terms for this contract, Lump sum or maximum amount to guide us in budget planning? </w:t>
            </w:r>
          </w:p>
        </w:tc>
        <w:tc>
          <w:tcPr>
            <w:tcW w:w="4860" w:type="dxa"/>
          </w:tcPr>
          <w:p w14:paraId="124FDDF8" w14:textId="4E33EBFB" w:rsidR="008B7D83" w:rsidRPr="00D36FFA" w:rsidRDefault="007F1DAD" w:rsidP="00414F92">
            <w:pPr>
              <w:autoSpaceDE w:val="0"/>
              <w:autoSpaceDN w:val="0"/>
              <w:adjustRightInd w:val="0"/>
              <w:ind w:right="239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A13BC4" w:rsidRPr="00D36FF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2C35FF" w:rsidRPr="00D36F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ayment terms are tied to the satisfactory performance and completion of the wo</w:t>
            </w:r>
            <w:r w:rsidR="00A84A9B" w:rsidRPr="00D36F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</w:t>
            </w:r>
            <w:r w:rsidR="003E504B" w:rsidRPr="00D36F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(Section 7). </w:t>
            </w:r>
            <w:r w:rsidR="003319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WHO will determine the </w:t>
            </w:r>
            <w:r w:rsidR="007F55A4" w:rsidRPr="00D36F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most appropriate method,</w:t>
            </w:r>
            <w:r w:rsidR="003319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gramStart"/>
            <w:r w:rsidR="003319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taking into account</w:t>
            </w:r>
            <w:proofErr w:type="gramEnd"/>
            <w:r w:rsidR="003319A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the financial guideline</w:t>
            </w:r>
            <w:r w:rsidR="00CD1F4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for the proposed contract.</w:t>
            </w:r>
          </w:p>
        </w:tc>
      </w:tr>
      <w:tr w:rsidR="001C5F84" w14:paraId="55423F49" w14:textId="1D0336FB" w:rsidTr="00EE3EE3">
        <w:trPr>
          <w:trHeight w:val="867"/>
        </w:trPr>
        <w:tc>
          <w:tcPr>
            <w:tcW w:w="720" w:type="dxa"/>
          </w:tcPr>
          <w:p w14:paraId="6FFC113E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440" w:type="dxa"/>
          </w:tcPr>
          <w:p w14:paraId="7394A4D5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(a) TOR vi. </w:t>
            </w:r>
          </w:p>
          <w:p w14:paraId="28847252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227FD7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(b) RFP 3.31 </w:t>
            </w:r>
          </w:p>
          <w:p w14:paraId="528F42F5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</w:tcPr>
          <w:p w14:paraId="5D08818D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Confirm that design of a Supplier Database is a deliverable for this contract </w:t>
            </w:r>
          </w:p>
          <w:p w14:paraId="2A5EE22E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a. Does WHO have a current Supplier Database? Are you open to describe the system? </w:t>
            </w:r>
          </w:p>
          <w:p w14:paraId="4AE1D8AD" w14:textId="5127DCA9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b. During implementation, would WHO provide successful vendor </w:t>
            </w:r>
          </w:p>
        </w:tc>
        <w:tc>
          <w:tcPr>
            <w:tcW w:w="4860" w:type="dxa"/>
          </w:tcPr>
          <w:p w14:paraId="4A3B497B" w14:textId="77842354" w:rsidR="008B7D83" w:rsidRPr="00D36FFA" w:rsidRDefault="00BE2C6E" w:rsidP="00B61230">
            <w:pPr>
              <w:pStyle w:val="Default"/>
              <w:numPr>
                <w:ilvl w:val="0"/>
                <w:numId w:val="7"/>
              </w:numPr>
              <w:ind w:left="165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Vendor is required to deliver a supplier database</w:t>
            </w:r>
            <w:r w:rsidR="0024279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16FD4"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The deliverables in TOR </w:t>
            </w:r>
            <w:r w:rsidR="008B7D83" w:rsidRPr="00D36FF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16FD4" w:rsidRPr="00D36FFA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  <w:r w:rsidR="008B7D83" w:rsidRPr="00D36FF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BC54FF"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="00242790">
              <w:rPr>
                <w:rFonts w:ascii="Times New Roman" w:hAnsi="Times New Roman" w:cs="Times New Roman"/>
                <w:sz w:val="20"/>
                <w:szCs w:val="20"/>
              </w:rPr>
              <w:t>re</w:t>
            </w:r>
            <w:r w:rsidR="00BC54FF"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 based on the Objectives listed in </w:t>
            </w:r>
            <w:r w:rsidR="008B7D83" w:rsidRPr="00D36FFA">
              <w:rPr>
                <w:rFonts w:ascii="Times New Roman" w:hAnsi="Times New Roman" w:cs="Times New Roman"/>
                <w:sz w:val="20"/>
                <w:szCs w:val="20"/>
              </w:rPr>
              <w:t>TOR (ii)</w:t>
            </w:r>
          </w:p>
          <w:p w14:paraId="4AEC5F16" w14:textId="77777777" w:rsidR="00BC40AA" w:rsidRDefault="003A4CAA" w:rsidP="00B61230">
            <w:pPr>
              <w:pStyle w:val="Default"/>
              <w:numPr>
                <w:ilvl w:val="0"/>
                <w:numId w:val="7"/>
              </w:numPr>
              <w:ind w:left="165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>The office has a “</w:t>
            </w:r>
            <w:r w:rsidR="00E16F3C"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supplier </w:t>
            </w: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>database”</w:t>
            </w:r>
            <w:r w:rsidR="00E16F3C"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 which will be discussed with the recommended Vendor</w:t>
            </w:r>
          </w:p>
          <w:p w14:paraId="6E803275" w14:textId="1DB96F64" w:rsidR="00E16F3C" w:rsidRPr="00BC40AA" w:rsidRDefault="00BC40AA" w:rsidP="00B61230">
            <w:pPr>
              <w:pStyle w:val="Default"/>
              <w:numPr>
                <w:ilvl w:val="0"/>
                <w:numId w:val="7"/>
              </w:numPr>
              <w:ind w:left="165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This question is incomplete </w:t>
            </w:r>
            <w:r w:rsidRPr="00BC40A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“During implementation, would WHO provide successful vendor”</w:t>
            </w:r>
          </w:p>
          <w:p w14:paraId="4FC223ED" w14:textId="77777777" w:rsidR="00A62448" w:rsidRPr="00D36FFA" w:rsidRDefault="00A62448" w:rsidP="008B7D8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55E483" w14:textId="72809458" w:rsidR="00A62448" w:rsidRPr="00D36FFA" w:rsidRDefault="00A62448" w:rsidP="008B7D8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610464" w14:textId="3C9C0658" w:rsidR="001C5F84" w:rsidRPr="00D36FFA" w:rsidRDefault="001C5F84" w:rsidP="00BC54FF">
            <w:pPr>
              <w:pStyle w:val="Defaul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5F84" w14:paraId="45A90756" w14:textId="67F2358F" w:rsidTr="00EE3EE3">
        <w:trPr>
          <w:trHeight w:val="942"/>
        </w:trPr>
        <w:tc>
          <w:tcPr>
            <w:tcW w:w="720" w:type="dxa"/>
          </w:tcPr>
          <w:p w14:paraId="6982B693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 </w:t>
            </w:r>
          </w:p>
        </w:tc>
        <w:tc>
          <w:tcPr>
            <w:tcW w:w="1440" w:type="dxa"/>
          </w:tcPr>
          <w:p w14:paraId="56A30430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Section 7 </w:t>
            </w:r>
          </w:p>
        </w:tc>
        <w:tc>
          <w:tcPr>
            <w:tcW w:w="3330" w:type="dxa"/>
          </w:tcPr>
          <w:p w14:paraId="46E476A9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Is there a budget ceiling for this contract </w:t>
            </w:r>
          </w:p>
        </w:tc>
        <w:tc>
          <w:tcPr>
            <w:tcW w:w="4860" w:type="dxa"/>
          </w:tcPr>
          <w:p w14:paraId="69D2C556" w14:textId="2805A7D7" w:rsidR="00482004" w:rsidRDefault="003B5EF2" w:rsidP="00D4094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It is </w:t>
            </w:r>
            <w:r w:rsidRPr="00DE4F5B">
              <w:rPr>
                <w:rFonts w:ascii="Times New Roman" w:hAnsi="Times New Roman" w:cs="Times New Roman"/>
                <w:sz w:val="20"/>
                <w:szCs w:val="20"/>
              </w:rPr>
              <w:t xml:space="preserve">not possible to provide a ceiling </w:t>
            </w:r>
            <w:r w:rsidR="0031585B" w:rsidRPr="00DE4F5B">
              <w:rPr>
                <w:rFonts w:ascii="Times New Roman" w:hAnsi="Times New Roman" w:cs="Times New Roman"/>
                <w:sz w:val="20"/>
                <w:szCs w:val="20"/>
              </w:rPr>
              <w:t>figure</w:t>
            </w:r>
            <w:r w:rsidR="00482004" w:rsidRPr="00DE4F5B">
              <w:rPr>
                <w:rFonts w:ascii="Times New Roman" w:hAnsi="Times New Roman" w:cs="Times New Roman"/>
                <w:sz w:val="20"/>
                <w:szCs w:val="20"/>
              </w:rPr>
              <w:t xml:space="preserve"> because this would </w:t>
            </w:r>
            <w:r w:rsidR="00A002F4" w:rsidRPr="00DE4F5B">
              <w:rPr>
                <w:rFonts w:ascii="Times New Roman" w:hAnsi="Times New Roman" w:cs="Times New Roman"/>
                <w:sz w:val="20"/>
                <w:szCs w:val="20"/>
              </w:rPr>
              <w:t>erode</w:t>
            </w:r>
            <w:r w:rsidR="0031585B" w:rsidRPr="00DE4F5B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31585B">
              <w:rPr>
                <w:rFonts w:ascii="Times New Roman" w:hAnsi="Times New Roman" w:cs="Times New Roman"/>
                <w:sz w:val="20"/>
                <w:szCs w:val="20"/>
              </w:rPr>
              <w:t xml:space="preserve"> competitiveness of the</w:t>
            </w:r>
            <w:r w:rsidR="001715E7">
              <w:rPr>
                <w:rFonts w:ascii="Times New Roman" w:hAnsi="Times New Roman" w:cs="Times New Roman"/>
                <w:sz w:val="20"/>
                <w:szCs w:val="20"/>
              </w:rPr>
              <w:t xml:space="preserve"> RFP</w:t>
            </w:r>
            <w:r w:rsidR="0031585B">
              <w:rPr>
                <w:rFonts w:ascii="Times New Roman" w:hAnsi="Times New Roman" w:cs="Times New Roman"/>
                <w:sz w:val="20"/>
                <w:szCs w:val="20"/>
              </w:rPr>
              <w:t xml:space="preserve"> process.</w:t>
            </w:r>
          </w:p>
          <w:p w14:paraId="51FDA8DB" w14:textId="6C0CF07F" w:rsidR="003B5EF2" w:rsidRPr="00D36FFA" w:rsidRDefault="003B5EF2" w:rsidP="00D4094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>Howeve</w:t>
            </w:r>
            <w:r w:rsidR="006964AD"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r, </w:t>
            </w:r>
            <w:r w:rsidR="0031585B" w:rsidRPr="003158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as indicated in 1.1 in the RFP</w:t>
            </w:r>
            <w:r w:rsidR="003158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r w:rsidRPr="00D36FFA" w:rsidDel="00800E3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Bidders are</w:t>
            </w:r>
            <w:r w:rsidR="00D4094A" w:rsidRPr="00D36F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guided t</w:t>
            </w:r>
            <w:r w:rsidRPr="00D36FFA" w:rsidDel="00800E3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 propose the best and most cost-effective solution</w:t>
            </w:r>
            <w:r w:rsidR="00576A52" w:rsidRPr="00D36F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…</w:t>
            </w:r>
            <w:r w:rsidR="003158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…</w:t>
            </w:r>
          </w:p>
        </w:tc>
      </w:tr>
      <w:tr w:rsidR="001C5F84" w14:paraId="4FAFEB08" w14:textId="0B43C7B5" w:rsidTr="00EE3EE3">
        <w:trPr>
          <w:trHeight w:val="167"/>
        </w:trPr>
        <w:tc>
          <w:tcPr>
            <w:tcW w:w="720" w:type="dxa"/>
          </w:tcPr>
          <w:p w14:paraId="008B5533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1440" w:type="dxa"/>
          </w:tcPr>
          <w:p w14:paraId="7C5028AA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4.12.5 </w:t>
            </w:r>
          </w:p>
        </w:tc>
        <w:tc>
          <w:tcPr>
            <w:tcW w:w="3330" w:type="dxa"/>
          </w:tcPr>
          <w:p w14:paraId="2A35093B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Please confirm the possible project start-up time </w:t>
            </w:r>
          </w:p>
        </w:tc>
        <w:tc>
          <w:tcPr>
            <w:tcW w:w="4860" w:type="dxa"/>
          </w:tcPr>
          <w:p w14:paraId="42511EAE" w14:textId="5618F482" w:rsidR="001C5F84" w:rsidRPr="00D36FFA" w:rsidRDefault="00576A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DC2180"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Project </w:t>
            </w:r>
            <w:r w:rsidR="00A002F4">
              <w:rPr>
                <w:rFonts w:ascii="Times New Roman" w:hAnsi="Times New Roman" w:cs="Times New Roman"/>
                <w:sz w:val="20"/>
                <w:szCs w:val="20"/>
              </w:rPr>
              <w:t xml:space="preserve">will </w:t>
            </w:r>
            <w:r w:rsidR="00DC2180" w:rsidRPr="00D36FFA">
              <w:rPr>
                <w:rFonts w:ascii="Times New Roman" w:hAnsi="Times New Roman" w:cs="Times New Roman"/>
                <w:sz w:val="20"/>
                <w:szCs w:val="20"/>
              </w:rPr>
              <w:t>take place during 2023</w:t>
            </w:r>
            <w:r w:rsidR="00072B27">
              <w:rPr>
                <w:rFonts w:ascii="Times New Roman" w:hAnsi="Times New Roman" w:cs="Times New Roman"/>
                <w:sz w:val="20"/>
                <w:szCs w:val="20"/>
              </w:rPr>
              <w:t xml:space="preserve">, with a possible start-up time in September </w:t>
            </w:r>
            <w:r w:rsidR="009B2912">
              <w:rPr>
                <w:rFonts w:ascii="Times New Roman" w:hAnsi="Times New Roman" w:cs="Times New Roman"/>
                <w:sz w:val="20"/>
                <w:szCs w:val="20"/>
              </w:rPr>
              <w:t>at the  latest</w:t>
            </w:r>
          </w:p>
        </w:tc>
      </w:tr>
      <w:tr w:rsidR="001C5F84" w14:paraId="14945680" w14:textId="3D12CE54" w:rsidTr="00EE3EE3">
        <w:trPr>
          <w:trHeight w:val="399"/>
        </w:trPr>
        <w:tc>
          <w:tcPr>
            <w:tcW w:w="720" w:type="dxa"/>
          </w:tcPr>
          <w:p w14:paraId="2AD88081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1440" w:type="dxa"/>
          </w:tcPr>
          <w:p w14:paraId="4EC68C3C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Annex 5 </w:t>
            </w:r>
          </w:p>
        </w:tc>
        <w:tc>
          <w:tcPr>
            <w:tcW w:w="3330" w:type="dxa"/>
          </w:tcPr>
          <w:p w14:paraId="31FEBC8E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The financial proposal on Annex 5 states submission in an envelope while in other areas, it states to submit electronically – kindly confirm which is applicable </w:t>
            </w:r>
          </w:p>
        </w:tc>
        <w:tc>
          <w:tcPr>
            <w:tcW w:w="4860" w:type="dxa"/>
          </w:tcPr>
          <w:p w14:paraId="1582538C" w14:textId="77AE583D" w:rsidR="001C5F84" w:rsidRPr="00D36FFA" w:rsidRDefault="009B291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0E2450" w:rsidRPr="00D36FFA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B76170"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e guidance is that </w:t>
            </w:r>
            <w:r w:rsidR="000E2450"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 the financial Bid should not be mixed with the </w:t>
            </w:r>
            <w:r w:rsidR="00B76170"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technical Bid whether </w:t>
            </w:r>
            <w:r w:rsidR="00FE358C"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(i)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documents are </w:t>
            </w:r>
            <w:r w:rsidR="00B76170"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submitted as hard copies or </w:t>
            </w:r>
            <w:r w:rsidR="00FE358C"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(ii)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documents are </w:t>
            </w:r>
            <w:r w:rsidR="00B76170" w:rsidRPr="00D36FFA">
              <w:rPr>
                <w:rFonts w:ascii="Times New Roman" w:hAnsi="Times New Roman" w:cs="Times New Roman"/>
                <w:sz w:val="20"/>
                <w:szCs w:val="20"/>
              </w:rPr>
              <w:t>scann</w:t>
            </w:r>
            <w:r w:rsidR="00FE358C" w:rsidRPr="00D36FFA">
              <w:rPr>
                <w:rFonts w:ascii="Times New Roman" w:hAnsi="Times New Roman" w:cs="Times New Roman"/>
                <w:sz w:val="20"/>
                <w:szCs w:val="20"/>
              </w:rPr>
              <w:t>ing for uploading</w:t>
            </w:r>
            <w:r w:rsidR="00B76170" w:rsidRPr="00D36F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5F84" w14:paraId="556710C6" w14:textId="43CBCBF8" w:rsidTr="00EE3EE3">
        <w:trPr>
          <w:trHeight w:val="256"/>
        </w:trPr>
        <w:tc>
          <w:tcPr>
            <w:tcW w:w="720" w:type="dxa"/>
          </w:tcPr>
          <w:p w14:paraId="19C727D9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1440" w:type="dxa"/>
          </w:tcPr>
          <w:p w14:paraId="08505DEB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Appendix 1 </w:t>
            </w:r>
          </w:p>
        </w:tc>
        <w:tc>
          <w:tcPr>
            <w:tcW w:w="3330" w:type="dxa"/>
          </w:tcPr>
          <w:p w14:paraId="0E2FA8B0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For activity on travel with Code 9000000 on Appendix 1 - should that be removed? </w:t>
            </w:r>
          </w:p>
        </w:tc>
        <w:tc>
          <w:tcPr>
            <w:tcW w:w="4860" w:type="dxa"/>
          </w:tcPr>
          <w:p w14:paraId="3CF6D094" w14:textId="77777777" w:rsidR="00D71217" w:rsidRDefault="00D7121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travel code would not be removed at the moment.</w:t>
            </w:r>
          </w:p>
          <w:p w14:paraId="7C5CC614" w14:textId="4E01777B" w:rsidR="00C75B46" w:rsidRPr="00D36FFA" w:rsidRDefault="00C75B4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>WHO may review the</w:t>
            </w:r>
            <w:r w:rsidR="004A239A"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 supplier </w:t>
            </w: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categories </w:t>
            </w:r>
            <w:r w:rsidR="004A239A"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 with the recommended vendor.</w:t>
            </w:r>
          </w:p>
        </w:tc>
      </w:tr>
      <w:tr w:rsidR="001C5F84" w14:paraId="3A94BFB6" w14:textId="0E27D711" w:rsidTr="00EE3EE3">
        <w:trPr>
          <w:trHeight w:val="256"/>
        </w:trPr>
        <w:tc>
          <w:tcPr>
            <w:tcW w:w="720" w:type="dxa"/>
          </w:tcPr>
          <w:p w14:paraId="6DFB558B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1440" w:type="dxa"/>
          </w:tcPr>
          <w:p w14:paraId="5E0D98A0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Appendix 1 </w:t>
            </w:r>
          </w:p>
        </w:tc>
        <w:tc>
          <w:tcPr>
            <w:tcW w:w="3330" w:type="dxa"/>
          </w:tcPr>
          <w:p w14:paraId="4AA517F4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Do you anticipate each vendor to plan supplier assessment across all the categories outline in Appendix 1 or can one quote for some categories? </w:t>
            </w:r>
          </w:p>
        </w:tc>
        <w:tc>
          <w:tcPr>
            <w:tcW w:w="4860" w:type="dxa"/>
          </w:tcPr>
          <w:p w14:paraId="29726CF0" w14:textId="4F81F126" w:rsidR="001C5F84" w:rsidRPr="00D36FFA" w:rsidRDefault="002734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Vendors are expected to submit proposals that </w:t>
            </w:r>
            <w:r w:rsidR="00AE77BF" w:rsidRPr="00D36FFA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Proposals </w:t>
            </w:r>
            <w:r w:rsidR="00D13C83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that </w:t>
            </w:r>
            <w:r w:rsidR="00AE77BF" w:rsidRPr="00D36FFA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offer the total requirement</w:t>
            </w:r>
            <w:r w:rsidR="00D13C83" w:rsidRPr="00D36FFA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 </w:t>
            </w:r>
            <w:r w:rsidR="00D13C83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(</w:t>
            </w:r>
            <w:r w:rsidR="00D13C83" w:rsidRPr="00D36FFA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RFP 4.4</w:t>
            </w:r>
            <w:r w:rsidR="00D13C83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)</w:t>
            </w:r>
          </w:p>
        </w:tc>
      </w:tr>
      <w:tr w:rsidR="001C5F84" w14:paraId="07F4FC15" w14:textId="25C9EAC9" w:rsidTr="00EE3EE3">
        <w:trPr>
          <w:trHeight w:val="289"/>
        </w:trPr>
        <w:tc>
          <w:tcPr>
            <w:tcW w:w="720" w:type="dxa"/>
          </w:tcPr>
          <w:p w14:paraId="778B7B4F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1440" w:type="dxa"/>
          </w:tcPr>
          <w:p w14:paraId="3D068FDE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4.6 (RFP document) </w:t>
            </w:r>
          </w:p>
          <w:p w14:paraId="3FCA0F64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2. (Cover Letter) </w:t>
            </w:r>
          </w:p>
        </w:tc>
        <w:tc>
          <w:tcPr>
            <w:tcW w:w="3330" w:type="dxa"/>
          </w:tcPr>
          <w:p w14:paraId="45BD3DB4" w14:textId="77777777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The cover letter states the deadline for submission of questions from bidders as no later than 5 working days before deadline, which is while the RFP document states Monday 17th July 2023. Which of these dates is applicable? </w:t>
            </w:r>
          </w:p>
        </w:tc>
        <w:tc>
          <w:tcPr>
            <w:tcW w:w="4860" w:type="dxa"/>
          </w:tcPr>
          <w:p w14:paraId="0491CAC0" w14:textId="61625DCD" w:rsidR="00FE7764" w:rsidRPr="00D36FFA" w:rsidRDefault="00210F4F" w:rsidP="009F3B6F">
            <w:pPr>
              <w:pStyle w:val="Default"/>
              <w:ind w:right="1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C83228">
              <w:rPr>
                <w:rFonts w:ascii="Times New Roman" w:hAnsi="Times New Roman" w:cs="Times New Roman"/>
                <w:sz w:val="20"/>
                <w:szCs w:val="20"/>
              </w:rPr>
              <w:t xml:space="preserve">multiple </w:t>
            </w:r>
            <w:r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dates arise from the </w:t>
            </w:r>
            <w:r w:rsidR="00FF3BC9"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difference between </w:t>
            </w:r>
            <w:r w:rsidR="00C832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BC9"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submission </w:t>
            </w:r>
            <w:r w:rsidR="009F3B6F">
              <w:rPr>
                <w:rFonts w:ascii="Times New Roman" w:hAnsi="Times New Roman" w:cs="Times New Roman"/>
                <w:sz w:val="20"/>
                <w:szCs w:val="20"/>
              </w:rPr>
              <w:t xml:space="preserve">date </w:t>
            </w:r>
            <w:r w:rsidR="00FF3BC9" w:rsidRPr="00D36FFA">
              <w:rPr>
                <w:rFonts w:ascii="Times New Roman" w:hAnsi="Times New Roman" w:cs="Times New Roman"/>
                <w:sz w:val="20"/>
                <w:szCs w:val="20"/>
              </w:rPr>
              <w:t>of the RFP document, and</w:t>
            </w:r>
            <w:r w:rsidR="00563E8F"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3228">
              <w:rPr>
                <w:rFonts w:ascii="Times New Roman" w:hAnsi="Times New Roman" w:cs="Times New Roman"/>
                <w:sz w:val="20"/>
                <w:szCs w:val="20"/>
              </w:rPr>
              <w:t xml:space="preserve">date of </w:t>
            </w:r>
            <w:r w:rsidR="00563E8F"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writing of the cover letter. </w:t>
            </w:r>
            <w:r w:rsidR="00FE7764" w:rsidRPr="00D36FFA">
              <w:rPr>
                <w:rFonts w:ascii="Times New Roman" w:hAnsi="Times New Roman" w:cs="Times New Roman"/>
                <w:sz w:val="20"/>
                <w:szCs w:val="20"/>
              </w:rPr>
              <w:t>The l</w:t>
            </w:r>
            <w:r w:rsidR="001C315E">
              <w:rPr>
                <w:rFonts w:ascii="Times New Roman" w:hAnsi="Times New Roman" w:cs="Times New Roman"/>
                <w:sz w:val="20"/>
                <w:szCs w:val="20"/>
              </w:rPr>
              <w:t xml:space="preserve">atter </w:t>
            </w:r>
            <w:r w:rsidR="00FE7764" w:rsidRPr="00D36FFA">
              <w:rPr>
                <w:rFonts w:ascii="Times New Roman" w:hAnsi="Times New Roman" w:cs="Times New Roman"/>
                <w:sz w:val="20"/>
                <w:szCs w:val="20"/>
              </w:rPr>
              <w:t>date will be</w:t>
            </w:r>
            <w:r w:rsidR="00D36FFA" w:rsidRPr="00D36F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124E">
              <w:rPr>
                <w:rFonts w:ascii="Times New Roman" w:hAnsi="Times New Roman" w:cs="Times New Roman"/>
                <w:sz w:val="20"/>
                <w:szCs w:val="20"/>
              </w:rPr>
              <w:t>applicable.</w:t>
            </w:r>
          </w:p>
          <w:p w14:paraId="4E40F251" w14:textId="681BEA49" w:rsidR="001C5F84" w:rsidRPr="00D36FFA" w:rsidRDefault="001C5F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0020D6E" w14:textId="77777777" w:rsidR="00916FF0" w:rsidRDefault="00916FF0"/>
    <w:sectPr w:rsidR="00916FF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F7803" w14:textId="77777777" w:rsidR="00463060" w:rsidRDefault="00463060" w:rsidP="00463060">
      <w:pPr>
        <w:spacing w:after="0" w:line="240" w:lineRule="auto"/>
      </w:pPr>
      <w:r>
        <w:separator/>
      </w:r>
    </w:p>
  </w:endnote>
  <w:endnote w:type="continuationSeparator" w:id="0">
    <w:p w14:paraId="52BA712B" w14:textId="77777777" w:rsidR="00463060" w:rsidRDefault="00463060" w:rsidP="00463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FADE0" w14:textId="77777777" w:rsidR="00463060" w:rsidRDefault="00463060" w:rsidP="00463060">
      <w:pPr>
        <w:spacing w:after="0" w:line="240" w:lineRule="auto"/>
      </w:pPr>
      <w:r>
        <w:separator/>
      </w:r>
    </w:p>
  </w:footnote>
  <w:footnote w:type="continuationSeparator" w:id="0">
    <w:p w14:paraId="75851982" w14:textId="77777777" w:rsidR="00463060" w:rsidRDefault="00463060" w:rsidP="004630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7C1E" w14:textId="1FAAC839" w:rsidR="00463060" w:rsidRPr="00463060" w:rsidRDefault="00463060" w:rsidP="00463060">
    <w:pPr>
      <w:pStyle w:val="Default"/>
    </w:pPr>
  </w:p>
  <w:p w14:paraId="0B087107" w14:textId="75D00892" w:rsidR="00463060" w:rsidRPr="00463060" w:rsidRDefault="00463060" w:rsidP="00463060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3B3838" w:themeColor="background2" w:themeShade="40"/>
        <w:sz w:val="23"/>
        <w:szCs w:val="23"/>
      </w:rPr>
    </w:pPr>
    <w:r w:rsidRPr="00463060">
      <w:rPr>
        <w:rFonts w:ascii="Arial" w:hAnsi="Arial" w:cs="Arial"/>
        <w:b/>
        <w:bCs/>
        <w:color w:val="3B3838" w:themeColor="background2" w:themeShade="40"/>
        <w:sz w:val="20"/>
        <w:szCs w:val="20"/>
      </w:rPr>
      <w:t xml:space="preserve">Request for Proposals: </w:t>
    </w:r>
    <w:r w:rsidRPr="00463060">
      <w:rPr>
        <w:rFonts w:ascii="Arial" w:hAnsi="Arial" w:cs="Arial"/>
        <w:b/>
        <w:bCs/>
        <w:color w:val="3B3838" w:themeColor="background2" w:themeShade="40"/>
        <w:sz w:val="23"/>
        <w:szCs w:val="23"/>
      </w:rPr>
      <w:t xml:space="preserve">Bid Ref. PU/CSU/2023/006/016 </w:t>
    </w:r>
  </w:p>
  <w:p w14:paraId="4E873877" w14:textId="1F583730" w:rsidR="00463060" w:rsidRPr="00463060" w:rsidRDefault="00463060" w:rsidP="00463060">
    <w:pPr>
      <w:pStyle w:val="Header"/>
      <w:rPr>
        <w:color w:val="3B3838" w:themeColor="background2" w:themeShade="40"/>
      </w:rPr>
    </w:pPr>
    <w:r>
      <w:rPr>
        <w:rFonts w:ascii="Arial" w:hAnsi="Arial" w:cs="Arial"/>
        <w:b/>
        <w:bCs/>
        <w:color w:val="3B3838" w:themeColor="background2" w:themeShade="40"/>
        <w:sz w:val="23"/>
        <w:szCs w:val="23"/>
      </w:rPr>
      <w:t xml:space="preserve">Feedback to Bidders </w:t>
    </w:r>
    <w:r w:rsidRPr="00463060">
      <w:rPr>
        <w:rFonts w:ascii="Arial" w:hAnsi="Arial" w:cs="Arial"/>
        <w:b/>
        <w:bCs/>
        <w:color w:val="3B3838" w:themeColor="background2" w:themeShade="40"/>
        <w:sz w:val="23"/>
        <w:szCs w:val="23"/>
      </w:rPr>
      <w:t xml:space="preserve">Questions </w:t>
    </w:r>
  </w:p>
  <w:p w14:paraId="3F23DB6F" w14:textId="77777777" w:rsidR="00463060" w:rsidRDefault="004630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85DC0"/>
    <w:multiLevelType w:val="hybridMultilevel"/>
    <w:tmpl w:val="B4C68C58"/>
    <w:lvl w:ilvl="0" w:tplc="1AF0E97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C3643"/>
    <w:multiLevelType w:val="hybridMultilevel"/>
    <w:tmpl w:val="EC4CD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F115A"/>
    <w:multiLevelType w:val="hybridMultilevel"/>
    <w:tmpl w:val="A7B2FC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E7B6E"/>
    <w:multiLevelType w:val="hybridMultilevel"/>
    <w:tmpl w:val="E402D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027393"/>
    <w:multiLevelType w:val="hybridMultilevel"/>
    <w:tmpl w:val="443C0124"/>
    <w:lvl w:ilvl="0" w:tplc="2AE0468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60128"/>
    <w:multiLevelType w:val="hybridMultilevel"/>
    <w:tmpl w:val="9EFCAE1A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70F02D9"/>
    <w:multiLevelType w:val="hybridMultilevel"/>
    <w:tmpl w:val="DCDC6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6776027">
    <w:abstractNumId w:val="4"/>
  </w:num>
  <w:num w:numId="2" w16cid:durableId="610090234">
    <w:abstractNumId w:val="1"/>
  </w:num>
  <w:num w:numId="3" w16cid:durableId="447745369">
    <w:abstractNumId w:val="3"/>
  </w:num>
  <w:num w:numId="4" w16cid:durableId="383481923">
    <w:abstractNumId w:val="6"/>
  </w:num>
  <w:num w:numId="5" w16cid:durableId="1043555196">
    <w:abstractNumId w:val="5"/>
  </w:num>
  <w:num w:numId="6" w16cid:durableId="967200031">
    <w:abstractNumId w:val="2"/>
  </w:num>
  <w:num w:numId="7" w16cid:durableId="539051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F84"/>
    <w:rsid w:val="00016FD4"/>
    <w:rsid w:val="00072B27"/>
    <w:rsid w:val="000E2450"/>
    <w:rsid w:val="00114EB9"/>
    <w:rsid w:val="00156BB8"/>
    <w:rsid w:val="001715E7"/>
    <w:rsid w:val="001A0FBF"/>
    <w:rsid w:val="001C315E"/>
    <w:rsid w:val="001C5F84"/>
    <w:rsid w:val="001E2320"/>
    <w:rsid w:val="001F492C"/>
    <w:rsid w:val="00210F4F"/>
    <w:rsid w:val="00242790"/>
    <w:rsid w:val="00273472"/>
    <w:rsid w:val="0028308D"/>
    <w:rsid w:val="002C35FF"/>
    <w:rsid w:val="002E6C2F"/>
    <w:rsid w:val="0031585B"/>
    <w:rsid w:val="0032069F"/>
    <w:rsid w:val="003319A9"/>
    <w:rsid w:val="00335FA7"/>
    <w:rsid w:val="003A4CAA"/>
    <w:rsid w:val="003B0497"/>
    <w:rsid w:val="003B5EF2"/>
    <w:rsid w:val="003E504B"/>
    <w:rsid w:val="003E5777"/>
    <w:rsid w:val="00414F92"/>
    <w:rsid w:val="00426928"/>
    <w:rsid w:val="00463060"/>
    <w:rsid w:val="00482004"/>
    <w:rsid w:val="00486877"/>
    <w:rsid w:val="004A239A"/>
    <w:rsid w:val="0051031E"/>
    <w:rsid w:val="00563E8F"/>
    <w:rsid w:val="0056752D"/>
    <w:rsid w:val="00576A52"/>
    <w:rsid w:val="005D6304"/>
    <w:rsid w:val="0060618B"/>
    <w:rsid w:val="00651442"/>
    <w:rsid w:val="006964AD"/>
    <w:rsid w:val="00783F6E"/>
    <w:rsid w:val="007F1DAD"/>
    <w:rsid w:val="007F55A4"/>
    <w:rsid w:val="00826BBC"/>
    <w:rsid w:val="008374F4"/>
    <w:rsid w:val="00895352"/>
    <w:rsid w:val="008B7D83"/>
    <w:rsid w:val="00916FF0"/>
    <w:rsid w:val="009B2912"/>
    <w:rsid w:val="009F3B6F"/>
    <w:rsid w:val="00A002F4"/>
    <w:rsid w:val="00A13BC4"/>
    <w:rsid w:val="00A32FE4"/>
    <w:rsid w:val="00A42B64"/>
    <w:rsid w:val="00A62448"/>
    <w:rsid w:val="00A74164"/>
    <w:rsid w:val="00A84A9B"/>
    <w:rsid w:val="00AA09FD"/>
    <w:rsid w:val="00AE77BF"/>
    <w:rsid w:val="00B61230"/>
    <w:rsid w:val="00B6124E"/>
    <w:rsid w:val="00B76170"/>
    <w:rsid w:val="00BA3F2C"/>
    <w:rsid w:val="00BC40AA"/>
    <w:rsid w:val="00BC54FF"/>
    <w:rsid w:val="00BE2C6E"/>
    <w:rsid w:val="00C12A08"/>
    <w:rsid w:val="00C75B46"/>
    <w:rsid w:val="00C83228"/>
    <w:rsid w:val="00C85DEF"/>
    <w:rsid w:val="00CB0A4D"/>
    <w:rsid w:val="00CD1F4C"/>
    <w:rsid w:val="00CE27C2"/>
    <w:rsid w:val="00D062CD"/>
    <w:rsid w:val="00D13C83"/>
    <w:rsid w:val="00D36FFA"/>
    <w:rsid w:val="00D4094A"/>
    <w:rsid w:val="00D46A64"/>
    <w:rsid w:val="00D65A39"/>
    <w:rsid w:val="00D71217"/>
    <w:rsid w:val="00D82839"/>
    <w:rsid w:val="00DC2180"/>
    <w:rsid w:val="00DE21CA"/>
    <w:rsid w:val="00DE4F5B"/>
    <w:rsid w:val="00DF7D8B"/>
    <w:rsid w:val="00E16F3C"/>
    <w:rsid w:val="00E578A3"/>
    <w:rsid w:val="00EA21ED"/>
    <w:rsid w:val="00EE3EE3"/>
    <w:rsid w:val="00F63945"/>
    <w:rsid w:val="00FB0148"/>
    <w:rsid w:val="00FE358C"/>
    <w:rsid w:val="00FE7764"/>
    <w:rsid w:val="00FF3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5882F"/>
  <w15:chartTrackingRefBased/>
  <w15:docId w15:val="{B425FF4C-4198-4749-9ADB-90F0F3674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5F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C5F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C5F84"/>
    <w:pPr>
      <w:ind w:left="720"/>
      <w:contextualSpacing/>
    </w:pPr>
  </w:style>
  <w:style w:type="table" w:styleId="TableGrid">
    <w:name w:val="Table Grid"/>
    <w:basedOn w:val="TableNormal"/>
    <w:uiPriority w:val="39"/>
    <w:rsid w:val="00486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630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060"/>
  </w:style>
  <w:style w:type="paragraph" w:styleId="Footer">
    <w:name w:val="footer"/>
    <w:basedOn w:val="Normal"/>
    <w:link w:val="FooterChar"/>
    <w:uiPriority w:val="99"/>
    <w:unhideWhenUsed/>
    <w:rsid w:val="004630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1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567</Words>
  <Characters>3235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KAGAI, Janet</dc:creator>
  <cp:keywords/>
  <dc:description/>
  <cp:lastModifiedBy>Regine BETHO NEE OLLANDET AKA</cp:lastModifiedBy>
  <cp:revision>2</cp:revision>
  <dcterms:created xsi:type="dcterms:W3CDTF">2023-07-20T19:46:00Z</dcterms:created>
  <dcterms:modified xsi:type="dcterms:W3CDTF">2023-07-20T19:46:00Z</dcterms:modified>
</cp:coreProperties>
</file>