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b w:val="1"/>
          <w:color w:val="1155cc"/>
          <w:sz w:val="26"/>
          <w:szCs w:val="26"/>
        </w:rPr>
      </w:pPr>
      <w:r w:rsidDel="00000000" w:rsidR="00000000" w:rsidRPr="00000000">
        <w:rPr>
          <w:rtl w:val="0"/>
        </w:rPr>
      </w:r>
    </w:p>
    <w:p w:rsidR="00000000" w:rsidDel="00000000" w:rsidP="00000000" w:rsidRDefault="00000000" w:rsidRPr="00000000" w14:paraId="00000002">
      <w:pPr>
        <w:pageBreakBefore w:val="0"/>
        <w:rPr>
          <w:b w:val="1"/>
          <w:color w:val="0b5394"/>
          <w:sz w:val="26"/>
          <w:szCs w:val="26"/>
        </w:rPr>
      </w:pPr>
      <w:r w:rsidDel="00000000" w:rsidR="00000000" w:rsidRPr="00000000">
        <w:rPr>
          <w:b w:val="1"/>
          <w:color w:val="1155cc"/>
          <w:sz w:val="26"/>
          <w:szCs w:val="26"/>
          <w:rtl w:val="0"/>
        </w:rPr>
        <w:t xml:space="preserve">Sexual Exploitation and Abuse (SEA) &amp; Sexual Harassment (SH) Prevention and Response Action Plan - for Contractors</w:t>
      </w:r>
      <w:r w:rsidDel="00000000" w:rsidR="00000000" w:rsidRPr="00000000">
        <w:rPr>
          <w:b w:val="1"/>
          <w:color w:val="0b5394"/>
          <w:sz w:val="26"/>
          <w:szCs w:val="26"/>
          <w:rtl w:val="0"/>
        </w:rPr>
        <w:t xml:space="preserve"> </w:t>
      </w:r>
    </w:p>
    <w:p w:rsidR="00000000" w:rsidDel="00000000" w:rsidP="00000000" w:rsidRDefault="00000000" w:rsidRPr="00000000" w14:paraId="00000003">
      <w:pPr>
        <w:pageBreakBefore w:val="0"/>
        <w:rPr>
          <w:b w:val="1"/>
        </w:rPr>
      </w:pPr>
      <w:r w:rsidDel="00000000" w:rsidR="00000000" w:rsidRPr="00000000">
        <w:rPr>
          <w:rtl w:val="0"/>
        </w:rPr>
      </w:r>
    </w:p>
    <w:p w:rsidR="00000000" w:rsidDel="00000000" w:rsidP="00000000" w:rsidRDefault="00000000" w:rsidRPr="00000000" w14:paraId="00000004">
      <w:pPr>
        <w:pageBreakBefore w:val="0"/>
        <w:rPr>
          <w:b w:val="1"/>
        </w:rPr>
      </w:pPr>
      <w:r w:rsidDel="00000000" w:rsidR="00000000" w:rsidRPr="00000000">
        <w:rPr>
          <w:b w:val="1"/>
          <w:sz w:val="24"/>
          <w:szCs w:val="24"/>
          <w:highlight w:val="white"/>
          <w:rtl w:val="0"/>
        </w:rPr>
        <w:t xml:space="preserve">Project Information</w:t>
      </w:r>
      <w:r w:rsidDel="00000000" w:rsidR="00000000" w:rsidRPr="00000000">
        <w:rPr>
          <w:rtl w:val="0"/>
        </w:rPr>
      </w:r>
    </w:p>
    <w:p w:rsidR="00000000" w:rsidDel="00000000" w:rsidP="00000000" w:rsidRDefault="00000000" w:rsidRPr="00000000" w14:paraId="00000005">
      <w:pPr>
        <w:pageBreakBefore w:val="0"/>
        <w:numPr>
          <w:ilvl w:val="0"/>
          <w:numId w:val="3"/>
        </w:numPr>
        <w:ind w:left="720" w:hanging="360"/>
        <w:rPr/>
      </w:pPr>
      <w:r w:rsidDel="00000000" w:rsidR="00000000" w:rsidRPr="00000000">
        <w:rPr>
          <w:rtl w:val="0"/>
        </w:rPr>
        <w:t xml:space="preserve">Project Name:.................................................  </w:t>
      </w:r>
    </w:p>
    <w:p w:rsidR="00000000" w:rsidDel="00000000" w:rsidP="00000000" w:rsidRDefault="00000000" w:rsidRPr="00000000" w14:paraId="00000006">
      <w:pPr>
        <w:pageBreakBefore w:val="0"/>
        <w:numPr>
          <w:ilvl w:val="0"/>
          <w:numId w:val="3"/>
        </w:numPr>
        <w:ind w:left="720" w:hanging="360"/>
        <w:rPr/>
      </w:pPr>
      <w:r w:rsidDel="00000000" w:rsidR="00000000" w:rsidRPr="00000000">
        <w:rPr>
          <w:rtl w:val="0"/>
        </w:rPr>
        <w:t xml:space="preserve">Subproject Name and Number:.........................................................</w:t>
      </w:r>
    </w:p>
    <w:p w:rsidR="00000000" w:rsidDel="00000000" w:rsidP="00000000" w:rsidRDefault="00000000" w:rsidRPr="00000000" w14:paraId="0000000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tl w:val="0"/>
        </w:rPr>
        <w:t xml:space="preserve">Project</w:t>
      </w:r>
      <w:r w:rsidDel="00000000" w:rsidR="00000000" w:rsidRPr="00000000">
        <w:rPr>
          <w:highlight w:val="white"/>
          <w:rtl w:val="0"/>
        </w:rPr>
        <w:t xml:space="preserve"> Location:.........................................................</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tl w:val="0"/>
        </w:rPr>
        <w:t xml:space="preserve">Funding</w:t>
      </w:r>
      <w:r w:rsidDel="00000000" w:rsidR="00000000" w:rsidRPr="00000000">
        <w:rPr>
          <w:highlight w:val="white"/>
          <w:rtl w:val="0"/>
        </w:rPr>
        <w:t xml:space="preserve"> Source: </w:t>
      </w: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tl w:val="0"/>
        </w:rPr>
        <w:t xml:space="preserve">Project Timeline:.........................................</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b w:val="1"/>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b w:val="1"/>
          <w:sz w:val="24"/>
          <w:szCs w:val="24"/>
          <w:highlight w:val="white"/>
        </w:rPr>
      </w:pPr>
      <w:r w:rsidDel="00000000" w:rsidR="00000000" w:rsidRPr="00000000">
        <w:rPr>
          <w:b w:val="1"/>
          <w:sz w:val="24"/>
          <w:szCs w:val="24"/>
          <w:highlight w:val="white"/>
          <w:rtl w:val="0"/>
        </w:rPr>
        <w:t xml:space="preserve">Contractor/Supplier Information:</w:t>
      </w:r>
    </w:p>
    <w:p w:rsidR="00000000" w:rsidDel="00000000" w:rsidP="00000000" w:rsidRDefault="00000000" w:rsidRPr="00000000" w14:paraId="0000000C">
      <w:pPr>
        <w:numPr>
          <w:ilvl w:val="0"/>
          <w:numId w:val="3"/>
        </w:numPr>
        <w:ind w:left="720" w:hanging="360"/>
        <w:rPr/>
      </w:pPr>
      <w:r w:rsidDel="00000000" w:rsidR="00000000" w:rsidRPr="00000000">
        <w:rPr>
          <w:rtl w:val="0"/>
        </w:rPr>
        <w:t xml:space="preserve">Contractor/Supplier Name:.................................................  </w:t>
      </w:r>
    </w:p>
    <w:p w:rsidR="00000000" w:rsidDel="00000000" w:rsidP="00000000" w:rsidRDefault="00000000" w:rsidRPr="00000000" w14:paraId="0000000D">
      <w:pPr>
        <w:numPr>
          <w:ilvl w:val="0"/>
          <w:numId w:val="3"/>
        </w:numPr>
        <w:ind w:left="720" w:hanging="360"/>
        <w:rPr/>
      </w:pPr>
      <w:r w:rsidDel="00000000" w:rsidR="00000000" w:rsidRPr="00000000">
        <w:rPr>
          <w:rtl w:val="0"/>
        </w:rPr>
        <w:t xml:space="preserve">RFQ Reference:................................................................</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highlight w:val="white"/>
        </w:rPr>
      </w:pPr>
      <w:r w:rsidDel="00000000" w:rsidR="00000000" w:rsidRPr="00000000">
        <w:rPr>
          <w:rtl w:val="0"/>
        </w:rPr>
      </w:r>
    </w:p>
    <w:p w:rsidR="00000000" w:rsidDel="00000000" w:rsidP="00000000" w:rsidRDefault="00000000" w:rsidRPr="00000000" w14:paraId="0000000F">
      <w:pPr>
        <w:pageBreakBefore w:val="0"/>
        <w:rPr>
          <w:b w:val="1"/>
          <w:sz w:val="24"/>
          <w:szCs w:val="24"/>
          <w:highlight w:val="white"/>
        </w:rPr>
      </w:pPr>
      <w:r w:rsidDel="00000000" w:rsidR="00000000" w:rsidRPr="00000000">
        <w:rPr>
          <w:b w:val="1"/>
          <w:sz w:val="24"/>
          <w:szCs w:val="24"/>
          <w:highlight w:val="white"/>
          <w:rtl w:val="0"/>
        </w:rPr>
        <w:t xml:space="preserve">SEA &amp; SH Prevention and Response Action plan objectives</w:t>
      </w:r>
    </w:p>
    <w:p w:rsidR="00000000" w:rsidDel="00000000" w:rsidP="00000000" w:rsidRDefault="00000000" w:rsidRPr="00000000" w14:paraId="00000010">
      <w:pPr>
        <w:pageBreakBefore w:val="0"/>
        <w:rPr>
          <w:b w:val="1"/>
          <w:highlight w:val="white"/>
        </w:rPr>
      </w:pPr>
      <w:r w:rsidDel="00000000" w:rsidR="00000000" w:rsidRPr="00000000">
        <w:rPr>
          <w:rtl w:val="0"/>
        </w:rPr>
      </w:r>
    </w:p>
    <w:p w:rsidR="00000000" w:rsidDel="00000000" w:rsidP="00000000" w:rsidRDefault="00000000" w:rsidRPr="00000000" w14:paraId="00000011">
      <w:pPr>
        <w:pageBreakBefore w:val="0"/>
        <w:rPr>
          <w:highlight w:val="white"/>
        </w:rPr>
      </w:pPr>
      <w:r w:rsidDel="00000000" w:rsidR="00000000" w:rsidRPr="00000000">
        <w:rPr>
          <w:b w:val="1"/>
          <w:highlight w:val="white"/>
          <w:rtl w:val="0"/>
        </w:rPr>
        <w:t xml:space="preserve">General Objective:</w:t>
      </w:r>
      <w:r w:rsidDel="00000000" w:rsidR="00000000" w:rsidRPr="00000000">
        <w:rPr>
          <w:rtl w:val="0"/>
        </w:rPr>
      </w:r>
    </w:p>
    <w:p w:rsidR="00000000" w:rsidDel="00000000" w:rsidP="00000000" w:rsidRDefault="00000000" w:rsidRPr="00000000" w14:paraId="00000012">
      <w:pPr>
        <w:pageBreakBefore w:val="0"/>
        <w:jc w:val="both"/>
        <w:rPr>
          <w:highlight w:val="white"/>
        </w:rPr>
      </w:pPr>
      <w:r w:rsidDel="00000000" w:rsidR="00000000" w:rsidRPr="00000000">
        <w:rPr>
          <w:highlight w:val="white"/>
          <w:rtl w:val="0"/>
        </w:rPr>
        <w:t xml:space="preserve">The objective of the Action Plan is to establish procedures and actions for protecting project beneficiaries (local communities) from Sexual Exploitation and Abuse (SEA) as well as project beneficiaries and project workers from Sexual Harassment (SH) by providing adequate response mechanisms.</w:t>
      </w:r>
    </w:p>
    <w:p w:rsidR="00000000" w:rsidDel="00000000" w:rsidP="00000000" w:rsidRDefault="00000000" w:rsidRPr="00000000" w14:paraId="00000013">
      <w:pPr>
        <w:pageBreakBefore w:val="0"/>
        <w:jc w:val="both"/>
        <w:rPr>
          <w:highlight w:val="white"/>
        </w:rPr>
      </w:pPr>
      <w:r w:rsidDel="00000000" w:rsidR="00000000" w:rsidRPr="00000000">
        <w:rPr>
          <w:rtl w:val="0"/>
        </w:rPr>
      </w:r>
    </w:p>
    <w:p w:rsidR="00000000" w:rsidDel="00000000" w:rsidP="00000000" w:rsidRDefault="00000000" w:rsidRPr="00000000" w14:paraId="00000014">
      <w:pPr>
        <w:pageBreakBefore w:val="0"/>
        <w:jc w:val="both"/>
        <w:rPr>
          <w:highlight w:val="white"/>
        </w:rPr>
      </w:pPr>
      <w:r w:rsidDel="00000000" w:rsidR="00000000" w:rsidRPr="00000000">
        <w:rPr>
          <w:highlight w:val="white"/>
          <w:rtl w:val="0"/>
        </w:rPr>
        <w:t xml:space="preserve">In brief, it is meant to protect beneficiaries/ personnel from potential/real SEA and SH risks caused by UNOPS contractors’ actions during service provision.</w:t>
      </w:r>
    </w:p>
    <w:p w:rsidR="00000000" w:rsidDel="00000000" w:rsidP="00000000" w:rsidRDefault="00000000" w:rsidRPr="00000000" w14:paraId="00000015">
      <w:pPr>
        <w:pageBreakBefore w:val="0"/>
        <w:jc w:val="both"/>
        <w:rPr>
          <w:highlight w:val="white"/>
        </w:rPr>
      </w:pPr>
      <w:r w:rsidDel="00000000" w:rsidR="00000000" w:rsidRPr="00000000">
        <w:rPr>
          <w:rtl w:val="0"/>
        </w:rPr>
      </w:r>
    </w:p>
    <w:p w:rsidR="00000000" w:rsidDel="00000000" w:rsidP="00000000" w:rsidRDefault="00000000" w:rsidRPr="00000000" w14:paraId="00000016">
      <w:pPr>
        <w:pageBreakBefore w:val="0"/>
        <w:ind w:left="0" w:firstLine="0"/>
        <w:jc w:val="both"/>
        <w:rPr>
          <w:i w:val="1"/>
          <w:color w:val="202124"/>
        </w:rPr>
      </w:pPr>
      <w:r w:rsidDel="00000000" w:rsidR="00000000" w:rsidRPr="00000000">
        <w:rPr>
          <w:i w:val="1"/>
          <w:rtl w:val="0"/>
        </w:rPr>
        <w:t xml:space="preserve">This plan includes the minimum standards UNOPS expects from the contractor/supplier according to UNOPS Terms and Conditions of Contract, under clause </w:t>
      </w:r>
      <w:r w:rsidDel="00000000" w:rsidR="00000000" w:rsidRPr="00000000">
        <w:rPr>
          <w:i w:val="1"/>
          <w:color w:val="202124"/>
          <w:rtl w:val="0"/>
        </w:rPr>
        <w:t xml:space="preserve">4.27 Sexual Harassment, Exploitation and Abuse.</w:t>
      </w:r>
    </w:p>
    <w:p w:rsidR="00000000" w:rsidDel="00000000" w:rsidP="00000000" w:rsidRDefault="00000000" w:rsidRPr="00000000" w14:paraId="00000017">
      <w:pPr>
        <w:pageBreakBefore w:val="0"/>
        <w:ind w:left="0" w:firstLine="0"/>
        <w:jc w:val="both"/>
        <w:rPr>
          <w:i w:val="1"/>
        </w:rPr>
      </w:pPr>
      <w:r w:rsidDel="00000000" w:rsidR="00000000" w:rsidRPr="00000000">
        <w:rPr>
          <w:i w:val="1"/>
          <w:rtl w:val="0"/>
        </w:rPr>
        <w:t xml:space="preserve">These minimum standards are based on UNOPS guidance </w:t>
      </w:r>
      <w:hyperlink r:id="rId6">
        <w:r w:rsidDel="00000000" w:rsidR="00000000" w:rsidRPr="00000000">
          <w:rPr>
            <w:i w:val="1"/>
            <w:color w:val="1155cc"/>
            <w:u w:val="single"/>
            <w:rtl w:val="0"/>
          </w:rPr>
          <w:t xml:space="preserve">GS04</w:t>
        </w:r>
      </w:hyperlink>
      <w:r w:rsidDel="00000000" w:rsidR="00000000" w:rsidRPr="00000000">
        <w:rPr>
          <w:i w:val="1"/>
          <w:rtl w:val="0"/>
        </w:rPr>
        <w:t xml:space="preserve"> “Guidance on minimum requirements for works contractors on Protection from Sexual Exploitation, Abuse and Harassment (PSEAH)”</w:t>
      </w:r>
    </w:p>
    <w:p w:rsidR="00000000" w:rsidDel="00000000" w:rsidP="00000000" w:rsidRDefault="00000000" w:rsidRPr="00000000" w14:paraId="00000018">
      <w:pPr>
        <w:pageBreakBefore w:val="0"/>
        <w:rPr>
          <w:b w:val="1"/>
          <w:highlight w:val="white"/>
        </w:rPr>
      </w:pPr>
      <w:r w:rsidDel="00000000" w:rsidR="00000000" w:rsidRPr="00000000">
        <w:rPr>
          <w:rtl w:val="0"/>
        </w:rPr>
      </w:r>
    </w:p>
    <w:p w:rsidR="00000000" w:rsidDel="00000000" w:rsidP="00000000" w:rsidRDefault="00000000" w:rsidRPr="00000000" w14:paraId="00000019">
      <w:pPr>
        <w:rPr>
          <w:b w:val="1"/>
          <w:sz w:val="24"/>
          <w:szCs w:val="24"/>
          <w:highlight w:val="white"/>
        </w:rPr>
      </w:pPr>
      <w:r w:rsidDel="00000000" w:rsidR="00000000" w:rsidRPr="00000000">
        <w:rPr>
          <w:b w:val="1"/>
          <w:sz w:val="24"/>
          <w:szCs w:val="24"/>
          <w:highlight w:val="white"/>
          <w:rtl w:val="0"/>
        </w:rPr>
        <w:t xml:space="preserve">Definitions with acronyms </w:t>
      </w:r>
    </w:p>
    <w:p w:rsidR="00000000" w:rsidDel="00000000" w:rsidP="00000000" w:rsidRDefault="00000000" w:rsidRPr="00000000" w14:paraId="0000001A">
      <w:pPr>
        <w:pageBreakBefore w:val="0"/>
        <w:numPr>
          <w:ilvl w:val="0"/>
          <w:numId w:val="2"/>
        </w:numPr>
        <w:ind w:left="720" w:hanging="360"/>
        <w:rPr/>
      </w:pPr>
      <w:r w:rsidDel="00000000" w:rsidR="00000000" w:rsidRPr="00000000">
        <w:rPr>
          <w:b w:val="1"/>
          <w:rtl w:val="0"/>
        </w:rPr>
        <w:t xml:space="preserve">Child: </w:t>
      </w:r>
      <w:r w:rsidDel="00000000" w:rsidR="00000000" w:rsidRPr="00000000">
        <w:rPr>
          <w:rtl w:val="0"/>
        </w:rPr>
        <w:t xml:space="preserve">any person below the age of eighteen years</w:t>
      </w:r>
    </w:p>
    <w:p w:rsidR="00000000" w:rsidDel="00000000" w:rsidP="00000000" w:rsidRDefault="00000000" w:rsidRPr="00000000" w14:paraId="0000001B">
      <w:pPr>
        <w:pageBreakBefore w:val="0"/>
        <w:ind w:left="720" w:firstLine="0"/>
        <w:rPr/>
      </w:pPr>
      <w:r w:rsidDel="00000000" w:rsidR="00000000" w:rsidRPr="00000000">
        <w:rPr>
          <w:rtl w:val="0"/>
        </w:rPr>
      </w:r>
    </w:p>
    <w:p w:rsidR="00000000" w:rsidDel="00000000" w:rsidP="00000000" w:rsidRDefault="00000000" w:rsidRPr="00000000" w14:paraId="0000001C">
      <w:pPr>
        <w:numPr>
          <w:ilvl w:val="0"/>
          <w:numId w:val="15"/>
        </w:numPr>
        <w:ind w:left="720" w:hanging="360"/>
        <w:rPr/>
      </w:pPr>
      <w:r w:rsidDel="00000000" w:rsidR="00000000" w:rsidRPr="00000000">
        <w:rPr>
          <w:b w:val="1"/>
          <w:rtl w:val="0"/>
        </w:rPr>
        <w:t xml:space="preserve">Incapacitated</w:t>
      </w:r>
      <w:r w:rsidDel="00000000" w:rsidR="00000000" w:rsidRPr="00000000">
        <w:rPr>
          <w:rtl w:val="0"/>
        </w:rPr>
        <w:t xml:space="preserve">: A person who couldn’t able to give a consent </w:t>
      </w:r>
    </w:p>
    <w:p w:rsidR="00000000" w:rsidDel="00000000" w:rsidP="00000000" w:rsidRDefault="00000000" w:rsidRPr="00000000" w14:paraId="0000001D">
      <w:pPr>
        <w:pageBreakBefore w:val="0"/>
        <w:ind w:left="720" w:firstLine="0"/>
        <w:rPr>
          <w:b w:val="1"/>
        </w:rPr>
      </w:pPr>
      <w:r w:rsidDel="00000000" w:rsidR="00000000" w:rsidRPr="00000000">
        <w:rPr>
          <w:rtl w:val="0"/>
        </w:rPr>
      </w:r>
    </w:p>
    <w:p w:rsidR="00000000" w:rsidDel="00000000" w:rsidP="00000000" w:rsidRDefault="00000000" w:rsidRPr="00000000" w14:paraId="0000001E">
      <w:pPr>
        <w:pageBreakBefore w:val="0"/>
        <w:numPr>
          <w:ilvl w:val="0"/>
          <w:numId w:val="2"/>
        </w:numPr>
        <w:ind w:left="720" w:hanging="360"/>
        <w:rPr/>
      </w:pPr>
      <w:r w:rsidDel="00000000" w:rsidR="00000000" w:rsidRPr="00000000">
        <w:rPr>
          <w:b w:val="1"/>
          <w:rtl w:val="0"/>
        </w:rPr>
        <w:t xml:space="preserve">Harm</w:t>
      </w:r>
      <w:r w:rsidDel="00000000" w:rsidR="00000000" w:rsidRPr="00000000">
        <w:rPr>
          <w:rtl w:val="0"/>
        </w:rPr>
        <w:t xml:space="preserve">: Negative impacts of visible and/or nonvisible acts towards individuals or groups</w:t>
      </w:r>
    </w:p>
    <w:p w:rsidR="00000000" w:rsidDel="00000000" w:rsidP="00000000" w:rsidRDefault="00000000" w:rsidRPr="00000000" w14:paraId="0000001F">
      <w:pPr>
        <w:pageBreakBefore w:val="0"/>
        <w:ind w:left="720" w:firstLine="0"/>
        <w:rPr/>
      </w:pPr>
      <w:r w:rsidDel="00000000" w:rsidR="00000000" w:rsidRPr="00000000">
        <w:rPr>
          <w:rtl w:val="0"/>
        </w:rPr>
      </w:r>
    </w:p>
    <w:p w:rsidR="00000000" w:rsidDel="00000000" w:rsidP="00000000" w:rsidRDefault="00000000" w:rsidRPr="00000000" w14:paraId="00000020">
      <w:pPr>
        <w:pageBreakBefore w:val="0"/>
        <w:numPr>
          <w:ilvl w:val="0"/>
          <w:numId w:val="2"/>
        </w:numPr>
        <w:ind w:left="720" w:hanging="360"/>
        <w:rPr/>
      </w:pPr>
      <w:r w:rsidDel="00000000" w:rsidR="00000000" w:rsidRPr="00000000">
        <w:rPr>
          <w:b w:val="1"/>
          <w:rtl w:val="0"/>
        </w:rPr>
        <w:t xml:space="preserve">Gender roles:</w:t>
      </w:r>
      <w:r w:rsidDel="00000000" w:rsidR="00000000" w:rsidRPr="00000000">
        <w:rPr>
          <w:rtl w:val="0"/>
        </w:rPr>
        <w:t xml:space="preserve"> social roles and behaviors that are generally considered appropriate or desirable for a person based on that person's biological or </w:t>
      </w:r>
      <w:r w:rsidDel="00000000" w:rsidR="00000000" w:rsidRPr="00000000">
        <w:rPr>
          <w:u w:val="single"/>
          <w:rtl w:val="0"/>
        </w:rPr>
        <w:t xml:space="preserve">perceived sex</w:t>
      </w:r>
      <w:r w:rsidDel="00000000" w:rsidR="00000000" w:rsidRPr="00000000">
        <w:rPr>
          <w:rtl w:val="0"/>
        </w:rPr>
      </w:r>
    </w:p>
    <w:p w:rsidR="00000000" w:rsidDel="00000000" w:rsidP="00000000" w:rsidRDefault="00000000" w:rsidRPr="00000000" w14:paraId="00000021">
      <w:pPr>
        <w:pageBreakBefore w:val="0"/>
        <w:ind w:left="720" w:firstLine="0"/>
        <w:rPr/>
      </w:pPr>
      <w:r w:rsidDel="00000000" w:rsidR="00000000" w:rsidRPr="00000000">
        <w:rPr>
          <w:rtl w:val="0"/>
        </w:rPr>
      </w:r>
    </w:p>
    <w:p w:rsidR="00000000" w:rsidDel="00000000" w:rsidP="00000000" w:rsidRDefault="00000000" w:rsidRPr="00000000" w14:paraId="00000022">
      <w:pPr>
        <w:pageBreakBefore w:val="0"/>
        <w:numPr>
          <w:ilvl w:val="0"/>
          <w:numId w:val="16"/>
        </w:numPr>
        <w:ind w:left="720" w:hanging="360"/>
        <w:rPr/>
      </w:pPr>
      <w:r w:rsidDel="00000000" w:rsidR="00000000" w:rsidRPr="00000000">
        <w:rPr>
          <w:b w:val="1"/>
          <w:rtl w:val="0"/>
        </w:rPr>
        <w:t xml:space="preserve">Gender-Based Violence (GBV)</w:t>
      </w:r>
      <w:r w:rsidDel="00000000" w:rsidR="00000000" w:rsidRPr="00000000">
        <w:rPr>
          <w:rtl w:val="0"/>
        </w:rPr>
        <w:t xml:space="preserve">: A type of violence directed against a person because of that person's gender role. It can be visible or nonvisible and it results from </w:t>
      </w:r>
      <w:r w:rsidDel="00000000" w:rsidR="00000000" w:rsidRPr="00000000">
        <w:rPr>
          <w:u w:val="single"/>
          <w:rtl w:val="0"/>
        </w:rPr>
        <w:t xml:space="preserve">power inequalities</w:t>
      </w:r>
      <w:r w:rsidDel="00000000" w:rsidR="00000000" w:rsidRPr="00000000">
        <w:rPr>
          <w:rtl w:val="0"/>
        </w:rPr>
        <w:t xml:space="preserve"> based on these roles</w:t>
      </w:r>
    </w:p>
    <w:p w:rsidR="00000000" w:rsidDel="00000000" w:rsidP="00000000" w:rsidRDefault="00000000" w:rsidRPr="00000000" w14:paraId="00000023">
      <w:pPr>
        <w:pageBreakBefore w:val="0"/>
        <w:ind w:left="720" w:firstLine="0"/>
        <w:rPr/>
      </w:pPr>
      <w:r w:rsidDel="00000000" w:rsidR="00000000" w:rsidRPr="00000000">
        <w:rPr>
          <w:rtl w:val="0"/>
        </w:rPr>
      </w:r>
    </w:p>
    <w:p w:rsidR="00000000" w:rsidDel="00000000" w:rsidP="00000000" w:rsidRDefault="00000000" w:rsidRPr="00000000" w14:paraId="00000024">
      <w:pPr>
        <w:pageBreakBefore w:val="0"/>
        <w:numPr>
          <w:ilvl w:val="0"/>
          <w:numId w:val="16"/>
        </w:numPr>
        <w:ind w:left="720" w:hanging="360"/>
        <w:rPr/>
      </w:pPr>
      <w:r w:rsidDel="00000000" w:rsidR="00000000" w:rsidRPr="00000000">
        <w:rPr>
          <w:b w:val="1"/>
          <w:rtl w:val="0"/>
        </w:rPr>
        <w:t xml:space="preserve">Sexual Exploitation (SE)</w:t>
      </w:r>
      <w:r w:rsidDel="00000000" w:rsidR="00000000" w:rsidRPr="00000000">
        <w:rPr>
          <w:rtl w:val="0"/>
        </w:rPr>
        <w:t xml:space="preserve">: Any actual or attempted abuse of position of 1) vulnerability, 2) differential power or 3) trust, for sexual purposes</w:t>
      </w:r>
    </w:p>
    <w:p w:rsidR="00000000" w:rsidDel="00000000" w:rsidP="00000000" w:rsidRDefault="00000000" w:rsidRPr="00000000" w14:paraId="00000025">
      <w:pPr>
        <w:pageBreakBefore w:val="0"/>
        <w:ind w:left="720" w:firstLine="0"/>
        <w:rPr/>
      </w:pPr>
      <w:r w:rsidDel="00000000" w:rsidR="00000000" w:rsidRPr="00000000">
        <w:rPr>
          <w:rtl w:val="0"/>
        </w:rPr>
      </w:r>
    </w:p>
    <w:p w:rsidR="00000000" w:rsidDel="00000000" w:rsidP="00000000" w:rsidRDefault="00000000" w:rsidRPr="00000000" w14:paraId="00000026">
      <w:pPr>
        <w:pageBreakBefore w:val="0"/>
        <w:numPr>
          <w:ilvl w:val="0"/>
          <w:numId w:val="16"/>
        </w:numPr>
        <w:ind w:left="720" w:hanging="360"/>
        <w:rPr/>
      </w:pPr>
      <w:r w:rsidDel="00000000" w:rsidR="00000000" w:rsidRPr="00000000">
        <w:rPr>
          <w:b w:val="1"/>
          <w:rtl w:val="0"/>
        </w:rPr>
        <w:t xml:space="preserve">Sexual Abuse (SA):</w:t>
      </w:r>
      <w:r w:rsidDel="00000000" w:rsidR="00000000" w:rsidRPr="00000000">
        <w:rPr>
          <w:rtl w:val="0"/>
        </w:rPr>
        <w:t xml:space="preserve"> Actual or threatened physical intrusion of a sexual nature, whether by force or under unequal or coercive conditions. This includes any sexual activity with children/ minors.</w:t>
      </w:r>
    </w:p>
    <w:p w:rsidR="00000000" w:rsidDel="00000000" w:rsidP="00000000" w:rsidRDefault="00000000" w:rsidRPr="00000000" w14:paraId="00000027">
      <w:pPr>
        <w:pageBreakBefore w:val="0"/>
        <w:ind w:left="720" w:firstLine="0"/>
        <w:rPr/>
      </w:pPr>
      <w:r w:rsidDel="00000000" w:rsidR="00000000" w:rsidRPr="00000000">
        <w:rPr>
          <w:rtl w:val="0"/>
        </w:rPr>
      </w:r>
    </w:p>
    <w:p w:rsidR="00000000" w:rsidDel="00000000" w:rsidP="00000000" w:rsidRDefault="00000000" w:rsidRPr="00000000" w14:paraId="00000028">
      <w:pPr>
        <w:pageBreakBefore w:val="0"/>
        <w:numPr>
          <w:ilvl w:val="0"/>
          <w:numId w:val="16"/>
        </w:numPr>
        <w:ind w:left="720" w:hanging="360"/>
        <w:rPr/>
      </w:pPr>
      <w:r w:rsidDel="00000000" w:rsidR="00000000" w:rsidRPr="00000000">
        <w:rPr>
          <w:b w:val="1"/>
          <w:rtl w:val="0"/>
        </w:rPr>
        <w:t xml:space="preserve">Sexual Harassment:</w:t>
      </w:r>
      <w:r w:rsidDel="00000000" w:rsidR="00000000" w:rsidRPr="00000000">
        <w:rPr>
          <w:rtl w:val="0"/>
        </w:rPr>
        <w:t xml:space="preserve"> Any unwelcome sexual advance which includes 1) Request for sexual favor, 2) Verbal, physical conduct or gestures of a sexual nature, 3) Any other behavior of a sexual nature that has or might reasonably be expected or be perceived to cause offence, intimidation or humiliation to another</w:t>
      </w:r>
    </w:p>
    <w:p w:rsidR="00000000" w:rsidDel="00000000" w:rsidP="00000000" w:rsidRDefault="00000000" w:rsidRPr="00000000" w14:paraId="00000029">
      <w:pPr>
        <w:pageBreakBefore w:val="0"/>
        <w:ind w:left="720" w:firstLine="0"/>
        <w:rPr/>
      </w:pPr>
      <w:r w:rsidDel="00000000" w:rsidR="00000000" w:rsidRPr="00000000">
        <w:rPr>
          <w:rtl w:val="0"/>
        </w:rPr>
      </w:r>
    </w:p>
    <w:p w:rsidR="00000000" w:rsidDel="00000000" w:rsidP="00000000" w:rsidRDefault="00000000" w:rsidRPr="00000000" w14:paraId="0000002A">
      <w:pPr>
        <w:pageBreakBefore w:val="0"/>
        <w:numPr>
          <w:ilvl w:val="0"/>
          <w:numId w:val="16"/>
        </w:numPr>
        <w:ind w:left="720" w:hanging="360"/>
        <w:rPr/>
      </w:pPr>
      <w:r w:rsidDel="00000000" w:rsidR="00000000" w:rsidRPr="00000000">
        <w:rPr>
          <w:b w:val="1"/>
          <w:rtl w:val="0"/>
        </w:rPr>
        <w:t xml:space="preserve">Survivor/Victim:</w:t>
      </w:r>
      <w:r w:rsidDel="00000000" w:rsidR="00000000" w:rsidRPr="00000000">
        <w:rPr>
          <w:rtl w:val="0"/>
        </w:rPr>
        <w:t xml:space="preserve"> A person who is, or has been, exploited or abused.</w:t>
      </w:r>
    </w:p>
    <w:p w:rsidR="00000000" w:rsidDel="00000000" w:rsidP="00000000" w:rsidRDefault="00000000" w:rsidRPr="00000000" w14:paraId="0000002B">
      <w:pPr>
        <w:pageBreakBefore w:val="0"/>
        <w:ind w:left="720" w:firstLine="0"/>
        <w:rPr/>
      </w:pPr>
      <w:r w:rsidDel="00000000" w:rsidR="00000000" w:rsidRPr="00000000">
        <w:rPr>
          <w:rtl w:val="0"/>
        </w:rPr>
      </w:r>
    </w:p>
    <w:p w:rsidR="00000000" w:rsidDel="00000000" w:rsidP="00000000" w:rsidRDefault="00000000" w:rsidRPr="00000000" w14:paraId="0000002C">
      <w:pPr>
        <w:pageBreakBefore w:val="0"/>
        <w:numPr>
          <w:ilvl w:val="0"/>
          <w:numId w:val="16"/>
        </w:numPr>
        <w:ind w:left="720" w:hanging="360"/>
        <w:rPr/>
      </w:pPr>
      <w:r w:rsidDel="00000000" w:rsidR="00000000" w:rsidRPr="00000000">
        <w:rPr>
          <w:b w:val="1"/>
          <w:rtl w:val="0"/>
        </w:rPr>
        <w:t xml:space="preserve">Perpetrator:</w:t>
      </w:r>
      <w:r w:rsidDel="00000000" w:rsidR="00000000" w:rsidRPr="00000000">
        <w:rPr>
          <w:rtl w:val="0"/>
        </w:rPr>
        <w:t xml:space="preserve"> A person who commits an act of SEA or other type of crime</w:t>
      </w:r>
    </w:p>
    <w:p w:rsidR="00000000" w:rsidDel="00000000" w:rsidP="00000000" w:rsidRDefault="00000000" w:rsidRPr="00000000" w14:paraId="0000002D">
      <w:pPr>
        <w:pageBreakBefore w:val="0"/>
        <w:rPr>
          <w:b w:val="1"/>
          <w:sz w:val="24"/>
          <w:szCs w:val="24"/>
          <w:highlight w:val="white"/>
        </w:rPr>
      </w:pPr>
      <w:r w:rsidDel="00000000" w:rsidR="00000000" w:rsidRPr="00000000">
        <w:rPr>
          <w:rtl w:val="0"/>
        </w:rPr>
      </w:r>
    </w:p>
    <w:p w:rsidR="00000000" w:rsidDel="00000000" w:rsidP="00000000" w:rsidRDefault="00000000" w:rsidRPr="00000000" w14:paraId="0000002E">
      <w:pPr>
        <w:pageBreakBefore w:val="0"/>
        <w:numPr>
          <w:ilvl w:val="0"/>
          <w:numId w:val="4"/>
        </w:numPr>
        <w:ind w:left="720" w:hanging="360"/>
        <w:rPr>
          <w:sz w:val="24"/>
          <w:szCs w:val="24"/>
          <w:highlight w:val="white"/>
        </w:rPr>
      </w:pPr>
      <w:r w:rsidDel="00000000" w:rsidR="00000000" w:rsidRPr="00000000">
        <w:rPr>
          <w:b w:val="1"/>
          <w:rtl w:val="0"/>
        </w:rPr>
        <w:t xml:space="preserve">Gender Mainstreaming:</w:t>
      </w:r>
      <w:r w:rsidDel="00000000" w:rsidR="00000000" w:rsidRPr="00000000">
        <w:rPr>
          <w:rtl w:val="0"/>
        </w:rPr>
        <w:t xml:space="preserve"> The integration of a gender perspective (promoting equality between women and men, combating discrimination and avoiding potential and real gender-related risks) into the preparation, design, implementation, monitoring and evaluation of project scope of work</w:t>
      </w:r>
      <w:r w:rsidDel="00000000" w:rsidR="00000000" w:rsidRPr="00000000">
        <w:rPr>
          <w:rtl w:val="0"/>
        </w:rPr>
      </w:r>
    </w:p>
    <w:p w:rsidR="00000000" w:rsidDel="00000000" w:rsidP="00000000" w:rsidRDefault="00000000" w:rsidRPr="00000000" w14:paraId="0000002F">
      <w:pPr>
        <w:pageBreakBefore w:val="0"/>
        <w:ind w:left="720" w:firstLine="0"/>
        <w:rPr/>
      </w:pPr>
      <w:r w:rsidDel="00000000" w:rsidR="00000000" w:rsidRPr="00000000">
        <w:rPr>
          <w:rtl w:val="0"/>
        </w:rPr>
      </w:r>
    </w:p>
    <w:p w:rsidR="00000000" w:rsidDel="00000000" w:rsidP="00000000" w:rsidRDefault="00000000" w:rsidRPr="00000000" w14:paraId="00000030">
      <w:pPr>
        <w:pageBreakBefore w:val="0"/>
        <w:numPr>
          <w:ilvl w:val="0"/>
          <w:numId w:val="4"/>
        </w:numPr>
        <w:ind w:left="720" w:hanging="360"/>
        <w:rPr/>
      </w:pPr>
      <w:r w:rsidDel="00000000" w:rsidR="00000000" w:rsidRPr="00000000">
        <w:rPr>
          <w:b w:val="1"/>
          <w:rtl w:val="0"/>
        </w:rPr>
        <w:t xml:space="preserve">SEAH PRAP:</w:t>
      </w:r>
      <w:r w:rsidDel="00000000" w:rsidR="00000000" w:rsidRPr="00000000">
        <w:rPr>
          <w:rtl w:val="0"/>
        </w:rPr>
        <w:t xml:space="preserve"> Sexual Exploitation, Abuse and Harassment Prevention and Response Action Plan. List the tasks relevant to preventing SEAH that you need to complete to deliver a project objective in terms of PSEA/H components</w:t>
      </w:r>
    </w:p>
    <w:p w:rsidR="00000000" w:rsidDel="00000000" w:rsidP="00000000" w:rsidRDefault="00000000" w:rsidRPr="00000000" w14:paraId="00000031">
      <w:pPr>
        <w:pageBreakBefore w:val="0"/>
        <w:ind w:left="720" w:firstLine="0"/>
        <w:rPr/>
      </w:pPr>
      <w:r w:rsidDel="00000000" w:rsidR="00000000" w:rsidRPr="00000000">
        <w:rPr>
          <w:rtl w:val="0"/>
        </w:rPr>
      </w:r>
    </w:p>
    <w:p w:rsidR="00000000" w:rsidDel="00000000" w:rsidP="00000000" w:rsidRDefault="00000000" w:rsidRPr="00000000" w14:paraId="00000032">
      <w:pPr>
        <w:numPr>
          <w:ilvl w:val="0"/>
          <w:numId w:val="8"/>
        </w:numPr>
        <w:ind w:left="720" w:hanging="360"/>
        <w:rPr/>
      </w:pPr>
      <w:r w:rsidDel="00000000" w:rsidR="00000000" w:rsidRPr="00000000">
        <w:rPr>
          <w:b w:val="1"/>
          <w:rtl w:val="0"/>
        </w:rPr>
        <w:t xml:space="preserve">Code of Conduct (CoC)</w:t>
      </w:r>
      <w:r w:rsidDel="00000000" w:rsidR="00000000" w:rsidRPr="00000000">
        <w:rPr>
          <w:rtl w:val="0"/>
        </w:rPr>
        <w:t xml:space="preserve">: Set of principles within an organization. It lays out the organizational principles, standards, and the moral and ethical expectations that employees and third parties are held to as they interact with the organization and the local population on project sites</w:t>
      </w:r>
    </w:p>
    <w:p w:rsidR="00000000" w:rsidDel="00000000" w:rsidP="00000000" w:rsidRDefault="00000000" w:rsidRPr="00000000" w14:paraId="00000033">
      <w:pPr>
        <w:pageBreakBefore w:val="0"/>
        <w:rPr/>
      </w:pPr>
      <w:r w:rsidDel="00000000" w:rsidR="00000000" w:rsidRPr="00000000">
        <w:rPr>
          <w:rtl w:val="0"/>
        </w:rPr>
      </w:r>
    </w:p>
    <w:p w:rsidR="00000000" w:rsidDel="00000000" w:rsidP="00000000" w:rsidRDefault="00000000" w:rsidRPr="00000000" w14:paraId="00000034">
      <w:pPr>
        <w:pageBreakBefore w:val="0"/>
        <w:rPr/>
      </w:pPr>
      <w:r w:rsidDel="00000000" w:rsidR="00000000" w:rsidRPr="00000000">
        <w:rPr>
          <w:rtl w:val="0"/>
        </w:rPr>
      </w:r>
    </w:p>
    <w:p w:rsidR="00000000" w:rsidDel="00000000" w:rsidP="00000000" w:rsidRDefault="00000000" w:rsidRPr="00000000" w14:paraId="00000035">
      <w:pPr>
        <w:pageBreakBefore w:val="0"/>
        <w:rPr>
          <w:sz w:val="24"/>
          <w:szCs w:val="24"/>
        </w:rPr>
      </w:pPr>
      <w:r w:rsidDel="00000000" w:rsidR="00000000" w:rsidRPr="00000000">
        <w:rPr>
          <w:b w:val="1"/>
          <w:sz w:val="24"/>
          <w:szCs w:val="24"/>
          <w:rtl w:val="0"/>
        </w:rPr>
        <w:t xml:space="preserve">Principles for SEA</w:t>
      </w:r>
      <w:r w:rsidDel="00000000" w:rsidR="00000000" w:rsidRPr="00000000">
        <w:rPr>
          <w:rtl w:val="0"/>
        </w:rPr>
      </w:r>
    </w:p>
    <w:p w:rsidR="00000000" w:rsidDel="00000000" w:rsidP="00000000" w:rsidRDefault="00000000" w:rsidRPr="00000000" w14:paraId="00000036">
      <w:pPr>
        <w:pageBreakBefore w:val="0"/>
        <w:rPr/>
      </w:pPr>
      <w:r w:rsidDel="00000000" w:rsidR="00000000" w:rsidRPr="00000000">
        <w:rPr>
          <w:rtl w:val="0"/>
        </w:rPr>
        <w:t xml:space="preserve">Every humanitarian worker, including contractor staff, shall adhere to the </w:t>
      </w:r>
      <w:r w:rsidDel="00000000" w:rsidR="00000000" w:rsidRPr="00000000">
        <w:rPr>
          <w:u w:val="single"/>
          <w:rtl w:val="0"/>
        </w:rPr>
        <w:t xml:space="preserve">6 core principles of SEA</w:t>
      </w:r>
      <w:r w:rsidDel="00000000" w:rsidR="00000000" w:rsidRPr="00000000">
        <w:rPr>
          <w:rtl w:val="0"/>
        </w:rPr>
        <w:t xml:space="preserve">. </w:t>
      </w:r>
    </w:p>
    <w:p w:rsidR="00000000" w:rsidDel="00000000" w:rsidP="00000000" w:rsidRDefault="00000000" w:rsidRPr="00000000" w14:paraId="00000037">
      <w:pPr>
        <w:pageBreakBefore w:val="0"/>
        <w:rPr/>
      </w:pPr>
      <w:r w:rsidDel="00000000" w:rsidR="00000000" w:rsidRPr="00000000">
        <w:rPr>
          <w:rtl w:val="0"/>
        </w:rPr>
      </w:r>
    </w:p>
    <w:p w:rsidR="00000000" w:rsidDel="00000000" w:rsidP="00000000" w:rsidRDefault="00000000" w:rsidRPr="00000000" w14:paraId="00000038">
      <w:pPr>
        <w:pageBreakBefore w:val="0"/>
        <w:numPr>
          <w:ilvl w:val="0"/>
          <w:numId w:val="5"/>
        </w:numPr>
        <w:ind w:left="720" w:hanging="360"/>
        <w:rPr/>
      </w:pPr>
      <w:r w:rsidDel="00000000" w:rsidR="00000000" w:rsidRPr="00000000">
        <w:rPr>
          <w:rtl w:val="0"/>
        </w:rPr>
        <w:t xml:space="preserve">SEA constitutes acts of gross misconduct and are grounds for termination of employment. </w:t>
      </w:r>
      <w:r w:rsidDel="00000000" w:rsidR="00000000" w:rsidRPr="00000000">
        <w:rPr>
          <w:b w:val="1"/>
          <w:rtl w:val="0"/>
        </w:rPr>
        <w:t xml:space="preserve">No second chances!</w:t>
      </w:r>
      <w:r w:rsidDel="00000000" w:rsidR="00000000" w:rsidRPr="00000000">
        <w:rPr>
          <w:rtl w:val="0"/>
        </w:rPr>
      </w:r>
    </w:p>
    <w:p w:rsidR="00000000" w:rsidDel="00000000" w:rsidP="00000000" w:rsidRDefault="00000000" w:rsidRPr="00000000" w14:paraId="00000039">
      <w:pPr>
        <w:pageBreakBefore w:val="0"/>
        <w:ind w:left="720" w:firstLine="0"/>
        <w:rPr>
          <w:b w:val="1"/>
        </w:rPr>
      </w:pPr>
      <w:r w:rsidDel="00000000" w:rsidR="00000000" w:rsidRPr="00000000">
        <w:rPr>
          <w:rtl w:val="0"/>
        </w:rPr>
      </w:r>
    </w:p>
    <w:p w:rsidR="00000000" w:rsidDel="00000000" w:rsidP="00000000" w:rsidRDefault="00000000" w:rsidRPr="00000000" w14:paraId="0000003A">
      <w:pPr>
        <w:pageBreakBefore w:val="0"/>
        <w:numPr>
          <w:ilvl w:val="0"/>
          <w:numId w:val="5"/>
        </w:numPr>
        <w:ind w:left="720" w:hanging="360"/>
        <w:rPr/>
      </w:pPr>
      <w:r w:rsidDel="00000000" w:rsidR="00000000" w:rsidRPr="00000000">
        <w:rPr>
          <w:rtl w:val="0"/>
        </w:rPr>
        <w:t xml:space="preserve">Sexual activity with children (under 18 yrs) is prohibited. </w:t>
      </w:r>
      <w:r w:rsidDel="00000000" w:rsidR="00000000" w:rsidRPr="00000000">
        <w:rPr>
          <w:b w:val="1"/>
          <w:rtl w:val="0"/>
        </w:rPr>
        <w:t xml:space="preserve">No sex with children.</w:t>
      </w:r>
      <w:r w:rsidDel="00000000" w:rsidR="00000000" w:rsidRPr="00000000">
        <w:rPr>
          <w:rtl w:val="0"/>
        </w:rPr>
      </w:r>
    </w:p>
    <w:p w:rsidR="00000000" w:rsidDel="00000000" w:rsidP="00000000" w:rsidRDefault="00000000" w:rsidRPr="00000000" w14:paraId="0000003B">
      <w:pPr>
        <w:pageBreakBefore w:val="0"/>
        <w:ind w:left="720" w:firstLine="0"/>
        <w:rPr/>
      </w:pPr>
      <w:r w:rsidDel="00000000" w:rsidR="00000000" w:rsidRPr="00000000">
        <w:rPr>
          <w:rtl w:val="0"/>
        </w:rPr>
      </w:r>
    </w:p>
    <w:p w:rsidR="00000000" w:rsidDel="00000000" w:rsidP="00000000" w:rsidRDefault="00000000" w:rsidRPr="00000000" w14:paraId="0000003C">
      <w:pPr>
        <w:pageBreakBefore w:val="0"/>
        <w:numPr>
          <w:ilvl w:val="0"/>
          <w:numId w:val="5"/>
        </w:numPr>
        <w:ind w:left="720" w:hanging="360"/>
        <w:rPr/>
      </w:pPr>
      <w:r w:rsidDel="00000000" w:rsidR="00000000" w:rsidRPr="00000000">
        <w:rPr>
          <w:rtl w:val="0"/>
        </w:rPr>
        <w:t xml:space="preserve">Exchange of money, employment, goods or services for sex is prohibited, including hiring prostitutes. </w:t>
      </w:r>
      <w:r w:rsidDel="00000000" w:rsidR="00000000" w:rsidRPr="00000000">
        <w:rPr>
          <w:b w:val="1"/>
          <w:rtl w:val="0"/>
        </w:rPr>
        <w:t xml:space="preserve">Don’t hire/bribe anyone for sex.</w:t>
      </w:r>
      <w:r w:rsidDel="00000000" w:rsidR="00000000" w:rsidRPr="00000000">
        <w:rPr>
          <w:rtl w:val="0"/>
        </w:rPr>
      </w:r>
    </w:p>
    <w:p w:rsidR="00000000" w:rsidDel="00000000" w:rsidP="00000000" w:rsidRDefault="00000000" w:rsidRPr="00000000" w14:paraId="0000003D">
      <w:pPr>
        <w:pageBreakBefore w:val="0"/>
        <w:rPr>
          <w:b w:val="1"/>
        </w:rPr>
      </w:pPr>
      <w:r w:rsidDel="00000000" w:rsidR="00000000" w:rsidRPr="00000000">
        <w:rPr>
          <w:rtl w:val="0"/>
        </w:rPr>
      </w:r>
    </w:p>
    <w:p w:rsidR="00000000" w:rsidDel="00000000" w:rsidP="00000000" w:rsidRDefault="00000000" w:rsidRPr="00000000" w14:paraId="0000003E">
      <w:pPr>
        <w:pageBreakBefore w:val="0"/>
        <w:numPr>
          <w:ilvl w:val="0"/>
          <w:numId w:val="5"/>
        </w:numPr>
        <w:ind w:left="720" w:hanging="360"/>
        <w:rPr/>
      </w:pPr>
      <w:r w:rsidDel="00000000" w:rsidR="00000000" w:rsidRPr="00000000">
        <w:rPr>
          <w:rtl w:val="0"/>
        </w:rPr>
        <w:t xml:space="preserve">Any sexual relationship with beneficiaries that involves improper use of position is prohibited. </w:t>
      </w:r>
      <w:r w:rsidDel="00000000" w:rsidR="00000000" w:rsidRPr="00000000">
        <w:rPr>
          <w:b w:val="1"/>
          <w:rtl w:val="0"/>
        </w:rPr>
        <w:t xml:space="preserve">No sex with beneficiaries.</w:t>
      </w:r>
      <w:r w:rsidDel="00000000" w:rsidR="00000000" w:rsidRPr="00000000">
        <w:rPr>
          <w:rtl w:val="0"/>
        </w:rPr>
      </w:r>
    </w:p>
    <w:p w:rsidR="00000000" w:rsidDel="00000000" w:rsidP="00000000" w:rsidRDefault="00000000" w:rsidRPr="00000000" w14:paraId="0000003F">
      <w:pPr>
        <w:pageBreakBefore w:val="0"/>
        <w:rPr/>
      </w:pPr>
      <w:r w:rsidDel="00000000" w:rsidR="00000000" w:rsidRPr="00000000">
        <w:rPr>
          <w:rtl w:val="0"/>
        </w:rPr>
      </w:r>
    </w:p>
    <w:p w:rsidR="00000000" w:rsidDel="00000000" w:rsidP="00000000" w:rsidRDefault="00000000" w:rsidRPr="00000000" w14:paraId="00000040">
      <w:pPr>
        <w:pageBreakBefore w:val="0"/>
        <w:numPr>
          <w:ilvl w:val="0"/>
          <w:numId w:val="5"/>
        </w:numPr>
        <w:ind w:left="720" w:hanging="360"/>
        <w:rPr/>
      </w:pPr>
      <w:r w:rsidDel="00000000" w:rsidR="00000000" w:rsidRPr="00000000">
        <w:rPr>
          <w:rtl w:val="0"/>
        </w:rPr>
        <w:t xml:space="preserve">Humanitarian workers are obliged to report any concerns regarding SEA by fellow workers. </w:t>
      </w:r>
      <w:r w:rsidDel="00000000" w:rsidR="00000000" w:rsidRPr="00000000">
        <w:rPr>
          <w:b w:val="1"/>
          <w:rtl w:val="0"/>
        </w:rPr>
        <w:t xml:space="preserve">Always report SEA.</w:t>
      </w:r>
      <w:r w:rsidDel="00000000" w:rsidR="00000000" w:rsidRPr="00000000">
        <w:rPr>
          <w:rtl w:val="0"/>
        </w:rPr>
      </w:r>
    </w:p>
    <w:p w:rsidR="00000000" w:rsidDel="00000000" w:rsidP="00000000" w:rsidRDefault="00000000" w:rsidRPr="00000000" w14:paraId="00000041">
      <w:pPr>
        <w:pageBreakBefore w:val="0"/>
        <w:rPr/>
      </w:pPr>
      <w:r w:rsidDel="00000000" w:rsidR="00000000" w:rsidRPr="00000000">
        <w:rPr>
          <w:rtl w:val="0"/>
        </w:rPr>
      </w:r>
    </w:p>
    <w:p w:rsidR="00000000" w:rsidDel="00000000" w:rsidP="00000000" w:rsidRDefault="00000000" w:rsidRPr="00000000" w14:paraId="00000042">
      <w:pPr>
        <w:pageBreakBefore w:val="0"/>
        <w:numPr>
          <w:ilvl w:val="0"/>
          <w:numId w:val="5"/>
        </w:numPr>
        <w:ind w:left="720" w:hanging="360"/>
        <w:rPr/>
      </w:pPr>
      <w:r w:rsidDel="00000000" w:rsidR="00000000" w:rsidRPr="00000000">
        <w:rPr>
          <w:rtl w:val="0"/>
        </w:rPr>
        <w:t xml:space="preserve">Humanitarian workers are obliged to create and maintain an environment which prevents SEA. </w:t>
      </w:r>
      <w:r w:rsidDel="00000000" w:rsidR="00000000" w:rsidRPr="00000000">
        <w:rPr>
          <w:b w:val="1"/>
          <w:rtl w:val="0"/>
        </w:rPr>
        <w:t xml:space="preserve">Discourage SEA around you.</w:t>
      </w:r>
      <w:r w:rsidDel="00000000" w:rsidR="00000000" w:rsidRPr="00000000">
        <w:rPr>
          <w:rtl w:val="0"/>
        </w:rPr>
      </w:r>
    </w:p>
    <w:p w:rsidR="00000000" w:rsidDel="00000000" w:rsidP="00000000" w:rsidRDefault="00000000" w:rsidRPr="00000000" w14:paraId="00000043">
      <w:pPr>
        <w:pageBreakBefore w:val="0"/>
        <w:rPr>
          <w:b w:val="1"/>
        </w:rPr>
      </w:pPr>
      <w:r w:rsidDel="00000000" w:rsidR="00000000" w:rsidRPr="00000000">
        <w:rPr>
          <w:rtl w:val="0"/>
        </w:rPr>
      </w:r>
    </w:p>
    <w:p w:rsidR="00000000" w:rsidDel="00000000" w:rsidP="00000000" w:rsidRDefault="00000000" w:rsidRPr="00000000" w14:paraId="00000044">
      <w:pPr>
        <w:pageBreakBefore w:val="0"/>
        <w:rPr>
          <w:b w:val="1"/>
          <w:highlight w:val="white"/>
        </w:rPr>
      </w:pPr>
      <w:r w:rsidDel="00000000" w:rsidR="00000000" w:rsidRPr="00000000">
        <w:rPr>
          <w:rtl w:val="0"/>
        </w:rPr>
      </w:r>
    </w:p>
    <w:p w:rsidR="00000000" w:rsidDel="00000000" w:rsidP="00000000" w:rsidRDefault="00000000" w:rsidRPr="00000000" w14:paraId="00000045">
      <w:pPr>
        <w:pageBreakBefore w:val="0"/>
        <w:rPr>
          <w:b w:val="1"/>
          <w:sz w:val="24"/>
          <w:szCs w:val="24"/>
          <w:highlight w:val="white"/>
        </w:rPr>
      </w:pPr>
      <w:r w:rsidDel="00000000" w:rsidR="00000000" w:rsidRPr="00000000">
        <w:rPr>
          <w:b w:val="1"/>
          <w:sz w:val="24"/>
          <w:szCs w:val="24"/>
          <w:highlight w:val="white"/>
          <w:rtl w:val="0"/>
        </w:rPr>
        <w:t xml:space="preserve">Thematic Areas of the SEA &amp; SH Prevention and Response Action Plan</w:t>
      </w:r>
    </w:p>
    <w:p w:rsidR="00000000" w:rsidDel="00000000" w:rsidP="00000000" w:rsidRDefault="00000000" w:rsidRPr="00000000" w14:paraId="00000046">
      <w:pPr>
        <w:pageBreakBefore w:val="0"/>
        <w:rPr>
          <w:highlight w:val="white"/>
        </w:rPr>
      </w:pPr>
      <w:r w:rsidDel="00000000" w:rsidR="00000000" w:rsidRPr="00000000">
        <w:rPr>
          <w:highlight w:val="white"/>
          <w:rtl w:val="0"/>
        </w:rPr>
        <w:t xml:space="preserve">Five main thematic areas are identified to build the Action Plan. These are aligned with UNOPS guidance GS04.</w:t>
      </w:r>
    </w:p>
    <w:p w:rsidR="00000000" w:rsidDel="00000000" w:rsidP="00000000" w:rsidRDefault="00000000" w:rsidRPr="00000000" w14:paraId="00000047">
      <w:pPr>
        <w:pageBreakBefore w:val="0"/>
        <w:rPr>
          <w:highlight w:val="white"/>
        </w:rPr>
      </w:pPr>
      <w:r w:rsidDel="00000000" w:rsidR="00000000" w:rsidRPr="00000000">
        <w:rPr>
          <w:rtl w:val="0"/>
        </w:rPr>
      </w:r>
    </w:p>
    <w:p w:rsidR="00000000" w:rsidDel="00000000" w:rsidP="00000000" w:rsidRDefault="00000000" w:rsidRPr="00000000" w14:paraId="00000048">
      <w:pPr>
        <w:pageBreakBefore w:val="0"/>
        <w:rPr>
          <w:highlight w:val="white"/>
        </w:rPr>
      </w:pPr>
      <w:r w:rsidDel="00000000" w:rsidR="00000000" w:rsidRPr="00000000">
        <w:rPr>
          <w:highlight w:val="white"/>
          <w:rtl w:val="0"/>
        </w:rPr>
        <w:t xml:space="preserve">Checklist of sub-activities under the five thematic areas can be found in Annex 2, alongside a narrative description.</w:t>
      </w:r>
    </w:p>
    <w:p w:rsidR="00000000" w:rsidDel="00000000" w:rsidP="00000000" w:rsidRDefault="00000000" w:rsidRPr="00000000" w14:paraId="00000049">
      <w:pPr>
        <w:pageBreakBefore w:val="0"/>
        <w:rPr>
          <w:highlight w:val="white"/>
        </w:rPr>
      </w:pPr>
      <w:r w:rsidDel="00000000" w:rsidR="00000000" w:rsidRPr="00000000">
        <w:rPr>
          <w:rtl w:val="0"/>
        </w:rPr>
      </w:r>
    </w:p>
    <w:p w:rsidR="00000000" w:rsidDel="00000000" w:rsidP="00000000" w:rsidRDefault="00000000" w:rsidRPr="00000000" w14:paraId="0000004A">
      <w:pPr>
        <w:pageBreakBefore w:val="0"/>
        <w:rPr>
          <w:b w:val="1"/>
          <w:highlight w:val="white"/>
        </w:rPr>
      </w:pPr>
      <w:r w:rsidDel="00000000" w:rsidR="00000000" w:rsidRPr="00000000">
        <w:rPr>
          <w:b w:val="1"/>
          <w:highlight w:val="white"/>
          <w:rtl w:val="0"/>
        </w:rPr>
        <w:t xml:space="preserve">Thematic Area-1: Personnel PSEAH awareness </w:t>
      </w:r>
    </w:p>
    <w:p w:rsidR="00000000" w:rsidDel="00000000" w:rsidP="00000000" w:rsidRDefault="00000000" w:rsidRPr="00000000" w14:paraId="0000004B">
      <w:pPr>
        <w:rPr>
          <w:highlight w:val="white"/>
        </w:rPr>
      </w:pPr>
      <w:r w:rsidDel="00000000" w:rsidR="00000000" w:rsidRPr="00000000">
        <w:rPr>
          <w:highlight w:val="white"/>
          <w:u w:val="single"/>
          <w:rtl w:val="0"/>
        </w:rPr>
        <w:t xml:space="preserve">Definition:</w:t>
      </w:r>
      <w:r w:rsidDel="00000000" w:rsidR="00000000" w:rsidRPr="00000000">
        <w:rPr>
          <w:highlight w:val="white"/>
          <w:rtl w:val="0"/>
        </w:rPr>
        <w:t xml:space="preserve"> Enhance the knowledge and awareness of personnel about SEA/SH and their role in prevention and mitigation of SEA/SH through awareness raising/training</w:t>
      </w:r>
    </w:p>
    <w:p w:rsidR="00000000" w:rsidDel="00000000" w:rsidP="00000000" w:rsidRDefault="00000000" w:rsidRPr="00000000" w14:paraId="0000004C">
      <w:pPr>
        <w:rPr>
          <w:highlight w:val="white"/>
        </w:rPr>
      </w:pPr>
      <w:r w:rsidDel="00000000" w:rsidR="00000000" w:rsidRPr="00000000">
        <w:rPr>
          <w:rtl w:val="0"/>
        </w:rPr>
      </w:r>
    </w:p>
    <w:p w:rsidR="00000000" w:rsidDel="00000000" w:rsidP="00000000" w:rsidRDefault="00000000" w:rsidRPr="00000000" w14:paraId="0000004D">
      <w:pPr>
        <w:numPr>
          <w:ilvl w:val="0"/>
          <w:numId w:val="10"/>
        </w:numPr>
        <w:spacing w:line="276" w:lineRule="auto"/>
        <w:ind w:left="720" w:hanging="360"/>
        <w:rPr>
          <w:color w:val="0f1419"/>
          <w:highlight w:val="white"/>
        </w:rPr>
      </w:pPr>
      <w:r w:rsidDel="00000000" w:rsidR="00000000" w:rsidRPr="00000000">
        <w:rPr>
          <w:color w:val="0f1419"/>
          <w:highlight w:val="white"/>
          <w:rtl w:val="0"/>
        </w:rPr>
        <w:t xml:space="preserve">All contractor personnel involved in a UNOPS project must be familiar with the key PSEA concepts: </w:t>
      </w:r>
    </w:p>
    <w:p w:rsidR="00000000" w:rsidDel="00000000" w:rsidP="00000000" w:rsidRDefault="00000000" w:rsidRPr="00000000" w14:paraId="0000004E">
      <w:pPr>
        <w:numPr>
          <w:ilvl w:val="1"/>
          <w:numId w:val="10"/>
        </w:numPr>
        <w:spacing w:line="276" w:lineRule="auto"/>
        <w:ind w:left="1440" w:hanging="360"/>
        <w:rPr>
          <w:color w:val="0f1419"/>
          <w:highlight w:val="white"/>
        </w:rPr>
      </w:pPr>
      <w:r w:rsidDel="00000000" w:rsidR="00000000" w:rsidRPr="00000000">
        <w:rPr>
          <w:color w:val="0f1419"/>
          <w:highlight w:val="white"/>
          <w:rtl w:val="0"/>
        </w:rPr>
        <w:t xml:space="preserve">PSEAH definitions; </w:t>
      </w:r>
    </w:p>
    <w:p w:rsidR="00000000" w:rsidDel="00000000" w:rsidP="00000000" w:rsidRDefault="00000000" w:rsidRPr="00000000" w14:paraId="0000004F">
      <w:pPr>
        <w:numPr>
          <w:ilvl w:val="1"/>
          <w:numId w:val="10"/>
        </w:numPr>
        <w:spacing w:line="276" w:lineRule="auto"/>
        <w:ind w:left="1440" w:hanging="360"/>
        <w:rPr>
          <w:color w:val="0f1419"/>
          <w:highlight w:val="white"/>
        </w:rPr>
      </w:pPr>
      <w:r w:rsidDel="00000000" w:rsidR="00000000" w:rsidRPr="00000000">
        <w:rPr>
          <w:color w:val="0f1419"/>
          <w:highlight w:val="white"/>
          <w:rtl w:val="0"/>
        </w:rPr>
        <w:t xml:space="preserve">key PSEAH principles and why it is important; </w:t>
      </w:r>
    </w:p>
    <w:p w:rsidR="00000000" w:rsidDel="00000000" w:rsidP="00000000" w:rsidRDefault="00000000" w:rsidRPr="00000000" w14:paraId="00000050">
      <w:pPr>
        <w:numPr>
          <w:ilvl w:val="1"/>
          <w:numId w:val="10"/>
        </w:numPr>
        <w:spacing w:line="276" w:lineRule="auto"/>
        <w:ind w:left="1440" w:hanging="360"/>
        <w:rPr>
          <w:color w:val="0f1419"/>
          <w:highlight w:val="white"/>
        </w:rPr>
      </w:pPr>
      <w:r w:rsidDel="00000000" w:rsidR="00000000" w:rsidRPr="00000000">
        <w:rPr>
          <w:color w:val="0f1419"/>
          <w:highlight w:val="white"/>
          <w:rtl w:val="0"/>
        </w:rPr>
        <w:t xml:space="preserve">consequences of SEAH; </w:t>
      </w:r>
    </w:p>
    <w:p w:rsidR="00000000" w:rsidDel="00000000" w:rsidP="00000000" w:rsidRDefault="00000000" w:rsidRPr="00000000" w14:paraId="00000051">
      <w:pPr>
        <w:numPr>
          <w:ilvl w:val="1"/>
          <w:numId w:val="10"/>
        </w:numPr>
        <w:spacing w:line="276" w:lineRule="auto"/>
        <w:ind w:left="1440" w:hanging="360"/>
        <w:rPr>
          <w:color w:val="0f1419"/>
          <w:highlight w:val="white"/>
        </w:rPr>
      </w:pPr>
      <w:r w:rsidDel="00000000" w:rsidR="00000000" w:rsidRPr="00000000">
        <w:rPr>
          <w:color w:val="0f1419"/>
          <w:highlight w:val="white"/>
          <w:rtl w:val="0"/>
        </w:rPr>
        <w:t xml:space="preserve">contractors’ and workers’ responsibility on project sites; </w:t>
      </w:r>
    </w:p>
    <w:p w:rsidR="00000000" w:rsidDel="00000000" w:rsidP="00000000" w:rsidRDefault="00000000" w:rsidRPr="00000000" w14:paraId="00000052">
      <w:pPr>
        <w:numPr>
          <w:ilvl w:val="1"/>
          <w:numId w:val="10"/>
        </w:numPr>
        <w:spacing w:line="276" w:lineRule="auto"/>
        <w:ind w:left="1440" w:hanging="360"/>
        <w:rPr>
          <w:color w:val="0f1419"/>
          <w:highlight w:val="white"/>
        </w:rPr>
      </w:pPr>
      <w:r w:rsidDel="00000000" w:rsidR="00000000" w:rsidRPr="00000000">
        <w:rPr>
          <w:color w:val="0f1419"/>
          <w:highlight w:val="white"/>
          <w:rtl w:val="0"/>
        </w:rPr>
        <w:t xml:space="preserve">tools to create an environment free from SEAH such as the Code of Conduct (CoC) and the periodic inspections; </w:t>
      </w:r>
    </w:p>
    <w:p w:rsidR="00000000" w:rsidDel="00000000" w:rsidP="00000000" w:rsidRDefault="00000000" w:rsidRPr="00000000" w14:paraId="00000053">
      <w:pPr>
        <w:numPr>
          <w:ilvl w:val="1"/>
          <w:numId w:val="10"/>
        </w:numPr>
        <w:spacing w:line="276" w:lineRule="auto"/>
        <w:ind w:left="1440" w:hanging="360"/>
        <w:rPr>
          <w:color w:val="0f1419"/>
          <w:highlight w:val="white"/>
        </w:rPr>
      </w:pPr>
      <w:r w:rsidDel="00000000" w:rsidR="00000000" w:rsidRPr="00000000">
        <w:rPr>
          <w:color w:val="0f1419"/>
          <w:highlight w:val="white"/>
          <w:rtl w:val="0"/>
        </w:rPr>
        <w:t xml:space="preserve">obligation to report and reporting channels.</w:t>
      </w:r>
    </w:p>
    <w:p w:rsidR="00000000" w:rsidDel="00000000" w:rsidP="00000000" w:rsidRDefault="00000000" w:rsidRPr="00000000" w14:paraId="00000054">
      <w:pPr>
        <w:spacing w:line="276" w:lineRule="auto"/>
        <w:rPr>
          <w:color w:val="0f1419"/>
          <w:highlight w:val="white"/>
        </w:rPr>
      </w:pPr>
      <w:r w:rsidDel="00000000" w:rsidR="00000000" w:rsidRPr="00000000">
        <w:rPr>
          <w:rtl w:val="0"/>
        </w:rPr>
      </w:r>
    </w:p>
    <w:p w:rsidR="00000000" w:rsidDel="00000000" w:rsidP="00000000" w:rsidRDefault="00000000" w:rsidRPr="00000000" w14:paraId="00000055">
      <w:pPr>
        <w:spacing w:line="276" w:lineRule="auto"/>
        <w:rPr>
          <w:color w:val="0f1419"/>
          <w:highlight w:val="white"/>
        </w:rPr>
      </w:pPr>
      <w:r w:rsidDel="00000000" w:rsidR="00000000" w:rsidRPr="00000000">
        <w:rPr>
          <w:color w:val="0f1419"/>
          <w:highlight w:val="white"/>
          <w:rtl w:val="0"/>
        </w:rPr>
        <w:t xml:space="preserve">If necessary, awareness raising/training and material can be provided by UNOPS on these topics.</w:t>
      </w:r>
    </w:p>
    <w:p w:rsidR="00000000" w:rsidDel="00000000" w:rsidP="00000000" w:rsidRDefault="00000000" w:rsidRPr="00000000" w14:paraId="00000056">
      <w:pPr>
        <w:spacing w:line="276" w:lineRule="auto"/>
        <w:rPr>
          <w:color w:val="0f1419"/>
          <w:highlight w:val="white"/>
        </w:rPr>
      </w:pPr>
      <w:r w:rsidDel="00000000" w:rsidR="00000000" w:rsidRPr="00000000">
        <w:rPr>
          <w:rtl w:val="0"/>
        </w:rPr>
      </w:r>
    </w:p>
    <w:p w:rsidR="00000000" w:rsidDel="00000000" w:rsidP="00000000" w:rsidRDefault="00000000" w:rsidRPr="00000000" w14:paraId="00000057">
      <w:pPr>
        <w:numPr>
          <w:ilvl w:val="0"/>
          <w:numId w:val="10"/>
        </w:numPr>
        <w:spacing w:line="276" w:lineRule="auto"/>
        <w:ind w:left="720" w:hanging="360"/>
        <w:rPr>
          <w:color w:val="0f1419"/>
          <w:highlight w:val="white"/>
        </w:rPr>
      </w:pPr>
      <w:r w:rsidDel="00000000" w:rsidR="00000000" w:rsidRPr="00000000">
        <w:rPr>
          <w:color w:val="0f1419"/>
          <w:highlight w:val="white"/>
          <w:rtl w:val="0"/>
        </w:rPr>
        <w:t xml:space="preserve">Deliver a PSEAH induction training to all your project workers about the prohibition of SEA and SH, the content of the Code of Conduct as well as the major topics mentioned above</w:t>
      </w:r>
    </w:p>
    <w:p w:rsidR="00000000" w:rsidDel="00000000" w:rsidP="00000000" w:rsidRDefault="00000000" w:rsidRPr="00000000" w14:paraId="00000058">
      <w:pPr>
        <w:pageBreakBefore w:val="0"/>
        <w:ind w:left="0" w:firstLine="0"/>
        <w:rPr>
          <w:highlight w:val="white"/>
        </w:rPr>
      </w:pPr>
      <w:r w:rsidDel="00000000" w:rsidR="00000000" w:rsidRPr="00000000">
        <w:rPr>
          <w:rtl w:val="0"/>
        </w:rPr>
      </w:r>
    </w:p>
    <w:p w:rsidR="00000000" w:rsidDel="00000000" w:rsidP="00000000" w:rsidRDefault="00000000" w:rsidRPr="00000000" w14:paraId="00000059">
      <w:pPr>
        <w:pageBreakBefore w:val="0"/>
        <w:ind w:left="0" w:firstLine="0"/>
        <w:rPr>
          <w:highlight w:val="white"/>
        </w:rPr>
      </w:pPr>
      <w:r w:rsidDel="00000000" w:rsidR="00000000" w:rsidRPr="00000000">
        <w:rPr>
          <w:rtl w:val="0"/>
        </w:rPr>
      </w:r>
    </w:p>
    <w:p w:rsidR="00000000" w:rsidDel="00000000" w:rsidP="00000000" w:rsidRDefault="00000000" w:rsidRPr="00000000" w14:paraId="0000005A">
      <w:pPr>
        <w:pageBreakBefore w:val="0"/>
        <w:rPr>
          <w:rFonts w:ascii="Calibri" w:cs="Calibri" w:eastAsia="Calibri" w:hAnsi="Calibri"/>
          <w:b w:val="1"/>
          <w:i w:val="1"/>
          <w:color w:val="0f1419"/>
          <w:highlight w:val="white"/>
          <w:u w:val="single"/>
        </w:rPr>
      </w:pPr>
      <w:r w:rsidDel="00000000" w:rsidR="00000000" w:rsidRPr="00000000">
        <w:rPr>
          <w:b w:val="1"/>
          <w:highlight w:val="white"/>
          <w:rtl w:val="0"/>
        </w:rPr>
        <w:t xml:space="preserve">Thematic Area-2: Code of Conduct</w:t>
      </w:r>
      <w:r w:rsidDel="00000000" w:rsidR="00000000" w:rsidRPr="00000000">
        <w:rPr>
          <w:rtl w:val="0"/>
        </w:rPr>
      </w:r>
    </w:p>
    <w:p w:rsidR="00000000" w:rsidDel="00000000" w:rsidP="00000000" w:rsidRDefault="00000000" w:rsidRPr="00000000" w14:paraId="0000005B">
      <w:pPr>
        <w:spacing w:line="276" w:lineRule="auto"/>
        <w:rPr>
          <w:color w:val="0f1419"/>
          <w:highlight w:val="white"/>
        </w:rPr>
      </w:pPr>
      <w:r w:rsidDel="00000000" w:rsidR="00000000" w:rsidRPr="00000000">
        <w:rPr>
          <w:color w:val="0f1419"/>
          <w:highlight w:val="white"/>
          <w:u w:val="single"/>
          <w:rtl w:val="0"/>
        </w:rPr>
        <w:t xml:space="preserve">Definition:</w:t>
      </w:r>
      <w:r w:rsidDel="00000000" w:rsidR="00000000" w:rsidRPr="00000000">
        <w:rPr>
          <w:color w:val="0f1419"/>
          <w:highlight w:val="white"/>
          <w:rtl w:val="0"/>
        </w:rPr>
        <w:t xml:space="preserve"> Ensure personnel accountability through the signing of a Code of Conduct that includes the prohibition of SEAH</w:t>
      </w:r>
    </w:p>
    <w:p w:rsidR="00000000" w:rsidDel="00000000" w:rsidP="00000000" w:rsidRDefault="00000000" w:rsidRPr="00000000" w14:paraId="0000005C">
      <w:pPr>
        <w:spacing w:line="276" w:lineRule="auto"/>
        <w:rPr>
          <w:color w:val="0f1419"/>
          <w:highlight w:val="white"/>
        </w:rPr>
      </w:pPr>
      <w:r w:rsidDel="00000000" w:rsidR="00000000" w:rsidRPr="00000000">
        <w:rPr>
          <w:rtl w:val="0"/>
        </w:rPr>
      </w:r>
    </w:p>
    <w:p w:rsidR="00000000" w:rsidDel="00000000" w:rsidP="00000000" w:rsidRDefault="00000000" w:rsidRPr="00000000" w14:paraId="0000005D">
      <w:pPr>
        <w:numPr>
          <w:ilvl w:val="0"/>
          <w:numId w:val="6"/>
        </w:numPr>
        <w:spacing w:line="276" w:lineRule="auto"/>
        <w:ind w:left="720" w:hanging="360"/>
        <w:rPr>
          <w:color w:val="0f1419"/>
          <w:highlight w:val="white"/>
        </w:rPr>
      </w:pPr>
      <w:r w:rsidDel="00000000" w:rsidR="00000000" w:rsidRPr="00000000">
        <w:rPr>
          <w:color w:val="0f1419"/>
          <w:highlight w:val="white"/>
          <w:rtl w:val="0"/>
        </w:rPr>
        <w:t xml:space="preserve">Upon receiving the PSEAH training, ensure all workers involved in a UNOPS project sign a Code of Conduct confirming their understanding of its content and their</w:t>
      </w:r>
      <w:r w:rsidDel="00000000" w:rsidR="00000000" w:rsidRPr="00000000">
        <w:rPr>
          <w:color w:val="0f1419"/>
          <w:rtl w:val="0"/>
        </w:rPr>
        <w:t xml:space="preserve"> written</w:t>
      </w:r>
      <w:r w:rsidDel="00000000" w:rsidR="00000000" w:rsidRPr="00000000">
        <w:rPr>
          <w:color w:val="0f1419"/>
          <w:highlight w:val="yellow"/>
          <w:rtl w:val="0"/>
        </w:rPr>
        <w:t xml:space="preserve"> </w:t>
      </w:r>
      <w:r w:rsidDel="00000000" w:rsidR="00000000" w:rsidRPr="00000000">
        <w:rPr>
          <w:color w:val="0f1419"/>
          <w:highlight w:val="white"/>
          <w:rtl w:val="0"/>
        </w:rPr>
        <w:t xml:space="preserve">commitment to the PSEAH principles. </w:t>
      </w:r>
      <w:r w:rsidDel="00000000" w:rsidR="00000000" w:rsidRPr="00000000">
        <w:rPr>
          <w:rtl w:val="0"/>
        </w:rPr>
      </w:r>
    </w:p>
    <w:p w:rsidR="00000000" w:rsidDel="00000000" w:rsidP="00000000" w:rsidRDefault="00000000" w:rsidRPr="00000000" w14:paraId="0000005E">
      <w:pPr>
        <w:numPr>
          <w:ilvl w:val="0"/>
          <w:numId w:val="6"/>
        </w:numPr>
        <w:spacing w:line="276" w:lineRule="auto"/>
        <w:ind w:left="720" w:hanging="360"/>
        <w:rPr>
          <w:color w:val="0f1419"/>
          <w:highlight w:val="white"/>
        </w:rPr>
      </w:pPr>
      <w:r w:rsidDel="00000000" w:rsidR="00000000" w:rsidRPr="00000000">
        <w:rPr>
          <w:color w:val="0f1419"/>
          <w:highlight w:val="white"/>
          <w:rtl w:val="0"/>
        </w:rPr>
        <w:t xml:space="preserve">Create and keep records of the signed CoCs of all personnel and workers that can be inspected by UNOPS.</w:t>
      </w:r>
      <w:r w:rsidDel="00000000" w:rsidR="00000000" w:rsidRPr="00000000">
        <w:rPr>
          <w:rtl w:val="0"/>
        </w:rPr>
      </w:r>
    </w:p>
    <w:p w:rsidR="00000000" w:rsidDel="00000000" w:rsidP="00000000" w:rsidRDefault="00000000" w:rsidRPr="00000000" w14:paraId="0000005F">
      <w:pPr>
        <w:spacing w:line="276" w:lineRule="auto"/>
        <w:ind w:left="0" w:firstLine="0"/>
        <w:rPr>
          <w:color w:val="0f1419"/>
          <w:highlight w:val="white"/>
        </w:rPr>
      </w:pPr>
      <w:r w:rsidDel="00000000" w:rsidR="00000000" w:rsidRPr="00000000">
        <w:rPr>
          <w:rtl w:val="0"/>
        </w:rPr>
      </w:r>
    </w:p>
    <w:p w:rsidR="00000000" w:rsidDel="00000000" w:rsidP="00000000" w:rsidRDefault="00000000" w:rsidRPr="00000000" w14:paraId="00000060">
      <w:pPr>
        <w:pageBreakBefore w:val="0"/>
        <w:ind w:left="0" w:firstLine="0"/>
        <w:rPr>
          <w:b w:val="1"/>
          <w:highlight w:val="white"/>
        </w:rPr>
      </w:pPr>
      <w:r w:rsidDel="00000000" w:rsidR="00000000" w:rsidRPr="00000000">
        <w:rPr>
          <w:rtl w:val="0"/>
        </w:rPr>
      </w:r>
    </w:p>
    <w:p w:rsidR="00000000" w:rsidDel="00000000" w:rsidP="00000000" w:rsidRDefault="00000000" w:rsidRPr="00000000" w14:paraId="00000061">
      <w:pPr>
        <w:pageBreakBefore w:val="0"/>
        <w:rPr>
          <w:b w:val="1"/>
          <w:color w:val="0f1419"/>
          <w:highlight w:val="white"/>
        </w:rPr>
      </w:pPr>
      <w:r w:rsidDel="00000000" w:rsidR="00000000" w:rsidRPr="00000000">
        <w:rPr>
          <w:b w:val="1"/>
          <w:highlight w:val="white"/>
          <w:rtl w:val="0"/>
        </w:rPr>
        <w:t xml:space="preserve">Thematic Area-3: </w:t>
      </w:r>
      <w:r w:rsidDel="00000000" w:rsidR="00000000" w:rsidRPr="00000000">
        <w:rPr>
          <w:b w:val="1"/>
          <w:color w:val="0f1419"/>
          <w:highlight w:val="white"/>
          <w:rtl w:val="0"/>
        </w:rPr>
        <w:t xml:space="preserve"> Visibility for awareness raising and reporting</w:t>
      </w:r>
    </w:p>
    <w:p w:rsidR="00000000" w:rsidDel="00000000" w:rsidP="00000000" w:rsidRDefault="00000000" w:rsidRPr="00000000" w14:paraId="00000062">
      <w:pPr>
        <w:spacing w:line="276" w:lineRule="auto"/>
        <w:rPr>
          <w:color w:val="0f1419"/>
          <w:highlight w:val="white"/>
        </w:rPr>
      </w:pPr>
      <w:r w:rsidDel="00000000" w:rsidR="00000000" w:rsidRPr="00000000">
        <w:rPr>
          <w:color w:val="0f1419"/>
          <w:highlight w:val="white"/>
          <w:u w:val="single"/>
          <w:rtl w:val="0"/>
        </w:rPr>
        <w:t xml:space="preserve">Definition:</w:t>
      </w:r>
      <w:r w:rsidDel="00000000" w:rsidR="00000000" w:rsidRPr="00000000">
        <w:rPr>
          <w:color w:val="0f1419"/>
          <w:highlight w:val="white"/>
          <w:rtl w:val="0"/>
        </w:rPr>
        <w:t xml:space="preserve"> Ensure personnel and local population is aware of PSEAH and able to report SEAH incidents in a safe and confidential manner </w:t>
      </w:r>
    </w:p>
    <w:p w:rsidR="00000000" w:rsidDel="00000000" w:rsidP="00000000" w:rsidRDefault="00000000" w:rsidRPr="00000000" w14:paraId="00000063">
      <w:pPr>
        <w:spacing w:line="276" w:lineRule="auto"/>
        <w:rPr>
          <w:color w:val="0f1419"/>
          <w:highlight w:val="white"/>
          <w:u w:val="single"/>
        </w:rPr>
      </w:pPr>
      <w:r w:rsidDel="00000000" w:rsidR="00000000" w:rsidRPr="00000000">
        <w:rPr>
          <w:rtl w:val="0"/>
        </w:rPr>
      </w:r>
    </w:p>
    <w:p w:rsidR="00000000" w:rsidDel="00000000" w:rsidP="00000000" w:rsidRDefault="00000000" w:rsidRPr="00000000" w14:paraId="00000064">
      <w:pPr>
        <w:pageBreakBefore w:val="0"/>
        <w:numPr>
          <w:ilvl w:val="0"/>
          <w:numId w:val="7"/>
        </w:numPr>
        <w:ind w:left="720" w:hanging="360"/>
        <w:rPr>
          <w:color w:val="0f1419"/>
          <w:highlight w:val="white"/>
        </w:rPr>
      </w:pPr>
      <w:r w:rsidDel="00000000" w:rsidR="00000000" w:rsidRPr="00000000">
        <w:rPr>
          <w:color w:val="0f1419"/>
          <w:highlight w:val="white"/>
          <w:rtl w:val="0"/>
        </w:rPr>
        <w:t xml:space="preserve">Display the UNOPS PSEAH site posters in each project site adapted to the language and context of the area of implementation. </w:t>
      </w:r>
      <w:r w:rsidDel="00000000" w:rsidR="00000000" w:rsidRPr="00000000">
        <w:rPr>
          <w:rtl w:val="0"/>
        </w:rPr>
      </w:r>
    </w:p>
    <w:p w:rsidR="00000000" w:rsidDel="00000000" w:rsidP="00000000" w:rsidRDefault="00000000" w:rsidRPr="00000000" w14:paraId="00000065">
      <w:pPr>
        <w:pageBreakBefore w:val="0"/>
        <w:ind w:left="0" w:firstLine="0"/>
        <w:rPr>
          <w:color w:val="0f1419"/>
          <w:highlight w:val="white"/>
        </w:rPr>
      </w:pPr>
      <w:r w:rsidDel="00000000" w:rsidR="00000000" w:rsidRPr="00000000">
        <w:rPr>
          <w:rtl w:val="0"/>
        </w:rPr>
      </w:r>
    </w:p>
    <w:p w:rsidR="00000000" w:rsidDel="00000000" w:rsidP="00000000" w:rsidRDefault="00000000" w:rsidRPr="00000000" w14:paraId="00000066">
      <w:pPr>
        <w:pageBreakBefore w:val="0"/>
        <w:numPr>
          <w:ilvl w:val="0"/>
          <w:numId w:val="7"/>
        </w:numPr>
        <w:ind w:left="720" w:hanging="360"/>
        <w:rPr>
          <w:color w:val="0f1419"/>
          <w:highlight w:val="white"/>
        </w:rPr>
      </w:pPr>
      <w:r w:rsidDel="00000000" w:rsidR="00000000" w:rsidRPr="00000000">
        <w:rPr>
          <w:color w:val="0f1419"/>
          <w:highlight w:val="white"/>
          <w:rtl w:val="0"/>
        </w:rPr>
        <w:t xml:space="preserve">Include in the posters the local reporting channel(s) for SEA/SH incidents (complaint boxes, hotline, email address, PSEAH focal point contact etc.)</w:t>
      </w:r>
      <w:r w:rsidDel="00000000" w:rsidR="00000000" w:rsidRPr="00000000">
        <w:rPr>
          <w:rtl w:val="0"/>
        </w:rPr>
      </w:r>
    </w:p>
    <w:p w:rsidR="00000000" w:rsidDel="00000000" w:rsidP="00000000" w:rsidRDefault="00000000" w:rsidRPr="00000000" w14:paraId="00000067">
      <w:pPr>
        <w:pageBreakBefore w:val="0"/>
        <w:rPr>
          <w:b w:val="1"/>
          <w:highlight w:val="white"/>
        </w:rPr>
      </w:pPr>
      <w:r w:rsidDel="00000000" w:rsidR="00000000" w:rsidRPr="00000000">
        <w:rPr>
          <w:rtl w:val="0"/>
        </w:rPr>
      </w:r>
    </w:p>
    <w:p w:rsidR="00000000" w:rsidDel="00000000" w:rsidP="00000000" w:rsidRDefault="00000000" w:rsidRPr="00000000" w14:paraId="00000068">
      <w:pPr>
        <w:pageBreakBefore w:val="0"/>
        <w:rPr>
          <w:b w:val="1"/>
          <w:highlight w:val="white"/>
        </w:rPr>
      </w:pPr>
      <w:r w:rsidDel="00000000" w:rsidR="00000000" w:rsidRPr="00000000">
        <w:rPr>
          <w:rtl w:val="0"/>
        </w:rPr>
      </w:r>
    </w:p>
    <w:p w:rsidR="00000000" w:rsidDel="00000000" w:rsidP="00000000" w:rsidRDefault="00000000" w:rsidRPr="00000000" w14:paraId="00000069">
      <w:pPr>
        <w:pageBreakBefore w:val="0"/>
        <w:rPr>
          <w:b w:val="1"/>
          <w:highlight w:val="white"/>
        </w:rPr>
      </w:pPr>
      <w:r w:rsidDel="00000000" w:rsidR="00000000" w:rsidRPr="00000000">
        <w:rPr>
          <w:b w:val="1"/>
          <w:highlight w:val="white"/>
          <w:rtl w:val="0"/>
        </w:rPr>
        <w:t xml:space="preserve">Thematic Area-4: Risk mapping, reporting &amp; case referral</w:t>
      </w:r>
    </w:p>
    <w:p w:rsidR="00000000" w:rsidDel="00000000" w:rsidP="00000000" w:rsidRDefault="00000000" w:rsidRPr="00000000" w14:paraId="0000006A">
      <w:pPr>
        <w:pageBreakBefore w:val="0"/>
        <w:rPr>
          <w:highlight w:val="white"/>
        </w:rPr>
      </w:pPr>
      <w:r w:rsidDel="00000000" w:rsidR="00000000" w:rsidRPr="00000000">
        <w:rPr>
          <w:highlight w:val="white"/>
          <w:u w:val="single"/>
          <w:rtl w:val="0"/>
        </w:rPr>
        <w:t xml:space="preserve">Definition</w:t>
      </w:r>
      <w:r w:rsidDel="00000000" w:rsidR="00000000" w:rsidRPr="00000000">
        <w:rPr>
          <w:highlight w:val="white"/>
          <w:rtl w:val="0"/>
        </w:rPr>
        <w:t xml:space="preserve">: Map the potential risks of SEA/SH and ensure reporting mechanisms are in place. </w:t>
      </w:r>
    </w:p>
    <w:p w:rsidR="00000000" w:rsidDel="00000000" w:rsidP="00000000" w:rsidRDefault="00000000" w:rsidRPr="00000000" w14:paraId="0000006B">
      <w:pPr>
        <w:pageBreakBefore w:val="0"/>
        <w:rPr>
          <w:highlight w:val="white"/>
        </w:rPr>
      </w:pPr>
      <w:r w:rsidDel="00000000" w:rsidR="00000000" w:rsidRPr="00000000">
        <w:rPr>
          <w:rtl w:val="0"/>
        </w:rPr>
      </w:r>
    </w:p>
    <w:p w:rsidR="00000000" w:rsidDel="00000000" w:rsidP="00000000" w:rsidRDefault="00000000" w:rsidRPr="00000000" w14:paraId="0000006C">
      <w:pPr>
        <w:widowControl w:val="0"/>
        <w:numPr>
          <w:ilvl w:val="0"/>
          <w:numId w:val="12"/>
        </w:numPr>
        <w:spacing w:line="240" w:lineRule="auto"/>
        <w:ind w:left="720" w:hanging="360"/>
        <w:rPr>
          <w:sz w:val="24"/>
          <w:szCs w:val="24"/>
          <w:highlight w:val="white"/>
        </w:rPr>
      </w:pPr>
      <w:r w:rsidDel="00000000" w:rsidR="00000000" w:rsidRPr="00000000">
        <w:rPr>
          <w:rtl w:val="0"/>
        </w:rPr>
        <w:t xml:space="preserve">Support UNOPS in the SEA/SH risk assessment for each project site you are working on (risk checklist to be provided by UNOPS)</w:t>
      </w:r>
      <w:r w:rsidDel="00000000" w:rsidR="00000000" w:rsidRPr="00000000">
        <w:rPr>
          <w:rtl w:val="0"/>
        </w:rPr>
      </w:r>
    </w:p>
    <w:p w:rsidR="00000000" w:rsidDel="00000000" w:rsidP="00000000" w:rsidRDefault="00000000" w:rsidRPr="00000000" w14:paraId="0000006D">
      <w:pPr>
        <w:spacing w:line="276" w:lineRule="auto"/>
        <w:ind w:left="0" w:firstLine="0"/>
        <w:rPr>
          <w:color w:val="0f1419"/>
          <w:highlight w:val="white"/>
        </w:rPr>
      </w:pPr>
      <w:r w:rsidDel="00000000" w:rsidR="00000000" w:rsidRPr="00000000">
        <w:rPr>
          <w:rtl w:val="0"/>
        </w:rPr>
      </w:r>
    </w:p>
    <w:p w:rsidR="00000000" w:rsidDel="00000000" w:rsidP="00000000" w:rsidRDefault="00000000" w:rsidRPr="00000000" w14:paraId="0000006E">
      <w:pPr>
        <w:numPr>
          <w:ilvl w:val="0"/>
          <w:numId w:val="13"/>
        </w:numPr>
        <w:spacing w:line="276" w:lineRule="auto"/>
        <w:ind w:left="720" w:hanging="360"/>
        <w:rPr>
          <w:color w:val="0f1419"/>
          <w:highlight w:val="white"/>
        </w:rPr>
      </w:pPr>
      <w:r w:rsidDel="00000000" w:rsidR="00000000" w:rsidRPr="00000000">
        <w:rPr>
          <w:color w:val="0f1419"/>
          <w:highlight w:val="white"/>
          <w:rtl w:val="0"/>
        </w:rPr>
        <w:t xml:space="preserve">Report SEA/SH cases and allegations concerning contractors’ personnel to UNOPS in a confidential and timely manner. Only give details of the case if the survivor gives her/his consent. If no consent is obtained, only report the case/allegation without details.</w:t>
      </w:r>
    </w:p>
    <w:p w:rsidR="00000000" w:rsidDel="00000000" w:rsidP="00000000" w:rsidRDefault="00000000" w:rsidRPr="00000000" w14:paraId="0000006F">
      <w:pPr>
        <w:spacing w:line="276" w:lineRule="auto"/>
        <w:ind w:left="720" w:firstLine="0"/>
        <w:rPr>
          <w:color w:val="0f1419"/>
          <w:highlight w:val="white"/>
        </w:rPr>
      </w:pPr>
      <w:r w:rsidDel="00000000" w:rsidR="00000000" w:rsidRPr="00000000">
        <w:rPr>
          <w:color w:val="0f1419"/>
          <w:highlight w:val="white"/>
          <w:rtl w:val="0"/>
        </w:rPr>
        <w:t xml:space="preserve">Reporting can happen through multiple channels:</w:t>
      </w:r>
    </w:p>
    <w:p w:rsidR="00000000" w:rsidDel="00000000" w:rsidP="00000000" w:rsidRDefault="00000000" w:rsidRPr="00000000" w14:paraId="00000070">
      <w:pPr>
        <w:numPr>
          <w:ilvl w:val="0"/>
          <w:numId w:val="1"/>
        </w:numPr>
        <w:spacing w:line="276" w:lineRule="auto"/>
        <w:ind w:left="1440" w:hanging="360"/>
        <w:rPr>
          <w:color w:val="0f1419"/>
          <w:highlight w:val="white"/>
        </w:rPr>
      </w:pPr>
      <w:r w:rsidDel="00000000" w:rsidR="00000000" w:rsidRPr="00000000">
        <w:rPr>
          <w:color w:val="0f1419"/>
          <w:highlight w:val="white"/>
          <w:rtl w:val="0"/>
        </w:rPr>
        <w:t xml:space="preserve">Submit an SEA/SH report to UNOPS </w:t>
      </w:r>
      <w:hyperlink r:id="rId7">
        <w:r w:rsidDel="00000000" w:rsidR="00000000" w:rsidRPr="00000000">
          <w:rPr>
            <w:color w:val="1155cc"/>
            <w:highlight w:val="white"/>
            <w:u w:val="single"/>
            <w:rtl w:val="0"/>
          </w:rPr>
          <w:t xml:space="preserve">Speak Up</w:t>
        </w:r>
      </w:hyperlink>
      <w:r w:rsidDel="00000000" w:rsidR="00000000" w:rsidRPr="00000000">
        <w:rPr>
          <w:color w:val="0f1419"/>
          <w:highlight w:val="white"/>
          <w:rtl w:val="0"/>
        </w:rPr>
        <w:t xml:space="preserve"> platform</w:t>
      </w:r>
    </w:p>
    <w:p w:rsidR="00000000" w:rsidDel="00000000" w:rsidP="00000000" w:rsidRDefault="00000000" w:rsidRPr="00000000" w14:paraId="00000071">
      <w:pPr>
        <w:numPr>
          <w:ilvl w:val="0"/>
          <w:numId w:val="1"/>
        </w:numPr>
        <w:spacing w:line="276" w:lineRule="auto"/>
        <w:ind w:left="1440" w:hanging="360"/>
        <w:rPr>
          <w:color w:val="0f1419"/>
          <w:highlight w:val="white"/>
        </w:rPr>
      </w:pPr>
      <w:r w:rsidDel="00000000" w:rsidR="00000000" w:rsidRPr="00000000">
        <w:rPr>
          <w:color w:val="0f1419"/>
          <w:highlight w:val="white"/>
          <w:rtl w:val="0"/>
        </w:rPr>
        <w:t xml:space="preserve">Report the allegation to UNOPS Project Manager or PSEA Focal Point</w:t>
      </w:r>
    </w:p>
    <w:p w:rsidR="00000000" w:rsidDel="00000000" w:rsidP="00000000" w:rsidRDefault="00000000" w:rsidRPr="00000000" w14:paraId="00000072">
      <w:pPr>
        <w:spacing w:line="276" w:lineRule="auto"/>
        <w:ind w:left="0" w:firstLine="0"/>
        <w:rPr>
          <w:color w:val="0f1419"/>
          <w:highlight w:val="white"/>
        </w:rPr>
      </w:pPr>
      <w:r w:rsidDel="00000000" w:rsidR="00000000" w:rsidRPr="00000000">
        <w:rPr>
          <w:rtl w:val="0"/>
        </w:rPr>
      </w:r>
    </w:p>
    <w:p w:rsidR="00000000" w:rsidDel="00000000" w:rsidP="00000000" w:rsidRDefault="00000000" w:rsidRPr="00000000" w14:paraId="00000073">
      <w:pPr>
        <w:numPr>
          <w:ilvl w:val="0"/>
          <w:numId w:val="13"/>
        </w:numPr>
        <w:spacing w:line="276" w:lineRule="auto"/>
        <w:ind w:left="720" w:hanging="360"/>
        <w:rPr>
          <w:color w:val="0f1419"/>
          <w:highlight w:val="white"/>
        </w:rPr>
      </w:pPr>
      <w:r w:rsidDel="00000000" w:rsidR="00000000" w:rsidRPr="00000000">
        <w:rPr>
          <w:color w:val="0f1419"/>
          <w:highlight w:val="white"/>
          <w:rtl w:val="0"/>
        </w:rPr>
        <w:t xml:space="preserve">Ensure that reports of SEA/SH are in line with a survivor-centered approach (see Annex 1 for guiding principles of a survivor-centered approach)</w:t>
      </w:r>
    </w:p>
    <w:p w:rsidR="00000000" w:rsidDel="00000000" w:rsidP="00000000" w:rsidRDefault="00000000" w:rsidRPr="00000000" w14:paraId="00000074">
      <w:pPr>
        <w:spacing w:line="276" w:lineRule="auto"/>
        <w:ind w:left="720" w:firstLine="0"/>
        <w:rPr>
          <w:color w:val="0f1419"/>
          <w:highlight w:val="white"/>
        </w:rPr>
      </w:pPr>
      <w:r w:rsidDel="00000000" w:rsidR="00000000" w:rsidRPr="00000000">
        <w:rPr>
          <w:rtl w:val="0"/>
        </w:rPr>
      </w:r>
    </w:p>
    <w:p w:rsidR="00000000" w:rsidDel="00000000" w:rsidP="00000000" w:rsidRDefault="00000000" w:rsidRPr="00000000" w14:paraId="00000075">
      <w:pPr>
        <w:numPr>
          <w:ilvl w:val="0"/>
          <w:numId w:val="13"/>
        </w:numPr>
        <w:spacing w:line="276" w:lineRule="auto"/>
        <w:ind w:left="720" w:hanging="360"/>
        <w:rPr>
          <w:color w:val="0f1419"/>
          <w:highlight w:val="white"/>
        </w:rPr>
      </w:pPr>
      <w:r w:rsidDel="00000000" w:rsidR="00000000" w:rsidRPr="00000000">
        <w:rPr>
          <w:color w:val="0f1419"/>
          <w:highlight w:val="white"/>
          <w:rtl w:val="0"/>
        </w:rPr>
        <w:t xml:space="preserve">Refer</w:t>
      </w:r>
      <w:r w:rsidDel="00000000" w:rsidR="00000000" w:rsidRPr="00000000">
        <w:rPr>
          <w:color w:val="0f1419"/>
          <w:sz w:val="24"/>
          <w:szCs w:val="24"/>
          <w:highlight w:val="white"/>
          <w:rtl w:val="0"/>
        </w:rPr>
        <w:t xml:space="preserve"> </w:t>
      </w:r>
      <w:r w:rsidDel="00000000" w:rsidR="00000000" w:rsidRPr="00000000">
        <w:rPr>
          <w:highlight w:val="white"/>
          <w:rtl w:val="0"/>
        </w:rPr>
        <w:t xml:space="preserve">any victims of project-related SEA/SH to existing services (legal, medical, psycho-social etc.), upon their consent</w:t>
      </w:r>
      <w:r w:rsidDel="00000000" w:rsidR="00000000" w:rsidRPr="00000000">
        <w:rPr>
          <w:rtl w:val="0"/>
        </w:rPr>
      </w:r>
    </w:p>
    <w:p w:rsidR="00000000" w:rsidDel="00000000" w:rsidP="00000000" w:rsidRDefault="00000000" w:rsidRPr="00000000" w14:paraId="00000076">
      <w:pPr>
        <w:pageBreakBefore w:val="0"/>
        <w:ind w:left="720" w:firstLine="0"/>
        <w:rPr>
          <w:highlight w:val="white"/>
        </w:rPr>
      </w:pPr>
      <w:r w:rsidDel="00000000" w:rsidR="00000000" w:rsidRPr="00000000">
        <w:rPr>
          <w:rtl w:val="0"/>
        </w:rPr>
      </w:r>
    </w:p>
    <w:p w:rsidR="00000000" w:rsidDel="00000000" w:rsidP="00000000" w:rsidRDefault="00000000" w:rsidRPr="00000000" w14:paraId="00000077">
      <w:pPr>
        <w:ind w:left="0" w:firstLine="0"/>
        <w:rPr>
          <w:highlight w:val="white"/>
        </w:rPr>
      </w:pPr>
      <w:r w:rsidDel="00000000" w:rsidR="00000000" w:rsidRPr="00000000">
        <w:rPr>
          <w:rtl w:val="0"/>
        </w:rPr>
      </w:r>
    </w:p>
    <w:p w:rsidR="00000000" w:rsidDel="00000000" w:rsidP="00000000" w:rsidRDefault="00000000" w:rsidRPr="00000000" w14:paraId="00000078">
      <w:pPr>
        <w:ind w:left="720" w:firstLine="0"/>
        <w:rPr>
          <w:highlight w:val="white"/>
        </w:rPr>
      </w:pPr>
      <w:r w:rsidDel="00000000" w:rsidR="00000000" w:rsidRPr="00000000">
        <w:rPr>
          <w:rtl w:val="0"/>
        </w:rPr>
      </w:r>
    </w:p>
    <w:p w:rsidR="00000000" w:rsidDel="00000000" w:rsidP="00000000" w:rsidRDefault="00000000" w:rsidRPr="00000000" w14:paraId="00000079">
      <w:pPr>
        <w:ind w:left="0" w:firstLine="0"/>
        <w:rPr>
          <w:b w:val="1"/>
          <w:highlight w:val="white"/>
        </w:rPr>
      </w:pPr>
      <w:r w:rsidDel="00000000" w:rsidR="00000000" w:rsidRPr="00000000">
        <w:rPr>
          <w:b w:val="1"/>
          <w:highlight w:val="white"/>
          <w:rtl w:val="0"/>
        </w:rPr>
        <w:t xml:space="preserve">Thematic Area-5: Investigation and corrective action</w:t>
      </w:r>
    </w:p>
    <w:p w:rsidR="00000000" w:rsidDel="00000000" w:rsidP="00000000" w:rsidRDefault="00000000" w:rsidRPr="00000000" w14:paraId="0000007A">
      <w:pPr>
        <w:ind w:left="0" w:firstLine="0"/>
        <w:rPr>
          <w:highlight w:val="white"/>
        </w:rPr>
      </w:pPr>
      <w:r w:rsidDel="00000000" w:rsidR="00000000" w:rsidRPr="00000000">
        <w:rPr>
          <w:highlight w:val="white"/>
          <w:u w:val="single"/>
          <w:rtl w:val="0"/>
        </w:rPr>
        <w:t xml:space="preserve">Definition</w:t>
      </w:r>
      <w:r w:rsidDel="00000000" w:rsidR="00000000" w:rsidRPr="00000000">
        <w:rPr>
          <w:highlight w:val="white"/>
          <w:rtl w:val="0"/>
        </w:rPr>
        <w:t xml:space="preserve">:</w:t>
      </w:r>
      <w:r w:rsidDel="00000000" w:rsidR="00000000" w:rsidRPr="00000000">
        <w:rPr>
          <w:color w:val="0f1419"/>
          <w:highlight w:val="white"/>
          <w:rtl w:val="0"/>
        </w:rPr>
        <w:t xml:space="preserve"> Take responsibility for investigating any SEA/SH allegations concerning your own personnel (UNOPS will investigate any allegations related to misconduct of UNOPS personnel)</w:t>
      </w:r>
      <w:r w:rsidDel="00000000" w:rsidR="00000000" w:rsidRPr="00000000">
        <w:rPr>
          <w:rtl w:val="0"/>
        </w:rPr>
      </w:r>
    </w:p>
    <w:p w:rsidR="00000000" w:rsidDel="00000000" w:rsidP="00000000" w:rsidRDefault="00000000" w:rsidRPr="00000000" w14:paraId="0000007B">
      <w:pPr>
        <w:spacing w:line="276" w:lineRule="auto"/>
        <w:ind w:left="0" w:firstLine="0"/>
        <w:rPr>
          <w:color w:val="0f1419"/>
          <w:highlight w:val="white"/>
        </w:rPr>
      </w:pPr>
      <w:r w:rsidDel="00000000" w:rsidR="00000000" w:rsidRPr="00000000">
        <w:rPr>
          <w:rtl w:val="0"/>
        </w:rPr>
      </w:r>
    </w:p>
    <w:p w:rsidR="00000000" w:rsidDel="00000000" w:rsidP="00000000" w:rsidRDefault="00000000" w:rsidRPr="00000000" w14:paraId="0000007C">
      <w:pPr>
        <w:numPr>
          <w:ilvl w:val="0"/>
          <w:numId w:val="14"/>
        </w:numPr>
        <w:spacing w:line="276" w:lineRule="auto"/>
        <w:ind w:left="720" w:hanging="360"/>
        <w:rPr>
          <w:color w:val="0f1419"/>
          <w:highlight w:val="white"/>
        </w:rPr>
      </w:pPr>
      <w:r w:rsidDel="00000000" w:rsidR="00000000" w:rsidRPr="00000000">
        <w:rPr>
          <w:color w:val="0f1419"/>
          <w:highlight w:val="white"/>
          <w:rtl w:val="0"/>
        </w:rPr>
        <w:t xml:space="preserve">Follow a </w:t>
      </w:r>
      <w:hyperlink r:id="rId8">
        <w:r w:rsidDel="00000000" w:rsidR="00000000" w:rsidRPr="00000000">
          <w:rPr>
            <w:color w:val="1155cc"/>
            <w:highlight w:val="white"/>
            <w:u w:val="single"/>
            <w:rtl w:val="0"/>
          </w:rPr>
          <w:t xml:space="preserve">survivor-centered approach</w:t>
        </w:r>
      </w:hyperlink>
      <w:r w:rsidDel="00000000" w:rsidR="00000000" w:rsidRPr="00000000">
        <w:rPr>
          <w:color w:val="0f1419"/>
          <w:highlight w:val="white"/>
          <w:rtl w:val="0"/>
        </w:rPr>
        <w:t xml:space="preserve"> when investigating SEA/SH allegations</w:t>
      </w:r>
    </w:p>
    <w:p w:rsidR="00000000" w:rsidDel="00000000" w:rsidP="00000000" w:rsidRDefault="00000000" w:rsidRPr="00000000" w14:paraId="0000007D">
      <w:pPr>
        <w:spacing w:line="276" w:lineRule="auto"/>
        <w:ind w:left="0" w:firstLine="0"/>
        <w:rPr>
          <w:color w:val="0f1419"/>
          <w:highlight w:val="white"/>
        </w:rPr>
      </w:pPr>
      <w:r w:rsidDel="00000000" w:rsidR="00000000" w:rsidRPr="00000000">
        <w:rPr>
          <w:rtl w:val="0"/>
        </w:rPr>
      </w:r>
    </w:p>
    <w:p w:rsidR="00000000" w:rsidDel="00000000" w:rsidP="00000000" w:rsidRDefault="00000000" w:rsidRPr="00000000" w14:paraId="0000007E">
      <w:pPr>
        <w:numPr>
          <w:ilvl w:val="0"/>
          <w:numId w:val="14"/>
        </w:numPr>
        <w:spacing w:line="276" w:lineRule="auto"/>
        <w:ind w:left="720" w:hanging="360"/>
        <w:rPr>
          <w:color w:val="0f1419"/>
          <w:highlight w:val="white"/>
        </w:rPr>
      </w:pPr>
      <w:r w:rsidDel="00000000" w:rsidR="00000000" w:rsidRPr="00000000">
        <w:rPr>
          <w:color w:val="0f1419"/>
          <w:highlight w:val="white"/>
          <w:rtl w:val="0"/>
        </w:rPr>
        <w:t xml:space="preserve">Take appropriate corrective action against offenders should SEA allegations be substantiated following investigation. </w:t>
      </w:r>
      <w:r w:rsidDel="00000000" w:rsidR="00000000" w:rsidRPr="00000000">
        <w:rPr>
          <w:color w:val="0f1419"/>
          <w:rtl w:val="0"/>
        </w:rPr>
        <w:t xml:space="preserve">Inform UNOPS with investigation process, results and corrective actions taken </w:t>
      </w:r>
      <w:r w:rsidDel="00000000" w:rsidR="00000000" w:rsidRPr="00000000">
        <w:rPr>
          <w:rtl w:val="0"/>
        </w:rPr>
      </w:r>
    </w:p>
    <w:p w:rsidR="00000000" w:rsidDel="00000000" w:rsidP="00000000" w:rsidRDefault="00000000" w:rsidRPr="00000000" w14:paraId="0000007F">
      <w:pPr>
        <w:spacing w:line="276" w:lineRule="auto"/>
        <w:ind w:left="0" w:firstLine="0"/>
        <w:rPr>
          <w:color w:val="0f1419"/>
          <w:highlight w:val="white"/>
        </w:rPr>
      </w:pPr>
      <w:r w:rsidDel="00000000" w:rsidR="00000000" w:rsidRPr="00000000">
        <w:rPr>
          <w:rtl w:val="0"/>
        </w:rPr>
      </w:r>
    </w:p>
    <w:p w:rsidR="00000000" w:rsidDel="00000000" w:rsidP="00000000" w:rsidRDefault="00000000" w:rsidRPr="00000000" w14:paraId="00000080">
      <w:pPr>
        <w:spacing w:line="276" w:lineRule="auto"/>
        <w:ind w:left="0" w:firstLine="0"/>
        <w:rPr>
          <w:color w:val="0f1419"/>
          <w:highlight w:val="white"/>
        </w:rPr>
      </w:pPr>
      <w:r w:rsidDel="00000000" w:rsidR="00000000" w:rsidRPr="00000000">
        <w:rPr>
          <w:rtl w:val="0"/>
        </w:rPr>
      </w:r>
    </w:p>
    <w:p w:rsidR="00000000" w:rsidDel="00000000" w:rsidP="00000000" w:rsidRDefault="00000000" w:rsidRPr="00000000" w14:paraId="00000081">
      <w:pPr>
        <w:rPr>
          <w:color w:val="0f1419"/>
          <w:highlight w:val="white"/>
        </w:rPr>
      </w:pPr>
      <w:r w:rsidDel="00000000" w:rsidR="00000000" w:rsidRPr="00000000">
        <w:rPr>
          <w:b w:val="1"/>
          <w:sz w:val="24"/>
          <w:szCs w:val="24"/>
          <w:highlight w:val="white"/>
          <w:rtl w:val="0"/>
        </w:rPr>
        <w:t xml:space="preserve">Financing the SEA &amp; SH Prevention and Response Action Plan</w:t>
      </w:r>
      <w:r w:rsidDel="00000000" w:rsidR="00000000" w:rsidRPr="00000000">
        <w:rPr>
          <w:rtl w:val="0"/>
        </w:rPr>
      </w:r>
    </w:p>
    <w:p w:rsidR="00000000" w:rsidDel="00000000" w:rsidP="00000000" w:rsidRDefault="00000000" w:rsidRPr="00000000" w14:paraId="00000082">
      <w:pPr>
        <w:spacing w:line="276" w:lineRule="auto"/>
        <w:ind w:left="0" w:firstLine="0"/>
        <w:rPr>
          <w:color w:val="0f1419"/>
        </w:rPr>
      </w:pPr>
      <w:r w:rsidDel="00000000" w:rsidR="00000000" w:rsidRPr="00000000">
        <w:rPr>
          <w:rtl w:val="0"/>
        </w:rPr>
      </w:r>
    </w:p>
    <w:p w:rsidR="00000000" w:rsidDel="00000000" w:rsidP="00000000" w:rsidRDefault="00000000" w:rsidRPr="00000000" w14:paraId="00000083">
      <w:pPr>
        <w:spacing w:line="276" w:lineRule="auto"/>
        <w:ind w:left="0" w:firstLine="0"/>
        <w:rPr>
          <w:color w:val="0f1419"/>
        </w:rPr>
      </w:pPr>
      <w:r w:rsidDel="00000000" w:rsidR="00000000" w:rsidRPr="00000000">
        <w:rPr>
          <w:color w:val="0f1419"/>
          <w:rtl w:val="0"/>
        </w:rPr>
        <w:t xml:space="preserve">Allocate the required budget to cover the associated expenses to implement this plan including but not limited to:</w:t>
      </w:r>
    </w:p>
    <w:p w:rsidR="00000000" w:rsidDel="00000000" w:rsidP="00000000" w:rsidRDefault="00000000" w:rsidRPr="00000000" w14:paraId="00000084">
      <w:pPr>
        <w:spacing w:line="276" w:lineRule="auto"/>
        <w:ind w:left="0" w:firstLine="0"/>
        <w:rPr>
          <w:color w:val="0f1419"/>
        </w:rPr>
      </w:pPr>
      <w:r w:rsidDel="00000000" w:rsidR="00000000" w:rsidRPr="00000000">
        <w:rPr>
          <w:rtl w:val="0"/>
        </w:rPr>
      </w:r>
    </w:p>
    <w:p w:rsidR="00000000" w:rsidDel="00000000" w:rsidP="00000000" w:rsidRDefault="00000000" w:rsidRPr="00000000" w14:paraId="00000085">
      <w:pPr>
        <w:widowControl w:val="0"/>
        <w:numPr>
          <w:ilvl w:val="0"/>
          <w:numId w:val="17"/>
        </w:numPr>
        <w:spacing w:line="240" w:lineRule="auto"/>
        <w:ind w:left="1440" w:hanging="360"/>
        <w:rPr>
          <w:color w:val="0f1419"/>
        </w:rPr>
      </w:pPr>
      <w:r w:rsidDel="00000000" w:rsidR="00000000" w:rsidRPr="00000000">
        <w:rPr>
          <w:color w:val="0f1419"/>
          <w:rtl w:val="0"/>
        </w:rPr>
        <w:t xml:space="preserve">Cost includes immediate referrals (transportation, medical costs, legal fees, professional investigators, psycho-social fee and any other related costs) </w:t>
      </w:r>
    </w:p>
    <w:p w:rsidR="00000000" w:rsidDel="00000000" w:rsidP="00000000" w:rsidRDefault="00000000" w:rsidRPr="00000000" w14:paraId="00000086">
      <w:pPr>
        <w:widowControl w:val="0"/>
        <w:numPr>
          <w:ilvl w:val="0"/>
          <w:numId w:val="17"/>
        </w:numPr>
        <w:spacing w:line="240" w:lineRule="auto"/>
        <w:ind w:left="1440" w:hanging="360"/>
        <w:rPr>
          <w:color w:val="0f1419"/>
        </w:rPr>
      </w:pPr>
      <w:r w:rsidDel="00000000" w:rsidR="00000000" w:rsidRPr="00000000">
        <w:rPr>
          <w:color w:val="0f1419"/>
          <w:rtl w:val="0"/>
        </w:rPr>
        <w:t xml:space="preserve">Cost includes staff visibility, IEC and visibility materials printing</w:t>
      </w:r>
    </w:p>
    <w:p w:rsidR="00000000" w:rsidDel="00000000" w:rsidP="00000000" w:rsidRDefault="00000000" w:rsidRPr="00000000" w14:paraId="00000087">
      <w:pPr>
        <w:widowControl w:val="0"/>
        <w:numPr>
          <w:ilvl w:val="0"/>
          <w:numId w:val="17"/>
        </w:numPr>
        <w:spacing w:line="240" w:lineRule="auto"/>
        <w:ind w:left="1440" w:hanging="360"/>
        <w:rPr>
          <w:color w:val="0f1419"/>
        </w:rPr>
      </w:pPr>
      <w:r w:rsidDel="00000000" w:rsidR="00000000" w:rsidRPr="00000000">
        <w:rPr>
          <w:color w:val="0f1419"/>
          <w:rtl w:val="0"/>
        </w:rPr>
        <w:t xml:space="preserve">Cost includes staff awareness and training costs</w:t>
      </w:r>
    </w:p>
    <w:p w:rsidR="00000000" w:rsidDel="00000000" w:rsidP="00000000" w:rsidRDefault="00000000" w:rsidRPr="00000000" w14:paraId="00000088">
      <w:pPr>
        <w:widowControl w:val="0"/>
        <w:numPr>
          <w:ilvl w:val="0"/>
          <w:numId w:val="17"/>
        </w:numPr>
        <w:spacing w:line="240" w:lineRule="auto"/>
        <w:ind w:left="1440" w:hanging="360"/>
        <w:rPr>
          <w:color w:val="0f1419"/>
        </w:rPr>
      </w:pPr>
      <w:r w:rsidDel="00000000" w:rsidR="00000000" w:rsidRPr="00000000">
        <w:rPr>
          <w:color w:val="0f1419"/>
          <w:rtl w:val="0"/>
        </w:rPr>
        <w:t xml:space="preserve">Cost includes any additional required risk mitigation measures</w:t>
      </w:r>
    </w:p>
    <w:p w:rsidR="00000000" w:rsidDel="00000000" w:rsidP="00000000" w:rsidRDefault="00000000" w:rsidRPr="00000000" w14:paraId="00000089">
      <w:pPr>
        <w:ind w:left="720" w:firstLine="0"/>
        <w:rPr>
          <w:highlight w:val="white"/>
        </w:rPr>
      </w:pPr>
      <w:r w:rsidDel="00000000" w:rsidR="00000000" w:rsidRPr="00000000">
        <w:rPr>
          <w:rtl w:val="0"/>
        </w:rPr>
      </w:r>
    </w:p>
    <w:p w:rsidR="00000000" w:rsidDel="00000000" w:rsidP="00000000" w:rsidRDefault="00000000" w:rsidRPr="00000000" w14:paraId="0000008A">
      <w:pPr>
        <w:ind w:left="720" w:firstLine="0"/>
        <w:rPr>
          <w:highlight w:val="white"/>
        </w:rPr>
      </w:pPr>
      <w:r w:rsidDel="00000000" w:rsidR="00000000" w:rsidRPr="00000000">
        <w:rPr>
          <w:rtl w:val="0"/>
        </w:rPr>
      </w:r>
    </w:p>
    <w:p w:rsidR="00000000" w:rsidDel="00000000" w:rsidP="00000000" w:rsidRDefault="00000000" w:rsidRPr="00000000" w14:paraId="0000008B">
      <w:pPr>
        <w:ind w:left="720" w:firstLine="0"/>
        <w:rPr>
          <w:highlight w:val="white"/>
        </w:rPr>
      </w:pPr>
      <w:r w:rsidDel="00000000" w:rsidR="00000000" w:rsidRPr="00000000">
        <w:rPr>
          <w:rtl w:val="0"/>
        </w:rPr>
      </w:r>
    </w:p>
    <w:p w:rsidR="00000000" w:rsidDel="00000000" w:rsidP="00000000" w:rsidRDefault="00000000" w:rsidRPr="00000000" w14:paraId="0000008C">
      <w:pPr>
        <w:ind w:left="720" w:firstLine="0"/>
        <w:rPr>
          <w:highlight w:val="white"/>
        </w:rPr>
      </w:pPr>
      <w:r w:rsidDel="00000000" w:rsidR="00000000" w:rsidRPr="00000000">
        <w:rPr>
          <w:rtl w:val="0"/>
        </w:rPr>
      </w:r>
    </w:p>
    <w:p w:rsidR="00000000" w:rsidDel="00000000" w:rsidP="00000000" w:rsidRDefault="00000000" w:rsidRPr="00000000" w14:paraId="0000008D">
      <w:pPr>
        <w:ind w:left="720" w:firstLine="0"/>
        <w:rPr>
          <w:highlight w:val="white"/>
        </w:rPr>
      </w:pPr>
      <w:r w:rsidDel="00000000" w:rsidR="00000000" w:rsidRPr="00000000">
        <w:rPr>
          <w:rtl w:val="0"/>
        </w:rPr>
      </w:r>
    </w:p>
    <w:p w:rsidR="00000000" w:rsidDel="00000000" w:rsidP="00000000" w:rsidRDefault="00000000" w:rsidRPr="00000000" w14:paraId="0000008E">
      <w:pPr>
        <w:ind w:left="720" w:firstLine="0"/>
        <w:rPr>
          <w:highlight w:val="white"/>
        </w:rPr>
      </w:pPr>
      <w:r w:rsidDel="00000000" w:rsidR="00000000" w:rsidRPr="00000000">
        <w:rPr>
          <w:rtl w:val="0"/>
        </w:rPr>
      </w:r>
    </w:p>
    <w:p w:rsidR="00000000" w:rsidDel="00000000" w:rsidP="00000000" w:rsidRDefault="00000000" w:rsidRPr="00000000" w14:paraId="0000008F">
      <w:pPr>
        <w:ind w:left="720" w:firstLine="0"/>
        <w:rPr>
          <w:highlight w:val="white"/>
        </w:rPr>
      </w:pPr>
      <w:r w:rsidDel="00000000" w:rsidR="00000000" w:rsidRPr="00000000">
        <w:rPr>
          <w:rtl w:val="0"/>
        </w:rPr>
      </w:r>
    </w:p>
    <w:p w:rsidR="00000000" w:rsidDel="00000000" w:rsidP="00000000" w:rsidRDefault="00000000" w:rsidRPr="00000000" w14:paraId="00000090">
      <w:pPr>
        <w:ind w:left="720" w:firstLine="0"/>
        <w:rPr>
          <w:highlight w:val="white"/>
        </w:rPr>
      </w:pPr>
      <w:r w:rsidDel="00000000" w:rsidR="00000000" w:rsidRPr="00000000">
        <w:rPr>
          <w:rtl w:val="0"/>
        </w:rPr>
      </w:r>
    </w:p>
    <w:p w:rsidR="00000000" w:rsidDel="00000000" w:rsidP="00000000" w:rsidRDefault="00000000" w:rsidRPr="00000000" w14:paraId="00000091">
      <w:pPr>
        <w:ind w:left="720" w:firstLine="0"/>
        <w:rPr>
          <w:highlight w:val="white"/>
        </w:rPr>
      </w:pPr>
      <w:r w:rsidDel="00000000" w:rsidR="00000000" w:rsidRPr="00000000">
        <w:rPr>
          <w:rtl w:val="0"/>
        </w:rPr>
      </w:r>
    </w:p>
    <w:p w:rsidR="00000000" w:rsidDel="00000000" w:rsidP="00000000" w:rsidRDefault="00000000" w:rsidRPr="00000000" w14:paraId="00000092">
      <w:pPr>
        <w:ind w:left="720" w:firstLine="0"/>
        <w:rPr>
          <w:highlight w:val="white"/>
        </w:rPr>
      </w:pPr>
      <w:r w:rsidDel="00000000" w:rsidR="00000000" w:rsidRPr="00000000">
        <w:rPr>
          <w:rtl w:val="0"/>
        </w:rPr>
      </w:r>
    </w:p>
    <w:p w:rsidR="00000000" w:rsidDel="00000000" w:rsidP="00000000" w:rsidRDefault="00000000" w:rsidRPr="00000000" w14:paraId="00000093">
      <w:pPr>
        <w:ind w:left="720" w:firstLine="0"/>
        <w:rPr>
          <w:highlight w:val="white"/>
        </w:rPr>
      </w:pPr>
      <w:r w:rsidDel="00000000" w:rsidR="00000000" w:rsidRPr="00000000">
        <w:rPr>
          <w:rtl w:val="0"/>
        </w:rPr>
      </w:r>
    </w:p>
    <w:p w:rsidR="00000000" w:rsidDel="00000000" w:rsidP="00000000" w:rsidRDefault="00000000" w:rsidRPr="00000000" w14:paraId="00000094">
      <w:pPr>
        <w:ind w:left="0" w:firstLine="0"/>
        <w:rPr>
          <w:highlight w:val="white"/>
        </w:rPr>
      </w:pPr>
      <w:r w:rsidDel="00000000" w:rsidR="00000000" w:rsidRPr="00000000">
        <w:rPr>
          <w:rtl w:val="0"/>
        </w:rPr>
      </w:r>
    </w:p>
    <w:p w:rsidR="00000000" w:rsidDel="00000000" w:rsidP="00000000" w:rsidRDefault="00000000" w:rsidRPr="00000000" w14:paraId="00000095">
      <w:pPr>
        <w:ind w:left="0" w:firstLine="0"/>
        <w:rPr>
          <w:b w:val="1"/>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96">
      <w:pPr>
        <w:ind w:left="0" w:firstLine="0"/>
        <w:rPr>
          <w:b w:val="1"/>
          <w:highlight w:val="white"/>
        </w:rPr>
      </w:pPr>
      <w:r w:rsidDel="00000000" w:rsidR="00000000" w:rsidRPr="00000000">
        <w:rPr>
          <w:b w:val="1"/>
          <w:highlight w:val="white"/>
          <w:rtl w:val="0"/>
        </w:rPr>
        <w:t xml:space="preserve">Annex 1 </w:t>
      </w:r>
    </w:p>
    <w:p w:rsidR="00000000" w:rsidDel="00000000" w:rsidP="00000000" w:rsidRDefault="00000000" w:rsidRPr="00000000" w14:paraId="00000097">
      <w:pPr>
        <w:spacing w:line="276" w:lineRule="auto"/>
        <w:jc w:val="center"/>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Guiding Principles of a Survivor-Centered Approach</w:t>
      </w:r>
    </w:p>
    <w:p w:rsidR="00000000" w:rsidDel="00000000" w:rsidP="00000000" w:rsidRDefault="00000000" w:rsidRPr="00000000" w14:paraId="00000098">
      <w:pPr>
        <w:spacing w:line="276" w:lineRule="auto"/>
        <w:jc w:val="center"/>
        <w:rPr>
          <w:rFonts w:ascii="Calibri" w:cs="Calibri" w:eastAsia="Calibri" w:hAnsi="Calibri"/>
          <w:b w:val="1"/>
          <w:highlight w:val="white"/>
        </w:rPr>
      </w:pPr>
      <w:r w:rsidDel="00000000" w:rsidR="00000000" w:rsidRPr="00000000">
        <w:rPr>
          <w:rtl w:val="0"/>
        </w:rPr>
      </w:r>
    </w:p>
    <w:p w:rsidR="00000000" w:rsidDel="00000000" w:rsidP="00000000" w:rsidRDefault="00000000" w:rsidRPr="00000000" w14:paraId="00000099">
      <w:pPr>
        <w:spacing w:line="276" w:lineRule="auto"/>
        <w:jc w:val="center"/>
        <w:rPr>
          <w:rFonts w:ascii="Calibri" w:cs="Calibri" w:eastAsia="Calibri" w:hAnsi="Calibri"/>
          <w:highlight w:val="white"/>
        </w:rPr>
      </w:pPr>
      <w:r w:rsidDel="00000000" w:rsidR="00000000" w:rsidRPr="00000000">
        <w:rPr>
          <w:rFonts w:ascii="Calibri" w:cs="Calibri" w:eastAsia="Calibri" w:hAnsi="Calibri"/>
          <w:b w:val="1"/>
          <w:rtl w:val="0"/>
        </w:rPr>
        <w:t xml:space="preserve">Relevant to Prevention from Sexual Exploitation and Abuse (SEA) &amp; Sexual Harassment (SH) for Contractors </w:t>
      </w:r>
      <w:r w:rsidDel="00000000" w:rsidR="00000000" w:rsidRPr="00000000">
        <w:rPr>
          <w:rtl w:val="0"/>
        </w:rPr>
      </w:r>
    </w:p>
    <w:p w:rsidR="00000000" w:rsidDel="00000000" w:rsidP="00000000" w:rsidRDefault="00000000" w:rsidRPr="00000000" w14:paraId="0000009A">
      <w:pPr>
        <w:spacing w:line="276"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9B">
      <w:pPr>
        <w:spacing w:line="276" w:lineRule="auto"/>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Guiding principles</w:t>
      </w:r>
    </w:p>
    <w:p w:rsidR="00000000" w:rsidDel="00000000" w:rsidP="00000000" w:rsidRDefault="00000000" w:rsidRPr="00000000" w14:paraId="0000009C">
      <w:pPr>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Guiding principles provide ethical and practical guidelines for a field of work. The GBV Guiding Principles established by UNHCR In 1995 outline the ethical responsibilities service providers have when working with survivors. These four principles have been largely accepted by the humanitarian community as best practice for GBV case management: 1) respect the wishes, rights, and dignity of the survivor; 2) establish and ensure safety of the survivor; 3) maintain confidentiality; and 4) non-discrimination.</w:t>
      </w:r>
    </w:p>
    <w:p w:rsidR="00000000" w:rsidDel="00000000" w:rsidP="00000000" w:rsidRDefault="00000000" w:rsidRPr="00000000" w14:paraId="0000009D">
      <w:pPr>
        <w:spacing w:line="276"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9E">
      <w:pPr>
        <w:numPr>
          <w:ilvl w:val="0"/>
          <w:numId w:val="11"/>
        </w:numPr>
        <w:spacing w:line="276" w:lineRule="auto"/>
        <w:ind w:left="720" w:hanging="360"/>
        <w:rPr>
          <w:rFonts w:ascii="Calibri" w:cs="Calibri" w:eastAsia="Calibri" w:hAnsi="Calibri"/>
          <w:highlight w:val="white"/>
        </w:rPr>
      </w:pPr>
      <w:r w:rsidDel="00000000" w:rsidR="00000000" w:rsidRPr="00000000">
        <w:rPr>
          <w:rFonts w:ascii="Calibri" w:cs="Calibri" w:eastAsia="Calibri" w:hAnsi="Calibri"/>
          <w:highlight w:val="white"/>
          <w:u w:val="single"/>
          <w:rtl w:val="0"/>
        </w:rPr>
        <w:t xml:space="preserve">Respect the Wishes, Rights and Dignity of the Survivor</w:t>
      </w:r>
      <w:r w:rsidDel="00000000" w:rsidR="00000000" w:rsidRPr="00000000">
        <w:rPr>
          <w:rtl w:val="0"/>
        </w:rPr>
      </w:r>
    </w:p>
    <w:p w:rsidR="00000000" w:rsidDel="00000000" w:rsidP="00000000" w:rsidRDefault="00000000" w:rsidRPr="00000000" w14:paraId="0000009F">
      <w:pPr>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This principle underscores the importance of interacting with the survivor using a validating, non-blaming and non-judgmental approach. This principle also reminds us that we must value the survivor. We express to survivors that we care about their experiences, their history and what happens to them now and in the future. We let the person know that she/he is valuable and matters in the world and to us. This is particularly important given the relational dynamics of the person's life and/or experiences with violence.</w:t>
      </w:r>
    </w:p>
    <w:p w:rsidR="00000000" w:rsidDel="00000000" w:rsidP="00000000" w:rsidRDefault="00000000" w:rsidRPr="00000000" w14:paraId="000000A0">
      <w:pPr>
        <w:spacing w:line="276"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A1">
      <w:pPr>
        <w:numPr>
          <w:ilvl w:val="0"/>
          <w:numId w:val="11"/>
        </w:numPr>
        <w:spacing w:line="276" w:lineRule="auto"/>
        <w:ind w:left="720" w:hanging="360"/>
        <w:rPr>
          <w:rFonts w:ascii="Calibri" w:cs="Calibri" w:eastAsia="Calibri" w:hAnsi="Calibri"/>
          <w:highlight w:val="white"/>
        </w:rPr>
      </w:pPr>
      <w:r w:rsidDel="00000000" w:rsidR="00000000" w:rsidRPr="00000000">
        <w:rPr>
          <w:rFonts w:ascii="Calibri" w:cs="Calibri" w:eastAsia="Calibri" w:hAnsi="Calibri"/>
          <w:highlight w:val="white"/>
          <w:u w:val="single"/>
          <w:rtl w:val="0"/>
        </w:rPr>
        <w:t xml:space="preserve">Establish and Ensure Safety</w:t>
      </w:r>
      <w:r w:rsidDel="00000000" w:rsidR="00000000" w:rsidRPr="00000000">
        <w:rPr>
          <w:rtl w:val="0"/>
        </w:rPr>
      </w:r>
    </w:p>
    <w:p w:rsidR="00000000" w:rsidDel="00000000" w:rsidP="00000000" w:rsidRDefault="00000000" w:rsidRPr="00000000" w14:paraId="000000A2">
      <w:pPr>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Ensuring the physical and emotional safety of the survivor is safeguarding the survivor’s physical and emotional well-being in the short and long-term. Safety must also be established within the relationship between us and the survivor such that the survivor feels she will not be physically or emotionally harmed by us or our actions.</w:t>
      </w:r>
    </w:p>
    <w:p w:rsidR="00000000" w:rsidDel="00000000" w:rsidP="00000000" w:rsidRDefault="00000000" w:rsidRPr="00000000" w14:paraId="000000A3">
      <w:pPr>
        <w:spacing w:line="276"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A4">
      <w:pPr>
        <w:numPr>
          <w:ilvl w:val="0"/>
          <w:numId w:val="11"/>
        </w:numPr>
        <w:spacing w:line="276" w:lineRule="auto"/>
        <w:ind w:left="720" w:hanging="360"/>
        <w:rPr>
          <w:rFonts w:ascii="Calibri" w:cs="Calibri" w:eastAsia="Calibri" w:hAnsi="Calibri"/>
          <w:highlight w:val="white"/>
        </w:rPr>
      </w:pPr>
      <w:r w:rsidDel="00000000" w:rsidR="00000000" w:rsidRPr="00000000">
        <w:rPr>
          <w:rFonts w:ascii="Calibri" w:cs="Calibri" w:eastAsia="Calibri" w:hAnsi="Calibri"/>
          <w:highlight w:val="white"/>
          <w:u w:val="single"/>
          <w:rtl w:val="0"/>
        </w:rPr>
        <w:t xml:space="preserve">Maintain Confidentiality </w:t>
      </w:r>
      <w:r w:rsidDel="00000000" w:rsidR="00000000" w:rsidRPr="00000000">
        <w:rPr>
          <w:rtl w:val="0"/>
        </w:rPr>
      </w:r>
    </w:p>
    <w:p w:rsidR="00000000" w:rsidDel="00000000" w:rsidP="00000000" w:rsidRDefault="00000000" w:rsidRPr="00000000" w14:paraId="000000A5">
      <w:pPr>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This principle requires that everyone involved in the care and treatment of survivors protect information gathered about them and agree to only share information about their cases with their explicit permission. This means ensuring 1) the confidential collection of information during conversations; 2) that sharing information happens on a </w:t>
      </w:r>
      <w:r w:rsidDel="00000000" w:rsidR="00000000" w:rsidRPr="00000000">
        <w:rPr>
          <w:rFonts w:ascii="Calibri" w:cs="Calibri" w:eastAsia="Calibri" w:hAnsi="Calibri"/>
          <w:highlight w:val="white"/>
          <w:u w:val="single"/>
          <w:rtl w:val="0"/>
        </w:rPr>
        <w:t xml:space="preserve">need to know basis</w:t>
      </w:r>
      <w:r w:rsidDel="00000000" w:rsidR="00000000" w:rsidRPr="00000000">
        <w:rPr>
          <w:rFonts w:ascii="Calibri" w:cs="Calibri" w:eastAsia="Calibri" w:hAnsi="Calibri"/>
          <w:highlight w:val="white"/>
          <w:rtl w:val="0"/>
        </w:rPr>
        <w:t xml:space="preserve"> only or in line with laws and policies; that permission is obtained from the survivor before information is shared; 3) when making a referral only the details relevant to the referral are shared with the service provider and a decision is reached with the survivor on what should be shared; and 4) case information is stored securely. Maintaining confidentiality also means that we never discuss case details with family and friends, or with colleagues whose knowledge of the abuse is deemed unnecessary. </w:t>
      </w:r>
    </w:p>
    <w:p w:rsidR="00000000" w:rsidDel="00000000" w:rsidP="00000000" w:rsidRDefault="00000000" w:rsidRPr="00000000" w14:paraId="000000A6">
      <w:pPr>
        <w:spacing w:line="276"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A7">
      <w:pPr>
        <w:numPr>
          <w:ilvl w:val="0"/>
          <w:numId w:val="11"/>
        </w:numPr>
        <w:spacing w:line="276" w:lineRule="auto"/>
        <w:ind w:left="720" w:hanging="360"/>
        <w:rPr>
          <w:rFonts w:ascii="Calibri" w:cs="Calibri" w:eastAsia="Calibri" w:hAnsi="Calibri"/>
          <w:highlight w:val="white"/>
        </w:rPr>
      </w:pPr>
      <w:r w:rsidDel="00000000" w:rsidR="00000000" w:rsidRPr="00000000">
        <w:rPr>
          <w:rFonts w:ascii="Calibri" w:cs="Calibri" w:eastAsia="Calibri" w:hAnsi="Calibri"/>
          <w:highlight w:val="white"/>
          <w:u w:val="single"/>
          <w:rtl w:val="0"/>
        </w:rPr>
        <w:t xml:space="preserve">Non-Discrimination</w:t>
      </w:r>
      <w:r w:rsidDel="00000000" w:rsidR="00000000" w:rsidRPr="00000000">
        <w:rPr>
          <w:rtl w:val="0"/>
        </w:rPr>
      </w:r>
    </w:p>
    <w:p w:rsidR="00000000" w:rsidDel="00000000" w:rsidP="00000000" w:rsidRDefault="00000000" w:rsidRPr="00000000" w14:paraId="000000A8">
      <w:pPr>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Every adult or child, regardless of his/her sex, should be accorded equal care and support. Victims/survivors of violence should receive equal and fair treatment regardless of their race, religion, nationality or sexual orientation. We fully recognize and intend to uphold this guiding principle in our work.</w:t>
      </w:r>
    </w:p>
    <w:p w:rsidR="00000000" w:rsidDel="00000000" w:rsidP="00000000" w:rsidRDefault="00000000" w:rsidRPr="00000000" w14:paraId="000000A9">
      <w:pPr>
        <w:spacing w:line="276"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AA">
      <w:pPr>
        <w:spacing w:line="276" w:lineRule="auto"/>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Referrals to service provider</w:t>
      </w:r>
    </w:p>
    <w:p w:rsidR="00000000" w:rsidDel="00000000" w:rsidP="00000000" w:rsidRDefault="00000000" w:rsidRPr="00000000" w14:paraId="000000AB">
      <w:pPr>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Referrals for survivors of SEA/SH must be done with informed consent from the survivor (in case the survivor is an adult) and from the parent or legal guardian in case the survivor is a child or person with mental disability.</w:t>
      </w:r>
    </w:p>
    <w:p w:rsidR="00000000" w:rsidDel="00000000" w:rsidP="00000000" w:rsidRDefault="00000000" w:rsidRPr="00000000" w14:paraId="000000AC">
      <w:pPr>
        <w:spacing w:line="276"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AD">
      <w:pPr>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referring party should make it clear to the person who gives informed consent that the referring party may need to share the information from the referral with professionals in other organizations (such as health or shelter service providers) to make sure the survivors get help.</w:t>
      </w:r>
    </w:p>
    <w:p w:rsidR="00000000" w:rsidDel="00000000" w:rsidP="00000000" w:rsidRDefault="00000000" w:rsidRPr="00000000" w14:paraId="000000AE">
      <w:pPr>
        <w:spacing w:line="276"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AF">
      <w:pPr>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referring party should take a clear permission to share the information in the survivor's referral for this purpose (seeking help). The referring party must commit to ensuring the security, safety and confidentiality of the survivor’s personal information in the Information Management system it uses.</w:t>
      </w:r>
    </w:p>
    <w:p w:rsidR="00000000" w:rsidDel="00000000" w:rsidP="00000000" w:rsidRDefault="00000000" w:rsidRPr="00000000" w14:paraId="000000B0">
      <w:pPr>
        <w:ind w:left="0" w:firstLine="0"/>
        <w:rPr>
          <w:highlight w:val="white"/>
        </w:rPr>
      </w:pPr>
      <w:r w:rsidDel="00000000" w:rsidR="00000000" w:rsidRPr="00000000">
        <w:rPr>
          <w:rtl w:val="0"/>
        </w:rPr>
      </w:r>
    </w:p>
    <w:p w:rsidR="00000000" w:rsidDel="00000000" w:rsidP="00000000" w:rsidRDefault="00000000" w:rsidRPr="00000000" w14:paraId="000000B1">
      <w:pPr>
        <w:ind w:left="0" w:firstLine="0"/>
        <w:rPr>
          <w:highlight w:val="white"/>
        </w:rPr>
      </w:pPr>
      <w:r w:rsidDel="00000000" w:rsidR="00000000" w:rsidRPr="00000000">
        <w:rPr>
          <w:rtl w:val="0"/>
        </w:rPr>
      </w:r>
    </w:p>
    <w:p w:rsidR="00000000" w:rsidDel="00000000" w:rsidP="00000000" w:rsidRDefault="00000000" w:rsidRPr="00000000" w14:paraId="000000B2">
      <w:pPr>
        <w:ind w:left="0" w:firstLine="0"/>
        <w:rPr>
          <w:highlight w:val="white"/>
        </w:rPr>
      </w:pPr>
      <w:r w:rsidDel="00000000" w:rsidR="00000000" w:rsidRPr="00000000">
        <w:rPr>
          <w:rtl w:val="0"/>
        </w:rPr>
      </w:r>
    </w:p>
    <w:p w:rsidR="00000000" w:rsidDel="00000000" w:rsidP="00000000" w:rsidRDefault="00000000" w:rsidRPr="00000000" w14:paraId="000000B3">
      <w:pPr>
        <w:ind w:left="0" w:firstLine="0"/>
        <w:rPr>
          <w:highlight w:val="white"/>
        </w:rPr>
      </w:pPr>
      <w:r w:rsidDel="00000000" w:rsidR="00000000" w:rsidRPr="00000000">
        <w:rPr>
          <w:rtl w:val="0"/>
        </w:rPr>
      </w:r>
    </w:p>
    <w:p w:rsidR="00000000" w:rsidDel="00000000" w:rsidP="00000000" w:rsidRDefault="00000000" w:rsidRPr="00000000" w14:paraId="000000B4">
      <w:pPr>
        <w:ind w:left="0" w:firstLine="0"/>
        <w:rPr>
          <w:highlight w:val="white"/>
        </w:rPr>
      </w:pPr>
      <w:r w:rsidDel="00000000" w:rsidR="00000000" w:rsidRPr="00000000">
        <w:rPr>
          <w:rtl w:val="0"/>
        </w:rPr>
      </w:r>
    </w:p>
    <w:p w:rsidR="00000000" w:rsidDel="00000000" w:rsidP="00000000" w:rsidRDefault="00000000" w:rsidRPr="00000000" w14:paraId="000000B5">
      <w:pPr>
        <w:ind w:left="0" w:firstLine="0"/>
        <w:rPr>
          <w:highlight w:val="white"/>
        </w:rPr>
      </w:pPr>
      <w:r w:rsidDel="00000000" w:rsidR="00000000" w:rsidRPr="00000000">
        <w:rPr>
          <w:rtl w:val="0"/>
        </w:rPr>
      </w:r>
    </w:p>
    <w:p w:rsidR="00000000" w:rsidDel="00000000" w:rsidP="00000000" w:rsidRDefault="00000000" w:rsidRPr="00000000" w14:paraId="000000B6">
      <w:pPr>
        <w:ind w:left="0" w:firstLine="0"/>
        <w:rPr>
          <w:rFonts w:ascii="Calibri" w:cs="Calibri" w:eastAsia="Calibri" w:hAnsi="Calibri"/>
          <w:highlight w:val="white"/>
        </w:rPr>
        <w:sectPr>
          <w:footerReference r:id="rId9" w:type="default"/>
          <w:pgSz w:h="15840" w:w="12240" w:orient="portrait"/>
          <w:pgMar w:bottom="1440" w:top="1440" w:left="1440" w:right="1440" w:header="431.99999999999994" w:footer="431.99999999999994"/>
          <w:pgNumType w:start="1"/>
        </w:sectPr>
      </w:pPr>
      <w:r w:rsidDel="00000000" w:rsidR="00000000" w:rsidRPr="00000000">
        <w:rPr>
          <w:rFonts w:ascii="Calibri" w:cs="Calibri" w:eastAsia="Calibri" w:hAnsi="Calibri"/>
          <w:highlight w:val="white"/>
          <w:rtl w:val="0"/>
        </w:rPr>
        <w:t xml:space="preserve"> </w:t>
      </w:r>
    </w:p>
    <w:p w:rsidR="00000000" w:rsidDel="00000000" w:rsidP="00000000" w:rsidRDefault="00000000" w:rsidRPr="00000000" w14:paraId="000000B7">
      <w:pPr>
        <w:pageBreakBefore w:val="0"/>
        <w:rPr>
          <w:rFonts w:ascii="Calibri" w:cs="Calibri" w:eastAsia="Calibri" w:hAnsi="Calibri"/>
          <w:b w:val="1"/>
        </w:rPr>
      </w:pPr>
      <w:r w:rsidDel="00000000" w:rsidR="00000000" w:rsidRPr="00000000">
        <w:rPr>
          <w:rtl w:val="0"/>
        </w:rPr>
      </w:r>
    </w:p>
    <w:p w:rsidR="00000000" w:rsidDel="00000000" w:rsidP="00000000" w:rsidRDefault="00000000" w:rsidRPr="00000000" w14:paraId="000000B8">
      <w:pPr>
        <w:pageBreakBefore w:val="0"/>
        <w:rPr>
          <w:rFonts w:ascii="Calibri" w:cs="Calibri" w:eastAsia="Calibri" w:hAnsi="Calibri"/>
          <w:b w:val="1"/>
        </w:rPr>
      </w:pPr>
      <w:r w:rsidDel="00000000" w:rsidR="00000000" w:rsidRPr="00000000">
        <w:rPr>
          <w:rFonts w:ascii="Calibri" w:cs="Calibri" w:eastAsia="Calibri" w:hAnsi="Calibri"/>
          <w:b w:val="1"/>
          <w:rtl w:val="0"/>
        </w:rPr>
        <w:t xml:space="preserve">Annex 2</w:t>
      </w:r>
    </w:p>
    <w:p w:rsidR="00000000" w:rsidDel="00000000" w:rsidP="00000000" w:rsidRDefault="00000000" w:rsidRPr="00000000" w14:paraId="000000B9">
      <w:pPr>
        <w:pageBreakBefore w:val="0"/>
        <w:rPr>
          <w:rFonts w:ascii="Calibri" w:cs="Calibri" w:eastAsia="Calibri" w:hAnsi="Calibri"/>
          <w:b w:val="1"/>
        </w:rPr>
      </w:pPr>
      <w:r w:rsidDel="00000000" w:rsidR="00000000" w:rsidRPr="00000000">
        <w:rPr>
          <w:rtl w:val="0"/>
        </w:rPr>
      </w:r>
    </w:p>
    <w:tbl>
      <w:tblPr>
        <w:tblStyle w:val="Table1"/>
        <w:tblW w:w="14850.0" w:type="dxa"/>
        <w:jc w:val="left"/>
        <w:tblInd w:w="-11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85"/>
        <w:gridCol w:w="5265"/>
        <w:gridCol w:w="1575"/>
        <w:gridCol w:w="2775"/>
        <w:gridCol w:w="3450"/>
        <w:tblGridChange w:id="0">
          <w:tblGrid>
            <w:gridCol w:w="1785"/>
            <w:gridCol w:w="5265"/>
            <w:gridCol w:w="1575"/>
            <w:gridCol w:w="2775"/>
            <w:gridCol w:w="34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Thematic Area</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Activity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Responsible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Target audience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ind w:right="-585"/>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Timeline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270" w:right="0" w:hanging="27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Personnel PSEAH awareness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rFonts w:ascii="Calibri" w:cs="Calibri" w:eastAsia="Calibri" w:hAnsi="Calibri"/>
                <w:sz w:val="18"/>
                <w:szCs w:val="18"/>
                <w:highlight w:val="white"/>
              </w:rPr>
            </w:pPr>
            <w:r w:rsidDel="00000000" w:rsidR="00000000" w:rsidRPr="00000000">
              <w:rPr>
                <w:rFonts w:ascii="Calibri" w:cs="Calibri" w:eastAsia="Calibri" w:hAnsi="Calibri"/>
                <w:sz w:val="20"/>
                <w:szCs w:val="20"/>
                <w:highlight w:val="white"/>
                <w:rtl w:val="0"/>
              </w:rPr>
              <w:t xml:space="preserve">1.1 </w:t>
            </w:r>
            <w:r w:rsidDel="00000000" w:rsidR="00000000" w:rsidRPr="00000000">
              <w:rPr>
                <w:rFonts w:ascii="Calibri" w:cs="Calibri" w:eastAsia="Calibri" w:hAnsi="Calibri"/>
                <w:color w:val="0f1419"/>
                <w:sz w:val="20"/>
                <w:szCs w:val="20"/>
                <w:highlight w:val="white"/>
                <w:rtl w:val="0"/>
              </w:rPr>
              <w:t xml:space="preserve">Deliver a PSEAH induction training to all project workers about the prohibition of SEA and SH, the content of the Code of Conduct and the reporting obligation</w:t>
            </w:r>
            <w:r w:rsidDel="00000000" w:rsidR="00000000" w:rsidRPr="00000000">
              <w:rPr>
                <w:rtl w:val="0"/>
              </w:rPr>
            </w:r>
          </w:p>
          <w:p w:rsidR="00000000" w:rsidDel="00000000" w:rsidP="00000000" w:rsidRDefault="00000000" w:rsidRPr="00000000" w14:paraId="000000C1">
            <w:pPr>
              <w:widowControl w:val="0"/>
              <w:spacing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The training should also include a mention of potential SEA/SH risks in and around the sites you are working on (based on the risk assessment conducted)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Contractor company/</w:t>
            </w:r>
            <w:r w:rsidDel="00000000" w:rsidR="00000000" w:rsidRPr="00000000">
              <w:rPr>
                <w:rFonts w:ascii="Calibri" w:cs="Calibri" w:eastAsia="Calibri" w:hAnsi="Calibri"/>
                <w:color w:val="3c78d8"/>
                <w:sz w:val="20"/>
                <w:szCs w:val="20"/>
                <w:highlight w:val="white"/>
                <w:rtl w:val="0"/>
              </w:rPr>
              <w:t xml:space="preserve">contractor PSEA FP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highlight w:val="white"/>
                <w:rtl w:val="0"/>
              </w:rPr>
              <w:t xml:space="preserve">Contractor staff and project workers</w:t>
            </w: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3c78d8"/>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At the beginning of</w:t>
            </w:r>
            <w:r w:rsidDel="00000000" w:rsidR="00000000" w:rsidRPr="00000000">
              <w:rPr>
                <w:rFonts w:ascii="Calibri" w:cs="Calibri" w:eastAsia="Calibri" w:hAnsi="Calibri"/>
                <w:color w:val="3c78d8"/>
                <w:sz w:val="20"/>
                <w:szCs w:val="20"/>
                <w:highlight w:val="white"/>
                <w:rtl w:val="0"/>
              </w:rPr>
              <w:t xml:space="preserve"> project implementation</w:t>
            </w:r>
            <w:r w:rsidDel="00000000" w:rsidR="00000000" w:rsidRPr="00000000">
              <w:rPr>
                <w:rtl w:val="0"/>
              </w:rPr>
            </w:r>
          </w:p>
        </w:tc>
      </w:tr>
      <w:tr>
        <w:trPr>
          <w:cantSplit w:val="0"/>
          <w:trHeight w:val="420" w:hRule="atLeast"/>
          <w:tblHeader w:val="0"/>
        </w:trPr>
        <w:tc>
          <w:tcPr>
            <w:vMerge w:val="restart"/>
          </w:tcPr>
          <w:p w:rsidR="00000000" w:rsidDel="00000000" w:rsidP="00000000" w:rsidRDefault="00000000" w:rsidRPr="00000000" w14:paraId="000000C6">
            <w:pPr>
              <w:widowControl w:val="0"/>
              <w:numPr>
                <w:ilvl w:val="0"/>
                <w:numId w:val="9"/>
              </w:numPr>
              <w:spacing w:line="240" w:lineRule="auto"/>
              <w:ind w:left="270" w:hanging="27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Code of Conduct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2.1 Prepare and launch the signature by all company personnel, including project site workers, of the Code of Conduct (CoC)</w:t>
            </w:r>
          </w:p>
          <w:p w:rsidR="00000000" w:rsidDel="00000000" w:rsidP="00000000" w:rsidRDefault="00000000" w:rsidRPr="00000000" w14:paraId="000000C8">
            <w:pPr>
              <w:widowControl w:val="0"/>
              <w:spacing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Hint: (draft/proposed CoC can be provided by UNOPS)</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rPr>
                <w:rFonts w:ascii="Calibri" w:cs="Calibri" w:eastAsia="Calibri" w:hAnsi="Calibri"/>
                <w:color w:val="3c78d8"/>
                <w:sz w:val="20"/>
                <w:szCs w:val="20"/>
                <w:highlight w:val="white"/>
              </w:rPr>
            </w:pPr>
            <w:r w:rsidDel="00000000" w:rsidR="00000000" w:rsidRPr="00000000">
              <w:rPr>
                <w:rFonts w:ascii="Calibri" w:cs="Calibri" w:eastAsia="Calibri" w:hAnsi="Calibri"/>
                <w:color w:val="3c78d8"/>
                <w:sz w:val="20"/>
                <w:szCs w:val="20"/>
                <w:highlight w:val="white"/>
                <w:rtl w:val="0"/>
              </w:rPr>
              <w:t xml:space="preserve">Contractor company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rFonts w:ascii="Calibri" w:cs="Calibri" w:eastAsia="Calibri" w:hAnsi="Calibri"/>
                <w:color w:val="3c78d8"/>
                <w:sz w:val="20"/>
                <w:szCs w:val="20"/>
                <w:highlight w:val="white"/>
              </w:rPr>
            </w:pPr>
            <w:r w:rsidDel="00000000" w:rsidR="00000000" w:rsidRPr="00000000">
              <w:rPr>
                <w:rFonts w:ascii="Calibri" w:cs="Calibri" w:eastAsia="Calibri" w:hAnsi="Calibri"/>
                <w:color w:val="3c78d8"/>
                <w:sz w:val="20"/>
                <w:szCs w:val="20"/>
                <w:rtl w:val="0"/>
              </w:rPr>
              <w:t xml:space="preserve">Company personnel and Project workers/ any affiliated personnel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315" w:firstLine="0"/>
              <w:jc w:val="left"/>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Before the start of project Implementation.</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315" w:firstLine="0"/>
              <w:jc w:val="left"/>
              <w:rPr>
                <w:rFonts w:ascii="Calibri" w:cs="Calibri" w:eastAsia="Calibri" w:hAnsi="Calibri"/>
                <w:color w:val="3c78d8"/>
                <w:sz w:val="20"/>
                <w:szCs w:val="20"/>
                <w:highlight w:val="white"/>
              </w:rPr>
            </w:pPr>
            <w:r w:rsidDel="00000000" w:rsidR="00000000" w:rsidRPr="00000000">
              <w:rPr>
                <w:rtl w:val="0"/>
              </w:rPr>
            </w:r>
          </w:p>
        </w:tc>
      </w:tr>
      <w:tr>
        <w:trPr>
          <w:cantSplit w:val="0"/>
          <w:trHeight w:val="420" w:hRule="atLeast"/>
          <w:tblHeader w:val="0"/>
        </w:trPr>
        <w:tc>
          <w:tcPr>
            <w:vMerge w:val="continue"/>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3c78d8"/>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spacing w:line="276" w:lineRule="auto"/>
              <w:ind w:left="0" w:firstLine="0"/>
              <w:rPr>
                <w:rFonts w:ascii="Calibri" w:cs="Calibri" w:eastAsia="Calibri" w:hAnsi="Calibri"/>
                <w:sz w:val="18"/>
                <w:szCs w:val="18"/>
                <w:highlight w:val="white"/>
              </w:rPr>
            </w:pPr>
            <w:r w:rsidDel="00000000" w:rsidR="00000000" w:rsidRPr="00000000">
              <w:rPr>
                <w:rFonts w:ascii="Calibri" w:cs="Calibri" w:eastAsia="Calibri" w:hAnsi="Calibri"/>
                <w:color w:val="0f1419"/>
                <w:sz w:val="20"/>
                <w:szCs w:val="20"/>
                <w:highlight w:val="white"/>
                <w:rtl w:val="0"/>
              </w:rPr>
              <w:t xml:space="preserve">2.2 Create and keep records of the signed CoCs of all personnel and workers that can be inspected by UNOPS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rFonts w:ascii="Calibri" w:cs="Calibri" w:eastAsia="Calibri" w:hAnsi="Calibri"/>
                <w:color w:val="3c78d8"/>
                <w:sz w:val="20"/>
                <w:szCs w:val="20"/>
                <w:highlight w:val="white"/>
              </w:rPr>
            </w:pPr>
            <w:r w:rsidDel="00000000" w:rsidR="00000000" w:rsidRPr="00000000">
              <w:rPr>
                <w:rFonts w:ascii="Calibri" w:cs="Calibri" w:eastAsia="Calibri" w:hAnsi="Calibri"/>
                <w:color w:val="3c78d8"/>
                <w:sz w:val="20"/>
                <w:szCs w:val="20"/>
                <w:highlight w:val="white"/>
                <w:rtl w:val="0"/>
              </w:rPr>
              <w:t xml:space="preserve">Contractor company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Contractor company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315" w:firstLine="0"/>
              <w:jc w:val="left"/>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At project start</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270" w:right="0" w:hanging="27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Visibility for awareness raising and reporting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3.1 Appoint and train a company PSEA focal point with clear definition of the person’s responsibilities.</w:t>
            </w:r>
          </w:p>
          <w:p w:rsidR="00000000" w:rsidDel="00000000" w:rsidP="00000000" w:rsidRDefault="00000000" w:rsidRPr="00000000" w14:paraId="000000D5">
            <w:pPr>
              <w:widowControl w:val="0"/>
              <w:spacing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Hint: (UNOPS can support in defining focal point role and responsibilities and support with the training)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Contractor company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Contractor company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Before the start of project implementation </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3c78d8"/>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3.2 Provide visibility and communication materials about PSEA/H (GBV posters in project sites). </w:t>
            </w:r>
          </w:p>
          <w:p w:rsidR="00000000" w:rsidDel="00000000" w:rsidP="00000000" w:rsidRDefault="00000000" w:rsidRPr="00000000" w14:paraId="000000DB">
            <w:pPr>
              <w:widowControl w:val="0"/>
              <w:spacing w:line="240" w:lineRule="auto"/>
              <w:rPr>
                <w:rFonts w:ascii="Calibri" w:cs="Calibri" w:eastAsia="Calibri" w:hAnsi="Calibri"/>
                <w:color w:val="0f1419"/>
                <w:highlight w:val="white"/>
              </w:rPr>
            </w:pPr>
            <w:r w:rsidDel="00000000" w:rsidR="00000000" w:rsidRPr="00000000">
              <w:rPr>
                <w:rtl w:val="0"/>
              </w:rPr>
            </w:r>
          </w:p>
          <w:p w:rsidR="00000000" w:rsidDel="00000000" w:rsidP="00000000" w:rsidRDefault="00000000" w:rsidRPr="00000000" w14:paraId="000000DC">
            <w:pPr>
              <w:widowControl w:val="0"/>
              <w:spacing w:line="240" w:lineRule="auto"/>
              <w:rPr>
                <w:rFonts w:ascii="Calibri" w:cs="Calibri" w:eastAsia="Calibri" w:hAnsi="Calibri"/>
                <w:sz w:val="18"/>
                <w:szCs w:val="18"/>
                <w:highlight w:val="white"/>
              </w:rPr>
            </w:pPr>
            <w:r w:rsidDel="00000000" w:rsidR="00000000" w:rsidRPr="00000000">
              <w:rPr>
                <w:rFonts w:ascii="Calibri" w:cs="Calibri" w:eastAsia="Calibri" w:hAnsi="Calibri"/>
                <w:color w:val="0f1419"/>
                <w:sz w:val="20"/>
                <w:szCs w:val="20"/>
                <w:highlight w:val="white"/>
                <w:rtl w:val="0"/>
              </w:rPr>
              <w:t xml:space="preserve">Include in the posters the local reporting channel(s) for SEA/SH incidents (complaint boxes, hotline, email address, PSEAH focal point contact etc.)</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Contractor company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Project sites and local population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Before the start of project implementation and to be monitored and present during the implementation.</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3c78d8"/>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3.3 Provide staff and workers with visibility clothing, to clearly identify them as working for your company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highlight w:val="white"/>
                <w:rtl w:val="0"/>
              </w:rPr>
              <w:t xml:space="preserve">Contractor company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highlight w:val="white"/>
                <w:rtl w:val="0"/>
              </w:rPr>
              <w:t xml:space="preserve">Contractor workers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rPr>
                <w:rFonts w:ascii="Calibri" w:cs="Calibri" w:eastAsia="Calibri" w:hAnsi="Calibri"/>
                <w:color w:val="3c78d8"/>
                <w:sz w:val="20"/>
                <w:szCs w:val="20"/>
                <w:highlight w:val="white"/>
              </w:rPr>
            </w:pPr>
            <w:r w:rsidDel="00000000" w:rsidR="00000000" w:rsidRPr="00000000">
              <w:rPr>
                <w:rFonts w:ascii="Calibri" w:cs="Calibri" w:eastAsia="Calibri" w:hAnsi="Calibri"/>
                <w:color w:val="3c78d8"/>
                <w:sz w:val="20"/>
                <w:szCs w:val="20"/>
                <w:rtl w:val="0"/>
              </w:rPr>
              <w:t xml:space="preserve">Before the start of project implementation and to be monitored during the implementation. </w:t>
            </w:r>
            <w:r w:rsidDel="00000000" w:rsidR="00000000" w:rsidRPr="00000000">
              <w:rPr>
                <w:rtl w:val="0"/>
              </w:rPr>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270" w:right="0" w:hanging="27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Risk mapping, reporting &amp; case referral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4.1 Support UNOPS in the SEA/SH risk assessment for each project site you are working on </w:t>
            </w:r>
          </w:p>
          <w:p w:rsidR="00000000" w:rsidDel="00000000" w:rsidP="00000000" w:rsidRDefault="00000000" w:rsidRPr="00000000" w14:paraId="000000E7">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Hint: (risk checklist to be provided by UNOPS)</w:t>
            </w:r>
          </w:p>
          <w:p w:rsidR="00000000" w:rsidDel="00000000" w:rsidP="00000000" w:rsidRDefault="00000000" w:rsidRPr="00000000" w14:paraId="000000E8">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E9">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Put in place appropriate mitigation measures according to the specific, project site SEA risks identified by the risk assessment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Contractor company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Project sites, local population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Before the start of project Implementation.</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3c78d8"/>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4.2 </w:t>
            </w:r>
            <w:r w:rsidDel="00000000" w:rsidR="00000000" w:rsidRPr="00000000">
              <w:rPr>
                <w:rFonts w:ascii="Calibri" w:cs="Calibri" w:eastAsia="Calibri" w:hAnsi="Calibri"/>
                <w:sz w:val="20"/>
                <w:szCs w:val="20"/>
                <w:highlight w:val="white"/>
                <w:rtl w:val="0"/>
              </w:rPr>
              <w:t xml:space="preserve">Develop a simple company reporting mechanism for SEA/SH cases, that details how and to whom staff and workers can report cases, how and to whom the cases will be referred for investigation and how victims will be referred to services (legal, medical, psycho-social etc.)</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Contractor company/ contractor PSEA FP</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Contractor workers and local Population (increase their access to reporting pathways)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Before the start of project Implementation.</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3c78d8"/>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4.3 </w:t>
            </w:r>
            <w:r w:rsidDel="00000000" w:rsidR="00000000" w:rsidRPr="00000000">
              <w:rPr>
                <w:rFonts w:ascii="Calibri" w:cs="Calibri" w:eastAsia="Calibri" w:hAnsi="Calibri"/>
                <w:sz w:val="20"/>
                <w:szCs w:val="20"/>
                <w:highlight w:val="white"/>
                <w:rtl w:val="0"/>
              </w:rPr>
              <w:t xml:space="preserve">Refer any victims of project-related SEA/SH to existing services (legal, medical, psycho-social etc.), upon their consent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Contractor company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Victims of SEA/SH</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highlight w:val="white"/>
                <w:rtl w:val="0"/>
              </w:rPr>
              <w:t xml:space="preserve">Immediately</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3c78d8"/>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rPr>
                <w:rFonts w:ascii="Calibri" w:cs="Calibri" w:eastAsia="Calibri" w:hAnsi="Calibri"/>
                <w:color w:val="0f1419"/>
                <w:sz w:val="20"/>
                <w:szCs w:val="20"/>
                <w:highlight w:val="white"/>
              </w:rPr>
            </w:pPr>
            <w:r w:rsidDel="00000000" w:rsidR="00000000" w:rsidRPr="00000000">
              <w:rPr>
                <w:rFonts w:ascii="Calibri" w:cs="Calibri" w:eastAsia="Calibri" w:hAnsi="Calibri"/>
                <w:sz w:val="20"/>
                <w:szCs w:val="20"/>
                <w:rtl w:val="0"/>
              </w:rPr>
              <w:t xml:space="preserve">4.4.</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color w:val="0f1419"/>
                <w:sz w:val="20"/>
                <w:szCs w:val="20"/>
                <w:highlight w:val="white"/>
                <w:rtl w:val="0"/>
              </w:rPr>
              <w:t xml:space="preserve">Report SEA/SH cases and allegations concerning contractors’ personnel to UNOPS in a confidential and timely manner</w:t>
            </w:r>
          </w:p>
          <w:p w:rsidR="00000000" w:rsidDel="00000000" w:rsidP="00000000" w:rsidRDefault="00000000" w:rsidRPr="00000000" w14:paraId="000000F9">
            <w:pPr>
              <w:widowControl w:val="0"/>
              <w:spacing w:line="240" w:lineRule="auto"/>
              <w:rPr>
                <w:rFonts w:ascii="Calibri" w:cs="Calibri" w:eastAsia="Calibri" w:hAnsi="Calibri"/>
                <w:color w:val="0f1419"/>
                <w:sz w:val="20"/>
                <w:szCs w:val="20"/>
                <w:highlight w:val="white"/>
              </w:rPr>
            </w:pPr>
            <w:r w:rsidDel="00000000" w:rsidR="00000000" w:rsidRPr="00000000">
              <w:rPr>
                <w:rtl w:val="0"/>
              </w:rPr>
            </w:r>
          </w:p>
          <w:p w:rsidR="00000000" w:rsidDel="00000000" w:rsidP="00000000" w:rsidRDefault="00000000" w:rsidRPr="00000000" w14:paraId="000000FA">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color w:val="0f1419"/>
                <w:sz w:val="20"/>
                <w:szCs w:val="20"/>
                <w:highlight w:val="white"/>
                <w:rtl w:val="0"/>
              </w:rPr>
              <w:t xml:space="preserve">Ensure that reports of SEA/SH are in line with a survivor-centered approach (see Annex 1 for guiding principles of a survivor-centered approach)</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Contractor company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UNOPS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Within 24 hours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270" w:right="0" w:hanging="27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Investigation and corrective action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sz w:val="20"/>
                <w:szCs w:val="20"/>
                <w:rtl w:val="0"/>
              </w:rPr>
              <w:t xml:space="preserve">5.1</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color w:val="0f1419"/>
                <w:sz w:val="20"/>
                <w:szCs w:val="20"/>
                <w:highlight w:val="white"/>
                <w:rtl w:val="0"/>
              </w:rPr>
              <w:t xml:space="preserve">Investigate any SEA/SH allegations concerning your own personnel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Contractor company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Contractor company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As quickly as possible</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3c78d8"/>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spacing w:line="276" w:lineRule="auto"/>
              <w:ind w:left="0" w:firstLine="0"/>
              <w:rPr>
                <w:rFonts w:ascii="Calibri" w:cs="Calibri" w:eastAsia="Calibri" w:hAnsi="Calibri"/>
                <w:sz w:val="16"/>
                <w:szCs w:val="16"/>
              </w:rPr>
            </w:pPr>
            <w:r w:rsidDel="00000000" w:rsidR="00000000" w:rsidRPr="00000000">
              <w:rPr>
                <w:rFonts w:ascii="Calibri" w:cs="Calibri" w:eastAsia="Calibri" w:hAnsi="Calibri"/>
                <w:color w:val="0f1419"/>
                <w:sz w:val="20"/>
                <w:szCs w:val="20"/>
                <w:highlight w:val="white"/>
                <w:rtl w:val="0"/>
              </w:rPr>
              <w:t xml:space="preserve">5.2 Take appropriate corrective action against offenders should SEA allegations be substantiated following investigation. Inform UNOPS about the investigation</w:t>
            </w:r>
            <w:r w:rsidDel="00000000" w:rsidR="00000000" w:rsidRPr="00000000">
              <w:rPr>
                <w:rFonts w:ascii="Calibri" w:cs="Calibri" w:eastAsia="Calibri" w:hAnsi="Calibri"/>
                <w:color w:val="0f1419"/>
                <w:sz w:val="20"/>
                <w:szCs w:val="20"/>
                <w:rtl w:val="0"/>
              </w:rPr>
              <w:t xml:space="preserve"> process, results and corrective actions taken.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Contractor company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Contractor company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40" w:lineRule="auto"/>
              <w:rPr>
                <w:rFonts w:ascii="Calibri" w:cs="Calibri" w:eastAsia="Calibri" w:hAnsi="Calibri"/>
                <w:color w:val="3c78d8"/>
                <w:sz w:val="20"/>
                <w:szCs w:val="20"/>
              </w:rPr>
            </w:pPr>
            <w:r w:rsidDel="00000000" w:rsidR="00000000" w:rsidRPr="00000000">
              <w:rPr>
                <w:rFonts w:ascii="Calibri" w:cs="Calibri" w:eastAsia="Calibri" w:hAnsi="Calibri"/>
                <w:color w:val="3c78d8"/>
                <w:sz w:val="20"/>
                <w:szCs w:val="20"/>
                <w:rtl w:val="0"/>
              </w:rPr>
              <w:t xml:space="preserve">Upon substantiation of allegations</w:t>
            </w:r>
          </w:p>
        </w:tc>
      </w:tr>
    </w:tbl>
    <w:p w:rsidR="00000000" w:rsidDel="00000000" w:rsidP="00000000" w:rsidRDefault="00000000" w:rsidRPr="00000000" w14:paraId="00000108">
      <w:pPr>
        <w:rPr>
          <w:b w:val="1"/>
        </w:rPr>
      </w:pPr>
      <w:r w:rsidDel="00000000" w:rsidR="00000000" w:rsidRPr="00000000">
        <w:rPr>
          <w:rtl w:val="0"/>
        </w:rPr>
      </w:r>
    </w:p>
    <w:sectPr>
      <w:type w:val="nextPage"/>
      <w:pgSz w:h="12240" w:w="15840" w:orient="landscape"/>
      <w:pgMar w:bottom="1440" w:top="270" w:left="1440" w:right="1440" w:header="431.99999999999994" w:footer="431.9999999999999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9">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27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docs.google.com/document/d/1y-tDlqvrikzm5BdeHT7fI2aF6ktC0OA921US_bDrVuc/edit" TargetMode="External"/><Relationship Id="rId7" Type="http://schemas.openxmlformats.org/officeDocument/2006/relationships/hyperlink" Target="https://secure.ethicspoint.eu/domain/media/en/gui/105317/index.html" TargetMode="External"/><Relationship Id="rId8" Type="http://schemas.openxmlformats.org/officeDocument/2006/relationships/hyperlink" Target="https://docs.google.com/document/d/1QLKU8iftTuZop6mQjxOLl2O91hAgLPnYRnnu_zV0Ucw/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